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PT-600 — NBC TA 600 (R2)</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600 — NBC TA 600 (R2)</w:t>
            </w:r>
          </w:p>
        </w:tc>
      </w:tr>
      <w:tr>
        <w:tc>
          <w:tcPr>
            <w:tcW w:type="dxa" w:w="5040"/>
            <w:shd w:fill="EAF1F5"/>
            <w:vAlign w:val="center"/>
          </w:tcPr>
          <w:p>
            <w:r>
              <w:t>Versão e fonte</w:t>
            </w:r>
          </w:p>
        </w:tc>
        <w:tc>
          <w:tcPr>
            <w:tcW w:type="dxa" w:w="5040"/>
            <w:vAlign w:val="center"/>
          </w:tcPr>
          <w:p>
            <w:r>
              <w:t>R2; CFC confirma vigente desde publicação em 06/12/2023; aplicável ao período 2025</w:t>
              <w:br/>
              <w:t>Fonte oficial: https://www2.cfc.org.br/sisweb/sre/detalhes_sre.aspx?Codigo=2023/NBCTA600%28R2%29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 / pendente</w:t>
            </w:r>
          </w:p>
        </w:tc>
      </w:tr>
    </w:tbl>
    <w:p>
      <w:pPr>
        <w:pStyle w:val="Heading2"/>
      </w:pPr>
      <w:r>
        <w:t>1. Objetivo e escopo</w:t>
      </w:r>
    </w:p>
    <w:p>
      <w:r>
        <w:t>Responsabilidade do sócio do grupo, aceitação/continuidade, estratégia, componentes, auditores de componentes e processo de consolidação Este papel aplica o critério ao planejamento acadêmico do exame das demonstrações consolidadas SIMPAR 2025; não representa compromisso de auditoria nem opinião.</w:t>
      </w:r>
    </w:p>
    <w:p>
      <w:pPr>
        <w:pStyle w:val="Heading2"/>
      </w:pPr>
      <w:r>
        <w:t>2. Risco avaliado e afirmações</w:t>
      </w:r>
    </w:p>
    <w:p>
      <w:r>
        <w:t>Diversidade setorial e PNC R$ 2.898.181 mil pedem mapeamento por componente, materialidade, comunicação e revisão; procedimentos não executados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600 (R2).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Diversidade setorial e PNC R$ 2.898.181 mil pedem mapeamento por componente, materialidade, comunicação e revisão; procedimentos não executados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