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PT-EC — Estrutura Conceitual para Trabalhos de Asseguração</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EC — Estrutura Conceitual para Trabalhos de Asseguração</w:t>
            </w:r>
          </w:p>
        </w:tc>
      </w:tr>
      <w:tr>
        <w:tc>
          <w:tcPr>
            <w:tcW w:type="dxa" w:w="5040"/>
            <w:shd w:fill="EAF1F5"/>
            <w:vAlign w:val="center"/>
          </w:tcPr>
          <w:p>
            <w:r>
              <w:t>Versão e fonte</w:t>
            </w:r>
          </w:p>
        </w:tc>
        <w:tc>
          <w:tcPr>
            <w:tcW w:type="dxa" w:w="5040"/>
            <w:vAlign w:val="center"/>
          </w:tcPr>
          <w:p>
            <w:r>
              <w:t>Estrutura CFC/IFAC; referência conceitual</w:t>
              <w:br/>
              <w:t>Fonte oficial: https://cfc.org.br/tecnica/normas-brasileiras-de-contabilidade/</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verificado / planejado</w:t>
            </w:r>
          </w:p>
        </w:tc>
      </w:tr>
    </w:tbl>
    <w:p>
      <w:pPr>
        <w:pStyle w:val="Heading2"/>
      </w:pPr>
      <w:r>
        <w:t>1. Objetivo e escopo</w:t>
      </w:r>
    </w:p>
    <w:p>
      <w:r>
        <w:t>Entendimento do objeto, critérios, evidência, relatório e pré-condições do trabalho Este papel aplica o critério ao planejamento acadêmico do exame das demonstrações consolidadas SIMPAR 2025; não representa compromisso de auditoria nem opinião.</w:t>
      </w:r>
    </w:p>
    <w:p>
      <w:pPr>
        <w:pStyle w:val="Heading2"/>
      </w:pPr>
      <w:r>
        <w:t>2. Risco avaliado e afirmações</w:t>
      </w:r>
    </w:p>
    <w:p>
      <w:r>
        <w:t>Objetividade e clareza da finalidade; distinguir análise acadêmica de asseguração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Estrutura Conceitual para Trabalhos de Asseguração.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Objetividade e clareza da finalidade; distinguir análise acadêmica de asseguração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