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874B3C"/>
          <w:sz w:val="23"/>
        </w:rPr>
        <w:t>CHRONUS</w:t>
      </w:r>
    </w:p>
    <w:p>
      <w:pPr>
        <w:pStyle w:val="Title"/>
      </w:pPr>
      <w:r>
        <w:rPr>
          <w:rFonts w:ascii="Arial" w:hAnsi="Arial"/>
          <w:b/>
          <w:color w:val="263845"/>
          <w:sz w:val="52"/>
        </w:rPr>
        <w:t>Guia tecnico de arte</w:t>
      </w:r>
    </w:p>
    <w:p>
      <w:pPr>
        <w:spacing w:after="240"/>
      </w:pPr>
      <w:r>
        <w:rPr>
          <w:rFonts w:ascii="Arial" w:hAnsi="Arial"/>
          <w:color w:val="566673"/>
          <w:sz w:val="22"/>
        </w:rPr>
        <w:t>Fase 4.5 - escala, pixel art, animação e entrega de assets aprovadas para produção.</w:t>
      </w:r>
    </w:p>
    <w:p>
      <w:pPr>
        <w:spacing w:before="80" w:after="160" w:line="254" w:lineRule="auto"/>
        <w:ind w:left="113" w:right="113"/>
        <w:shd w:fill="E7ECEE"/>
      </w:pPr>
      <w:r>
        <w:rPr>
          <w:rFonts w:ascii="Arial" w:hAnsi="Arial"/>
          <w:b/>
          <w:color w:val="874B3C"/>
          <w:sz w:val="20"/>
        </w:rPr>
        <w:t xml:space="preserve">ESTADO OFICIAL  </w:t>
      </w:r>
      <w:r>
        <w:rPr>
          <w:rFonts w:ascii="Arial" w:hAnsi="Arial"/>
          <w:sz w:val="20"/>
        </w:rPr>
        <w:t>Conteúdo aprovado como base de produção v0.1. Seções EM ABERTO permanecem abertas; números de gameplay continuam balanceáveis em teste.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AR01  /  BASE OFICIAL v0.1</w:t>
      </w:r>
    </w:p>
    <w:p>
      <w:pPr>
        <w:pStyle w:val="Heading1"/>
      </w:pPr>
      <w:r>
        <w:rPr>
          <w:rFonts w:ascii="Arial" w:hAnsi="Arial"/>
        </w:rPr>
        <w:t>Escala e enquadramento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AR01 | Guia técnico de pixel art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DECIDIDO v0.1  </w:t>
      </w:r>
      <w:r>
        <w:rPr>
          <w:rFonts w:ascii="Arial" w:hAnsi="Arial"/>
          <w:sz w:val="20"/>
        </w:rPr>
        <w:t>Este guia é a base técnica oficial v0.1 para produzir e revisar arte fora da engine. A validação posterior na Godot pode exigir ajustes de implementação.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1871"/>
        <w:gridCol w:w="3969"/>
        <w:gridCol w:w="3515"/>
      </w:tblGrid>
      <w:tr>
        <w:trPr>
          <w:tblHeader/>
        </w:trPr>
        <w:tc>
          <w:tcPr>
            <w:tcW w:type="dxa" w:w="187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969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Proposta principal</w:t>
            </w:r>
          </w:p>
        </w:tc>
        <w:tc>
          <w:tcPr>
            <w:tcW w:type="dxa" w:w="351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Alternativa de contingência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Resolução lógica</w:t>
            </w:r>
          </w:p>
        </w:tc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640 por 360 px, proporção 16:9.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320 por 180 somente se a equipe preferir simplificar toda a densidade; exige reavaliar medidas.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Grade de ambiente</w:t>
            </w:r>
          </w:p>
        </w:tc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Tiles de 16 por 16 px; módulos de 32 ou 64.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Não misturar escalas arbitrárias de pixels.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 jovem</w:t>
            </w:r>
          </w:p>
        </w:tc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Corpo com cerca de 52 px da cabeça aos pés.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Confirmar na primeira prancha; só mudar com registro de versão se a leitura falhar.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Personagens humanos</w:t>
            </w:r>
          </w:p>
        </w:tc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Célula-base 96 por 96 px.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Cortes amplos usam 128 por 96, preservando pivô e escala do corpo.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Raizen</w:t>
            </w:r>
          </w:p>
        </w:tc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Corpo de cerca de 76 px; célula 128 por 128.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Não escalar um humano pronto para fingir maior detalhamento.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Exibição</w:t>
            </w:r>
          </w:p>
        </w:tc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Ampliação inteira sem suavização; bordas quando necessário.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Regra de escala para outras telas será conferida na integração.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Primeira prancha a produzir</w:t>
      </w:r>
    </w:p>
    <w:p>
      <w:r>
        <w:rPr>
          <w:rFonts w:ascii="Arial" w:hAnsi="Arial"/>
        </w:rPr>
        <w:t>Ren jovem parado, Ren preparando um corte, Daigo em guarda e um trecho de chão/fundo na mesma tela de 640 por 360. Criar uma versão do presente e uma de Eco usando o mesmo recorte. Julgar tamanho e leitura no tamanho nativo, não só ampliado. Esta entrega fornece o briefing; não contém a prancha desenhada.</w:t>
      </w:r>
    </w:p>
    <w:p>
      <w:pPr>
        <w:pStyle w:val="Heading2"/>
      </w:pPr>
      <w:r>
        <w:rPr>
          <w:rFonts w:ascii="Arial" w:hAnsi="Arial"/>
        </w:rPr>
        <w:t>Câmera como alvo de composição</w:t>
      </w:r>
    </w:p>
    <w:p>
      <w:r>
        <w:rPr>
          <w:rFonts w:ascii="Arial" w:hAnsi="Arial"/>
        </w:rPr>
        <w:t>Ponto de Ren entre 40% e 45% da largura na direção de avanço, com antecipção máxima de 48 px. Em duelo, enquadrar os dois adversários sem zoom dinâmico. Não acompanhar cada pixel da animação vertical; reservar faixa morta vertical inicial de 32 px. São metas de enquadramento, não uma câmera implementada.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AR02  /  BASE OFICIAL v0.1</w:t>
      </w:r>
    </w:p>
    <w:p>
      <w:pPr>
        <w:pStyle w:val="Heading1"/>
      </w:pPr>
      <w:r>
        <w:rPr>
          <w:rFonts w:ascii="Arial" w:hAnsi="Arial"/>
        </w:rPr>
        <w:t>Personagens, cor e proporção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AR02 | Preservar o que já foi aprovado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494"/>
        <w:gridCol w:w="4025"/>
        <w:gridCol w:w="2835"/>
      </w:tblGrid>
      <w:tr>
        <w:trPr>
          <w:tblHeader/>
        </w:trPr>
        <w:tc>
          <w:tcPr>
            <w:tcW w:type="dxa" w:w="249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Personagem / base</w:t>
            </w:r>
          </w:p>
        </w:tc>
        <w:tc>
          <w:tcPr>
            <w:tcW w:type="dxa" w:w="402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Leitura obrigatória</w:t>
            </w:r>
          </w:p>
        </w:tc>
        <w:tc>
          <w:tcPr>
            <w:tcW w:type="dxa" w:w="283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Alvo de altura do corpo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Ren: quatro idades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Faixa vermelha, cabelo-base, espada/bainha; postura evolui.</w:t>
            </w:r>
          </w:p>
        </w:tc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52 px; não encolher artificialmente a silhueta velha.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Akio: jovem e pai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Base estável, cabelo organizado, economia; jovem com faixa.</w:t>
            </w:r>
          </w:p>
        </w:tc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56 px.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Masaru: jovem e velho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Soltura e assimetria; velhice gasta, ainda perigosa.</w:t>
            </w:r>
          </w:p>
        </w:tc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54 px; Masaru terá cerca de 90 anos no confronto final, conforme T01.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Daigo / Isamu / Katsuro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Largura pesada / coluna clara / placas geométricas.</w:t>
            </w:r>
          </w:p>
        </w:tc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58 / 60 / 58 px.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Aiko: jovem e madura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Coque baixo, avental, gesto de trabalho.</w:t>
            </w:r>
          </w:p>
        </w:tc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52 px.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Raizen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Capacete incompleto, vazios, uma espada legível.</w:t>
            </w:r>
          </w:p>
        </w:tc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76 px.</w:t>
            </w:r>
          </w:p>
        </w:tc>
      </w:tr>
    </w:tbl>
    <w:p>
      <w:pPr>
        <w:spacing w:after="40"/>
      </w:pPr>
      <w:r>
        <w:t xml:space="preserve"> </w:t>
      </w:r>
    </w:p>
    <w:p>
      <w:r>
        <w:rPr>
          <w:rFonts w:ascii="Arial" w:hAnsi="Arial"/>
        </w:rPr>
        <w:t>As alturas são propostas de leitura no sprite, não medidas anatômicas oficiais. Manter a paleta aprovada de cada personagem. Detalhes finos de Masaru que já estavam provisórios continuam sujeitos a escolha; não usar este guia para fixar um objeto de juventude ainda em aberto.</w:t>
      </w:r>
    </w:p>
    <w:p>
      <w:pPr>
        <w:pStyle w:val="Heading2"/>
      </w:pPr>
      <w:r>
        <w:rPr>
          <w:rFonts w:ascii="Arial" w:hAnsi="Arial"/>
        </w:rPr>
        <w:t>Paletas de trabalho</w:t>
      </w:r>
    </w:p>
    <w:p>
      <w:r>
        <w:rPr>
          <w:rFonts w:ascii="Arial" w:hAnsi="Arial"/>
        </w:rPr>
        <w:t>Usar inicialmente de 8 a 12 cores por humano, contando luz e sombra, sem limite artificial que destrua a identidade. Reaproveitar tons de pele, tecido e metal. A base de ambiente aprovada continua madeira #695445, terra #92764F, vegetação #61725B, pedra #747D80, luz #E0D3B7 e sombra #2B343C como amostras, não como lista imutável.</w:t>
      </w:r>
    </w:p>
    <w:p>
      <w:pPr>
        <w:pStyle w:val="Heading2"/>
      </w:pPr>
      <w:r>
        <w:rPr>
          <w:rFonts w:ascii="Arial" w:hAnsi="Arial"/>
        </w:rPr>
        <w:t>Três verificações fora da engine</w:t>
      </w:r>
    </w:p>
    <w:p>
      <w:r>
        <w:rPr>
          <w:rFonts w:ascii="Arial" w:hAnsi="Arial"/>
        </w:rPr>
        <w:t>Comparar silhuetas em uma cor; comparar personagens sobre seus fundos reais em escala de cinza; comparar preparação do ataque, contato e recuperação lado a lado. A forma da arma e o corpo precisam sobreviver sem partículas ou brilho. Não tornar Daigo e Masaru intercambiáveis por ambos terem alguma assimetria.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FONTE  </w:t>
      </w:r>
      <w:r>
        <w:rPr>
          <w:rFonts w:ascii="Arial" w:hAnsi="Arial"/>
          <w:sz w:val="20"/>
        </w:rPr>
        <w:t>Fase 3, B04/V01–V09, e fichas aprovadas das Rodadas A/B. Densidade, alturas e quantidade de cores acima são novas propostas técnicas.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AR03  /  BASE OFICIAL v0.1</w:t>
      </w:r>
    </w:p>
    <w:p>
      <w:pPr>
        <w:pStyle w:val="Heading1"/>
      </w:pPr>
      <w:r>
        <w:rPr>
          <w:rFonts w:ascii="Arial" w:hAnsi="Arial"/>
        </w:rPr>
        <w:t>Animação por poses claras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AR03 | Conjunto inicial de Ren jovem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3402"/>
        <w:gridCol w:w="1928"/>
        <w:gridCol w:w="4025"/>
      </w:tblGrid>
      <w:tr>
        <w:trPr>
          <w:tblHeader/>
        </w:trPr>
        <w:tc>
          <w:tcPr>
            <w:tcW w:type="dxa" w:w="3402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Conjunto</w:t>
            </w:r>
          </w:p>
        </w:tc>
        <w:tc>
          <w:tcPr>
            <w:tcW w:type="dxa" w:w="192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Desenhos-alvo</w:t>
            </w:r>
          </w:p>
        </w:tc>
        <w:tc>
          <w:tcPr>
            <w:tcW w:type="dxa" w:w="402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Observação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Repouso / andar / correr</w:t>
            </w:r>
          </w:p>
        </w:tc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4 / 4 / 6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Andar acompanha o controle analógico.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Subida e queda / pouso</w:t>
            </w:r>
          </w:p>
        </w:tc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4 / 2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Reutilizar poses ao variar duração.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Esquiva / ataque aéreo</w:t>
            </w:r>
          </w:p>
        </w:tc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5 / 4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Invulnerabilidade não depende do número de desenhos.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Leve 1 / leve 2 / forte</w:t>
            </w:r>
          </w:p>
        </w:tc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6 / 6 / 8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Preparar, tocar e recuperar devem ter poses distintas.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Guarda / parry / resposta</w:t>
            </w:r>
          </w:p>
        </w:tc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 / 3 / 6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Resposta preserva a herança de Akio.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Dano / postura quebrada / ruptura</w:t>
            </w:r>
          </w:p>
        </w:tc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3 / 4 / 6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Ruptura não pressupõe execução de chefe.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Sacar / guardar / Eco / morte</w:t>
            </w:r>
          </w:p>
        </w:tc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4 / 4 / 4 / 5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Interações curtas podem reutilizar poses.</w:t>
            </w:r>
          </w:p>
        </w:tc>
      </w:tr>
    </w:tbl>
    <w:p>
      <w:pPr>
        <w:spacing w:after="40"/>
      </w:pPr>
      <w:r>
        <w:t xml:space="preserve"> </w:t>
      </w:r>
    </w:p>
    <w:p>
      <w:r>
        <w:rPr>
          <w:rFonts w:ascii="Arial" w:hAnsi="Arial"/>
        </w:rPr>
        <w:t>Total de planejamento para esse conjunto: 89 desenhos, antes de reutilização e de gestos narrativos adicionais. É um teto inicial de discussão, não um compromisso de produzir exatamente 89 arquivos. Variantes etárias exigem arte própria, mesmo quando reaproveitam estrutura e poses.</w:t>
      </w:r>
    </w:p>
    <w:p>
      <w:pPr>
        <w:pStyle w:val="Heading2"/>
      </w:pPr>
      <w:r>
        <w:rPr>
          <w:rFonts w:ascii="Arial" w:hAnsi="Arial"/>
        </w:rPr>
        <w:t>Tempo de jogo não é taxa fixa de desenho</w:t>
      </w:r>
    </w:p>
    <w:p>
      <w:r>
        <w:rPr>
          <w:rFonts w:ascii="Arial" w:hAnsi="Arial"/>
        </w:rPr>
        <w:t>Usar durações variáveis para as poses: uma preparação longa pode manter uma pose, enquanto o contato usa outra por menos tempo. Marcar em uma ficha os momentos de preparação, contato, recuperação e cancelamento. Não vincular toda a animação a uma taxa fixa que obrigue a redesenhar para ajustar o parry.</w:t>
      </w:r>
    </w:p>
    <w:p>
      <w:pPr>
        <w:pStyle w:val="Heading2"/>
      </w:pPr>
      <w:r>
        <w:rPr>
          <w:rFonts w:ascii="Arial" w:hAnsi="Arial"/>
        </w:rPr>
        <w:t>Ordem para reduzir retrabalho</w:t>
      </w:r>
    </w:p>
    <w:p>
      <w:r>
        <w:rPr>
          <w:rFonts w:ascii="Arial" w:hAnsi="Arial"/>
        </w:rPr>
        <w:t>Aprovar corpo-base e três poses de espada de Ren; animar repouso/corrida/leve/parry; conferir Daigo e um inimigo na mesma escala; só então ampliar o conjunto. A arte das outras idades vem depois da consistência dessa base, ainda antes da Godot na ordem solicitada.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EM ABERTO  </w:t>
      </w:r>
      <w:r>
        <w:rPr>
          <w:rFonts w:ascii="Arial" w:hAnsi="Arial"/>
          <w:sz w:val="20"/>
        </w:rPr>
        <w:t>Número final de desenhos e ritmo de exibição. A produção pode reduzir um conjunto se a leitura continuar boa, com registro da alteração.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AR04  /  BASE OFICIAL v0.1</w:t>
      </w:r>
    </w:p>
    <w:p>
      <w:pPr>
        <w:pStyle w:val="Heading1"/>
      </w:pPr>
      <w:r>
        <w:rPr>
          <w:rFonts w:ascii="Arial" w:hAnsi="Arial"/>
        </w:rPr>
        <w:t>Entrega dos arquivos de arte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AR04 | Organização, ambientes e efeitos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835"/>
        <w:gridCol w:w="6520"/>
      </w:tblGrid>
      <w:tr>
        <w:trPr>
          <w:tblHeader/>
        </w:trPr>
        <w:tc>
          <w:tcPr>
            <w:tcW w:type="dxa" w:w="283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Arquivo / convenção</w:t>
            </w:r>
          </w:p>
        </w:tc>
        <w:tc>
          <w:tcPr>
            <w:tcW w:type="dxa" w:w="6520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Contrato proposto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Nome</w:t>
            </w:r>
          </w:p>
        </w:tc>
        <w:tc>
          <w:tcPr>
            <w:tcW w:type="dxa" w:w="6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chr_ren_jovem_parry_v001.png; env_natureza_base_v001.png. Sem espaços ou acentos em nomes técnicos.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Fonte editável</w:t>
            </w:r>
          </w:p>
        </w:tc>
        <w:tc>
          <w:tcPr>
            <w:tcW w:type="dxa" w:w="6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Guardar o arquivo do editor escolhido com camadas; não entregar somente uma imagem achatada.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Exportação</w:t>
            </w:r>
          </w:p>
        </w:tc>
        <w:tc>
          <w:tcPr>
            <w:tcW w:type="dxa" w:w="6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PNG transparente nos sprites; folhas por animação, células iguais e sem redimensionar o corpo.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Pivô humano</w:t>
            </w:r>
          </w:p>
        </w:tc>
        <w:tc>
          <w:tcPr>
            <w:tcW w:type="dxa" w:w="6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Base 96x96: pés em (48,80). Ataque 128x96: pés em (64,80). O ponto dos pés se alinha no mundo.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Ficha de acompanhamento</w:t>
            </w:r>
          </w:p>
        </w:tc>
        <w:tc>
          <w:tcPr>
            <w:tcW w:type="dxa" w:w="6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ID, dimensão da célula, pivô, ordem dos desenhos, durações, contato visual e origem/autoria.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Direções</w:t>
            </w:r>
          </w:p>
        </w:tc>
        <w:tc>
          <w:tcPr>
            <w:tcW w:type="dxa" w:w="6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Desenho voltado à direita e espelhamento inicial. Criar versão contrária só quando um detalhe realmente exigir.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Ambientes em três famílias</w:t>
      </w:r>
    </w:p>
    <w:p>
      <w:r>
        <w:rPr>
          <w:rFonts w:ascii="Arial" w:hAnsi="Arial"/>
        </w:rPr>
        <w:t>Natureza/caminho, construção rural e pedra/abrigo. Folhas de 256 por 256 px com grade 16 não precisam preencher todas as células. Começar com até 64 tiles desenhados por família, 24 objetos compartilhados, cinco fundos e oito sobreposições de Eco. São limites de catálogo, não quantidade garantida de conteúdo necessário.</w:t>
      </w:r>
    </w:p>
    <w:p>
      <w:pPr>
        <w:pStyle w:val="Heading2"/>
      </w:pPr>
      <w:r>
        <w:rPr>
          <w:rFonts w:ascii="Arial" w:hAnsi="Arial"/>
        </w:rPr>
        <w:t>Efeitos essenciais</w:t>
      </w:r>
    </w:p>
    <w:p>
      <w:r>
        <w:rPr>
          <w:rFonts w:ascii="Arial" w:hAnsi="Arial"/>
        </w:rPr>
        <w:t>Corte, contato, parry, quebra de postura, cura, limiar, Passo do Eco e perda de coesão de Raizen. Efeitos de chuva, folhas e neve ficam subordinados à leitura e não precisam de sistemas exclusivos. O rastro residual não ganha uma segunda área de dano.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PRONTO PARA INTEGRAÇÃO  </w:t>
      </w:r>
      <w:r>
        <w:rPr>
          <w:rFonts w:ascii="Arial" w:hAnsi="Arial"/>
          <w:sz w:val="20"/>
        </w:rPr>
        <w:t>Um ativo só recebe esse estado quando existem arquivo editável, exportação, ficha e revisão visual. Isso ainda não significa integrado ou testado no jogo. Fontes tipográficas devem ter permissão de uso verificada; nenhum arquivo de fonte acompanha este pacote.</w:t>
      </w:r>
    </w:p>
    <w:sectPr w:rsidR="00FC693F" w:rsidRPr="0006063C" w:rsidSect="00034616">
      <w:footerReference w:type="default" r:id="rId9"/>
      <w:pgSz w:w="11906" w:h="16838"/>
      <w:pgMar w:top="935" w:right="1134" w:bottom="964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spacing w:after="0"/>
    </w:pPr>
    <w:r>
      <w:rPr>
        <w:rFonts w:ascii="Arial" w:hAnsi="Arial"/>
        <w:color w:val="566673"/>
        <w:sz w:val="16"/>
      </w:rPr>
      <w:t>CHRONUS  |  Guia tecnico de arte  |  v0.1</w:t>
    </w:r>
    <w:r>
      <w:tab/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/>
      <w:color w:val="2638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63845"/>
      <w:sz w:val="4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874B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2638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638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tecnico de arte</dc:title>
  <dc:subject>Chronus - documentacao oficial</dc:subject>
  <dc:creator>Projeto Chronus</dc:creator>
  <cp:keywords>Chronus; Godot; pixel art; documento oficial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