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8E36" w14:textId="77777777" w:rsidR="00713F3F" w:rsidRDefault="00713F3F" w:rsidP="00713F3F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vrwhpfi8zwoc" w:colFirst="0" w:colLast="0"/>
      <w:bookmarkEnd w:id="0"/>
    </w:p>
    <w:p w14:paraId="022FA6DB" w14:textId="77777777" w:rsidR="00713F3F" w:rsidRDefault="00713F3F" w:rsidP="00713F3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920CF23" w14:textId="77777777" w:rsidR="00713F3F" w:rsidRDefault="00713F3F" w:rsidP="00713F3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AB758AA" w14:textId="77777777" w:rsidR="00713F3F" w:rsidRDefault="00713F3F" w:rsidP="00713F3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D178B4" w14:textId="77777777" w:rsidR="00713F3F" w:rsidRDefault="00713F3F" w:rsidP="00713F3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D10707A" w14:textId="77777777" w:rsidR="00713F3F" w:rsidRDefault="00713F3F" w:rsidP="00713F3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AB7BF0D" w14:textId="2345DEDC" w:rsidR="00713F3F" w:rsidRPr="002E6E39" w:rsidRDefault="00713F3F" w:rsidP="00713F3F">
      <w:pPr>
        <w:jc w:val="center"/>
        <w:rPr>
          <w:sz w:val="52"/>
          <w:szCs w:val="52"/>
        </w:rPr>
      </w:pPr>
      <w:r w:rsidRPr="002E6E39">
        <w:rPr>
          <w:sz w:val="52"/>
          <w:szCs w:val="52"/>
        </w:rPr>
        <w:t>TECH CHALLENGE – FASE 0</w:t>
      </w:r>
      <w:r>
        <w:rPr>
          <w:sz w:val="52"/>
          <w:szCs w:val="52"/>
        </w:rPr>
        <w:t>3</w:t>
      </w:r>
    </w:p>
    <w:p w14:paraId="4CCE9442" w14:textId="22E7937B" w:rsidR="00713F3F" w:rsidRPr="002E6E39" w:rsidRDefault="00713F3F" w:rsidP="00713F3F">
      <w:pPr>
        <w:jc w:val="center"/>
        <w:rPr>
          <w:sz w:val="40"/>
          <w:szCs w:val="40"/>
        </w:rPr>
      </w:pPr>
      <w:r w:rsidRPr="00713F3F">
        <w:rPr>
          <w:sz w:val="40"/>
          <w:szCs w:val="40"/>
        </w:rPr>
        <w:t>ANÁLISE DOS INDICADORES POPULACIONAIS E CLÍNICOS DA COVID-19</w:t>
      </w:r>
    </w:p>
    <w:p w14:paraId="77C459F1" w14:textId="77777777" w:rsidR="00713F3F" w:rsidRPr="002E6E39" w:rsidRDefault="00713F3F" w:rsidP="00713F3F">
      <w:pPr>
        <w:jc w:val="center"/>
      </w:pPr>
      <w:r w:rsidRPr="002E6E39">
        <w:t>Bruna Alve</w:t>
      </w:r>
      <w:r>
        <w:t>s</w:t>
      </w:r>
      <w:r w:rsidRPr="002E6E39">
        <w:t xml:space="preserve"> de Amorim</w:t>
      </w:r>
    </w:p>
    <w:p w14:paraId="42BB7AB2" w14:textId="77777777" w:rsidR="00713F3F" w:rsidRPr="002E6E39" w:rsidRDefault="00713F3F" w:rsidP="00713F3F">
      <w:pPr>
        <w:jc w:val="center"/>
      </w:pPr>
      <w:r w:rsidRPr="002E6E39">
        <w:t>Matheus Cesar do Amaral</w:t>
      </w:r>
    </w:p>
    <w:p w14:paraId="2D5EDA27" w14:textId="14E50083" w:rsidR="00713F3F" w:rsidRPr="002E6E39" w:rsidRDefault="00FD691C" w:rsidP="00713F3F">
      <w:pPr>
        <w:jc w:val="center"/>
      </w:pPr>
      <w:proofErr w:type="spellStart"/>
      <w:r>
        <w:t>Donizet</w:t>
      </w:r>
      <w:r w:rsidR="00EA7A8B">
        <w:t>i</w:t>
      </w:r>
      <w:proofErr w:type="spellEnd"/>
      <w:r>
        <w:t xml:space="preserve"> Carlos dos Santos Junior</w:t>
      </w:r>
    </w:p>
    <w:p w14:paraId="2AE3DBB1" w14:textId="77777777" w:rsidR="00713F3F" w:rsidRPr="002E6E39" w:rsidRDefault="00713F3F" w:rsidP="00713F3F">
      <w:pPr>
        <w:jc w:val="center"/>
      </w:pPr>
      <w:r w:rsidRPr="002E6E39">
        <w:t xml:space="preserve">Yuri Tierno </w:t>
      </w:r>
      <w:proofErr w:type="spellStart"/>
      <w:r w:rsidRPr="002E6E39">
        <w:t>Popic</w:t>
      </w:r>
      <w:proofErr w:type="spellEnd"/>
    </w:p>
    <w:p w14:paraId="026FE0C2" w14:textId="77777777" w:rsidR="00713F3F" w:rsidRDefault="00713F3F" w:rsidP="00713F3F">
      <w:pPr>
        <w:jc w:val="center"/>
        <w:rPr>
          <w:rFonts w:ascii="Times New Roman" w:hAnsi="Times New Roman" w:cs="Times New Roman"/>
        </w:rPr>
      </w:pPr>
    </w:p>
    <w:p w14:paraId="190E2295" w14:textId="77777777" w:rsidR="00713F3F" w:rsidRDefault="00713F3F" w:rsidP="00713F3F">
      <w:pPr>
        <w:jc w:val="center"/>
        <w:rPr>
          <w:rFonts w:ascii="Times New Roman" w:hAnsi="Times New Roman" w:cs="Times New Roman"/>
        </w:rPr>
      </w:pPr>
    </w:p>
    <w:p w14:paraId="4E517922" w14:textId="77777777" w:rsidR="00713F3F" w:rsidRDefault="00713F3F" w:rsidP="00713F3F">
      <w:pPr>
        <w:jc w:val="center"/>
        <w:rPr>
          <w:rFonts w:ascii="Times New Roman" w:hAnsi="Times New Roman" w:cs="Times New Roman"/>
        </w:rPr>
      </w:pPr>
    </w:p>
    <w:p w14:paraId="26A0F761" w14:textId="77777777" w:rsidR="00713F3F" w:rsidRDefault="00713F3F" w:rsidP="00713F3F">
      <w:pPr>
        <w:jc w:val="center"/>
        <w:rPr>
          <w:rFonts w:ascii="Times New Roman" w:hAnsi="Times New Roman" w:cs="Times New Roman"/>
        </w:rPr>
      </w:pPr>
    </w:p>
    <w:p w14:paraId="083EF88B" w14:textId="77777777" w:rsidR="00713F3F" w:rsidRDefault="00713F3F" w:rsidP="00713F3F">
      <w:pPr>
        <w:jc w:val="center"/>
        <w:rPr>
          <w:rFonts w:ascii="Times New Roman" w:hAnsi="Times New Roman" w:cs="Times New Roman"/>
        </w:rPr>
      </w:pPr>
    </w:p>
    <w:p w14:paraId="72D197BA" w14:textId="77777777" w:rsidR="00713F3F" w:rsidRDefault="00713F3F" w:rsidP="00713F3F">
      <w:pPr>
        <w:rPr>
          <w:rFonts w:ascii="Times New Roman" w:hAnsi="Times New Roman" w:cs="Times New Roman"/>
          <w:sz w:val="52"/>
          <w:szCs w:val="52"/>
        </w:rPr>
      </w:pPr>
    </w:p>
    <w:p w14:paraId="6DB6B35A" w14:textId="77777777" w:rsidR="00713F3F" w:rsidRDefault="00713F3F" w:rsidP="00713F3F">
      <w:pPr>
        <w:rPr>
          <w:rFonts w:ascii="Times New Roman" w:hAnsi="Times New Roman" w:cs="Times New Roman"/>
          <w:sz w:val="52"/>
          <w:szCs w:val="52"/>
        </w:rPr>
      </w:pPr>
    </w:p>
    <w:p w14:paraId="150B7C68" w14:textId="77777777" w:rsidR="00713F3F" w:rsidRDefault="00713F3F" w:rsidP="00713F3F">
      <w:pPr>
        <w:rPr>
          <w:rFonts w:ascii="Times New Roman" w:hAnsi="Times New Roman" w:cs="Times New Roman"/>
          <w:sz w:val="52"/>
          <w:szCs w:val="52"/>
        </w:rPr>
      </w:pPr>
    </w:p>
    <w:p w14:paraId="74B06D3B" w14:textId="77777777" w:rsidR="00713F3F" w:rsidRDefault="00713F3F" w:rsidP="00713F3F"/>
    <w:p w14:paraId="2A827C90" w14:textId="77777777" w:rsidR="00713F3F" w:rsidRDefault="00713F3F">
      <w:pPr>
        <w:pStyle w:val="Ttulo1"/>
        <w:spacing w:line="360" w:lineRule="auto"/>
        <w:jc w:val="both"/>
        <w:rPr>
          <w:b/>
        </w:rPr>
      </w:pPr>
    </w:p>
    <w:p w14:paraId="48E2EA23" w14:textId="77777777" w:rsidR="00713F3F" w:rsidRDefault="00713F3F">
      <w:pPr>
        <w:rPr>
          <w:b/>
          <w:sz w:val="40"/>
          <w:szCs w:val="40"/>
        </w:rPr>
      </w:pPr>
      <w:r>
        <w:rPr>
          <w:b/>
        </w:rPr>
        <w:br w:type="page"/>
      </w:r>
    </w:p>
    <w:p w14:paraId="306645F3" w14:textId="77777777" w:rsidR="00AB1C22" w:rsidRDefault="00000000">
      <w:pPr>
        <w:pStyle w:val="Ttulo2"/>
        <w:keepNext w:val="0"/>
        <w:keepLines w:val="0"/>
        <w:spacing w:after="80" w:line="360" w:lineRule="auto"/>
        <w:jc w:val="both"/>
        <w:rPr>
          <w:b/>
          <w:sz w:val="28"/>
          <w:szCs w:val="28"/>
        </w:rPr>
      </w:pPr>
      <w:bookmarkStart w:id="1" w:name="_bit5y2rn9odm" w:colFirst="0" w:colLast="0"/>
      <w:bookmarkEnd w:id="1"/>
      <w:r>
        <w:rPr>
          <w:b/>
          <w:sz w:val="28"/>
          <w:szCs w:val="28"/>
        </w:rPr>
        <w:lastRenderedPageBreak/>
        <w:t xml:space="preserve">1 </w:t>
      </w:r>
      <w:proofErr w:type="spellStart"/>
      <w:r>
        <w:rPr>
          <w:b/>
          <w:sz w:val="28"/>
          <w:szCs w:val="28"/>
        </w:rPr>
        <w:t>Introdução</w:t>
      </w:r>
      <w:proofErr w:type="spellEnd"/>
    </w:p>
    <w:p w14:paraId="5E964DC6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pandemia de COVID-19 </w:t>
      </w:r>
      <w:proofErr w:type="spellStart"/>
      <w:r>
        <w:rPr>
          <w:sz w:val="24"/>
          <w:szCs w:val="24"/>
        </w:rPr>
        <w:t>constituiu</w:t>
      </w:r>
      <w:proofErr w:type="spellEnd"/>
      <w:r>
        <w:rPr>
          <w:sz w:val="24"/>
          <w:szCs w:val="24"/>
        </w:rPr>
        <w:t xml:space="preserve"> um dos </w:t>
      </w:r>
      <w:proofErr w:type="spellStart"/>
      <w:r>
        <w:rPr>
          <w:sz w:val="24"/>
          <w:szCs w:val="24"/>
        </w:rPr>
        <w:t>maiores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desafios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sanitários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história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afetando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, mas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estruturas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econômicas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escala</w:t>
      </w:r>
      <w:proofErr w:type="spellEnd"/>
      <w:r>
        <w:rPr>
          <w:sz w:val="24"/>
          <w:szCs w:val="24"/>
        </w:rPr>
        <w:t xml:space="preserve"> global. No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progressão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fortemente </w:t>
      </w:r>
      <w:proofErr w:type="spellStart"/>
      <w:r>
        <w:rPr>
          <w:sz w:val="24"/>
          <w:szCs w:val="24"/>
        </w:rPr>
        <w:t>influenciada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desigualdades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estruturais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condicionaram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desigual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assistência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médica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diagnóstico</w:t>
      </w:r>
      <w:proofErr w:type="spellEnd"/>
      <w:r>
        <w:rPr>
          <w:sz w:val="24"/>
          <w:szCs w:val="24"/>
        </w:rPr>
        <w:t xml:space="preserve">. Segundo o </w:t>
      </w:r>
      <w:proofErr w:type="spellStart"/>
      <w:r>
        <w:rPr>
          <w:sz w:val="24"/>
          <w:szCs w:val="24"/>
        </w:rPr>
        <w:t>Núcleo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Operações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Inteligência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, a taxa de </w:t>
      </w:r>
      <w:proofErr w:type="spellStart"/>
      <w:r>
        <w:rPr>
          <w:sz w:val="24"/>
          <w:szCs w:val="24"/>
        </w:rPr>
        <w:t>letalidade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país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mostrou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elevada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influenciada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sociais</w:t>
      </w:r>
      <w:proofErr w:type="spellEnd"/>
      <w:r>
        <w:rPr>
          <w:sz w:val="24"/>
          <w:szCs w:val="24"/>
        </w:rPr>
        <w:t xml:space="preserve"> e pela </w:t>
      </w:r>
      <w:proofErr w:type="spellStart"/>
      <w:r>
        <w:rPr>
          <w:sz w:val="24"/>
          <w:szCs w:val="24"/>
        </w:rPr>
        <w:t>desigualdade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</w:t>
      </w:r>
      <w:proofErr w:type="spellEnd"/>
      <w:r>
        <w:rPr>
          <w:sz w:val="24"/>
          <w:szCs w:val="24"/>
        </w:rPr>
        <w:t>.</w:t>
      </w:r>
    </w:p>
    <w:p w14:paraId="47327E3E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Além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fatores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epidemiológicos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contexto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pandêmico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forçou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abrupta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tradicional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médico</w:t>
      </w:r>
      <w:proofErr w:type="spellEnd"/>
      <w:r>
        <w:rPr>
          <w:sz w:val="24"/>
          <w:szCs w:val="24"/>
        </w:rPr>
        <w:t xml:space="preserve">. As </w:t>
      </w:r>
      <w:proofErr w:type="spellStart"/>
      <w:r>
        <w:rPr>
          <w:sz w:val="24"/>
          <w:szCs w:val="24"/>
        </w:rPr>
        <w:t>instituições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tiveram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abandonar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temporariamente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cuidado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presencial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investir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tecnológicas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permitissem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acompanhamento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. Essa </w:t>
      </w:r>
      <w:proofErr w:type="spellStart"/>
      <w:r>
        <w:rPr>
          <w:sz w:val="24"/>
          <w:szCs w:val="24"/>
        </w:rPr>
        <w:t>transição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representou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duplo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desafio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compreender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nova </w:t>
      </w:r>
      <w:proofErr w:type="spellStart"/>
      <w:r>
        <w:rPr>
          <w:sz w:val="24"/>
          <w:szCs w:val="24"/>
        </w:rPr>
        <w:t>doença</w:t>
      </w:r>
      <w:proofErr w:type="spellEnd"/>
      <w:r>
        <w:rPr>
          <w:sz w:val="24"/>
          <w:szCs w:val="24"/>
        </w:rPr>
        <w:t xml:space="preserve"> e, </w:t>
      </w:r>
      <w:proofErr w:type="spellStart"/>
      <w:r>
        <w:rPr>
          <w:sz w:val="24"/>
          <w:szCs w:val="24"/>
        </w:rPr>
        <w:t>simultaneamente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adaptar</w:t>
      </w:r>
      <w:proofErr w:type="spellEnd"/>
      <w:r>
        <w:rPr>
          <w:sz w:val="24"/>
          <w:szCs w:val="24"/>
        </w:rPr>
        <w:t xml:space="preserve">-se a </w:t>
      </w:r>
      <w:proofErr w:type="spellStart"/>
      <w:r>
        <w:rPr>
          <w:sz w:val="24"/>
          <w:szCs w:val="24"/>
        </w:rPr>
        <w:t>novas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prestação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cuidado</w:t>
      </w:r>
      <w:proofErr w:type="spellEnd"/>
      <w:r>
        <w:rPr>
          <w:sz w:val="24"/>
          <w:szCs w:val="24"/>
        </w:rPr>
        <w:t>.</w:t>
      </w:r>
    </w:p>
    <w:p w14:paraId="7721FE24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avanço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tecnologias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aplicadas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teleconsultas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plataformas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triagem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automatizada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monitoramento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remoto</w:t>
      </w:r>
      <w:proofErr w:type="spellEnd"/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emergiu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alternativa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efetiva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segura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manter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comunicação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profissionais</w:t>
      </w:r>
      <w:proofErr w:type="spellEnd"/>
      <w:r>
        <w:rPr>
          <w:sz w:val="24"/>
          <w:szCs w:val="24"/>
        </w:rPr>
        <w:t xml:space="preserve">. A pandemia, </w:t>
      </w:r>
      <w:proofErr w:type="spellStart"/>
      <w:r>
        <w:rPr>
          <w:sz w:val="24"/>
          <w:szCs w:val="24"/>
        </w:rPr>
        <w:t>portanto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consolidou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marco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transformação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tecnológica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setor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impondo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necessidade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novas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estratégias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assistenciais</w:t>
      </w:r>
      <w:proofErr w:type="spellEnd"/>
      <w:r>
        <w:rPr>
          <w:sz w:val="24"/>
          <w:szCs w:val="24"/>
        </w:rPr>
        <w:t xml:space="preserve"> e de </w:t>
      </w:r>
      <w:proofErr w:type="spellStart"/>
      <w:r>
        <w:rPr>
          <w:sz w:val="24"/>
          <w:szCs w:val="24"/>
        </w:rPr>
        <w:t>adequação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realidade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distanciamento</w:t>
      </w:r>
      <w:proofErr w:type="spellEnd"/>
      <w:r>
        <w:rPr>
          <w:sz w:val="24"/>
          <w:szCs w:val="24"/>
        </w:rPr>
        <w:t xml:space="preserve"> social.</w:t>
      </w:r>
    </w:p>
    <w:p w14:paraId="6E1FA150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estudo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desenvolvido</w:t>
      </w:r>
      <w:proofErr w:type="spellEnd"/>
      <w:r>
        <w:rPr>
          <w:sz w:val="24"/>
          <w:szCs w:val="24"/>
        </w:rPr>
        <w:t xml:space="preserve"> sob a </w:t>
      </w:r>
      <w:proofErr w:type="spellStart"/>
      <w:r>
        <w:rPr>
          <w:sz w:val="24"/>
          <w:szCs w:val="24"/>
        </w:rPr>
        <w:t>perspectiva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de dados, </w:t>
      </w:r>
      <w:proofErr w:type="spellStart"/>
      <w:r>
        <w:rPr>
          <w:sz w:val="24"/>
          <w:szCs w:val="24"/>
        </w:rPr>
        <w:t>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compreender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populacional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a pandemia da COVID-19 no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 xml:space="preserve">, com base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microdados</w:t>
      </w:r>
      <w:proofErr w:type="spellEnd"/>
      <w:r>
        <w:rPr>
          <w:sz w:val="24"/>
          <w:szCs w:val="24"/>
        </w:rPr>
        <w:t xml:space="preserve"> da </w:t>
      </w:r>
      <w:r>
        <w:rPr>
          <w:b/>
          <w:sz w:val="24"/>
          <w:szCs w:val="24"/>
        </w:rPr>
        <w:t>PNAD-COVID-19</w:t>
      </w:r>
      <w:r>
        <w:rPr>
          <w:sz w:val="24"/>
          <w:szCs w:val="24"/>
        </w:rPr>
        <w:t xml:space="preserve"> do Instituto Brasileiro de Geografia e </w:t>
      </w:r>
      <w:proofErr w:type="spellStart"/>
      <w:r>
        <w:rPr>
          <w:sz w:val="24"/>
          <w:szCs w:val="24"/>
        </w:rPr>
        <w:t>Estatística</w:t>
      </w:r>
      <w:proofErr w:type="spellEnd"/>
      <w:r>
        <w:rPr>
          <w:sz w:val="24"/>
          <w:szCs w:val="24"/>
        </w:rPr>
        <w:t xml:space="preserve"> (IBGE). </w:t>
      </w:r>
      <w:proofErr w:type="spellStart"/>
      <w:r>
        <w:rPr>
          <w:sz w:val="24"/>
          <w:szCs w:val="24"/>
        </w:rPr>
        <w:t>Pretende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identificar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econômicos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sociais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relevantes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subsidiar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planejamento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orientar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estratégicas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epidêmicos</w:t>
      </w:r>
      <w:proofErr w:type="spellEnd"/>
      <w:r>
        <w:rPr>
          <w:sz w:val="24"/>
          <w:szCs w:val="24"/>
        </w:rPr>
        <w:t>.</w:t>
      </w:r>
    </w:p>
    <w:p w14:paraId="4E7C6C2E" w14:textId="77777777" w:rsidR="00AB1C22" w:rsidRDefault="00000000">
      <w:pPr>
        <w:pStyle w:val="Ttulo2"/>
        <w:keepNext w:val="0"/>
        <w:keepLines w:val="0"/>
        <w:spacing w:after="80" w:line="360" w:lineRule="auto"/>
        <w:jc w:val="both"/>
        <w:rPr>
          <w:b/>
          <w:sz w:val="28"/>
          <w:szCs w:val="28"/>
        </w:rPr>
      </w:pPr>
      <w:bookmarkStart w:id="2" w:name="_hf0hvh88yn0e" w:colFirst="0" w:colLast="0"/>
      <w:bookmarkEnd w:id="2"/>
      <w:r>
        <w:rPr>
          <w:b/>
          <w:sz w:val="28"/>
          <w:szCs w:val="28"/>
        </w:rPr>
        <w:lastRenderedPageBreak/>
        <w:t xml:space="preserve">2 </w:t>
      </w:r>
      <w:proofErr w:type="spellStart"/>
      <w:r>
        <w:rPr>
          <w:b/>
          <w:sz w:val="28"/>
          <w:szCs w:val="28"/>
        </w:rPr>
        <w:t>Metodologia</w:t>
      </w:r>
      <w:proofErr w:type="spellEnd"/>
    </w:p>
    <w:p w14:paraId="164EECC4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estruturado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um </w:t>
      </w:r>
      <w:r>
        <w:rPr>
          <w:b/>
          <w:sz w:val="24"/>
          <w:szCs w:val="24"/>
        </w:rPr>
        <w:t xml:space="preserve">pipeline de </w:t>
      </w:r>
      <w:proofErr w:type="spellStart"/>
      <w:r>
        <w:rPr>
          <w:b/>
          <w:sz w:val="24"/>
          <w:szCs w:val="24"/>
        </w:rPr>
        <w:t>ingestão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transformação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sobre</w:t>
      </w:r>
      <w:proofErr w:type="spellEnd"/>
      <w:r>
        <w:rPr>
          <w:b/>
          <w:sz w:val="24"/>
          <w:szCs w:val="24"/>
        </w:rPr>
        <w:t xml:space="preserve"> a AWS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Figura</w:t>
      </w:r>
      <w:proofErr w:type="spellEnd"/>
      <w:r>
        <w:rPr>
          <w:b/>
          <w:sz w:val="24"/>
          <w:szCs w:val="24"/>
        </w:rPr>
        <w:t xml:space="preserve"> 1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apresenta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fluxo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ingestão</w:t>
      </w:r>
      <w:proofErr w:type="spellEnd"/>
      <w:r>
        <w:rPr>
          <w:sz w:val="24"/>
          <w:szCs w:val="24"/>
        </w:rPr>
        <w:t xml:space="preserve"> dos dados </w:t>
      </w:r>
      <w:proofErr w:type="spellStart"/>
      <w:r>
        <w:rPr>
          <w:sz w:val="24"/>
          <w:szCs w:val="24"/>
        </w:rPr>
        <w:t>brutos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camada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analítica</w:t>
      </w:r>
      <w:proofErr w:type="spellEnd"/>
      <w:r>
        <w:rPr>
          <w:sz w:val="24"/>
          <w:szCs w:val="24"/>
        </w:rPr>
        <w:t xml:space="preserve"> no Power BI.</w:t>
      </w:r>
    </w:p>
    <w:p w14:paraId="6CDDDCB0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0CC5AFB" wp14:editId="5ACB24D3">
            <wp:extent cx="5943600" cy="1181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842B4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é </w:t>
      </w:r>
      <w:proofErr w:type="spellStart"/>
      <w:r>
        <w:rPr>
          <w:sz w:val="24"/>
          <w:szCs w:val="24"/>
        </w:rPr>
        <w:t>possível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imagem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fluxo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camada</w:t>
      </w:r>
      <w:proofErr w:type="spellEnd"/>
      <w:r>
        <w:rPr>
          <w:b/>
          <w:sz w:val="24"/>
          <w:szCs w:val="24"/>
        </w:rPr>
        <w:t xml:space="preserve"> SOR (System of Record)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hospedada</w:t>
      </w:r>
      <w:proofErr w:type="spellEnd"/>
      <w:r>
        <w:rPr>
          <w:sz w:val="24"/>
          <w:szCs w:val="24"/>
        </w:rPr>
        <w:t xml:space="preserve"> no Amazon S3,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arquivos</w:t>
      </w:r>
      <w:proofErr w:type="spellEnd"/>
      <w:r>
        <w:rPr>
          <w:sz w:val="24"/>
          <w:szCs w:val="24"/>
        </w:rPr>
        <w:t xml:space="preserve"> CSV </w:t>
      </w:r>
      <w:proofErr w:type="spellStart"/>
      <w:r>
        <w:rPr>
          <w:sz w:val="24"/>
          <w:szCs w:val="24"/>
        </w:rPr>
        <w:t>originais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armazenados</w:t>
      </w:r>
      <w:proofErr w:type="spellEnd"/>
      <w:r>
        <w:rPr>
          <w:sz w:val="24"/>
          <w:szCs w:val="24"/>
        </w:rPr>
        <w:t xml:space="preserve"> de forma </w:t>
      </w:r>
      <w:proofErr w:type="spellStart"/>
      <w:r>
        <w:rPr>
          <w:sz w:val="24"/>
          <w:szCs w:val="24"/>
        </w:rPr>
        <w:t>íntegra</w:t>
      </w:r>
      <w:proofErr w:type="spellEnd"/>
      <w:r>
        <w:rPr>
          <w:sz w:val="24"/>
          <w:szCs w:val="24"/>
        </w:rPr>
        <w:t xml:space="preserve">. Em </w:t>
      </w:r>
      <w:proofErr w:type="spellStart"/>
      <w:r>
        <w:rPr>
          <w:sz w:val="24"/>
          <w:szCs w:val="24"/>
        </w:rPr>
        <w:t>seguida</w:t>
      </w:r>
      <w:proofErr w:type="spellEnd"/>
      <w:r>
        <w:rPr>
          <w:sz w:val="24"/>
          <w:szCs w:val="24"/>
        </w:rPr>
        <w:t xml:space="preserve">, o </w:t>
      </w:r>
      <w:r>
        <w:rPr>
          <w:b/>
          <w:sz w:val="24"/>
          <w:szCs w:val="24"/>
        </w:rPr>
        <w:t>AWS Glue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primeiro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ETL (Extract, Transform, Load)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convertendo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brutos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Parquet</w:t>
      </w:r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gravando-os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camada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SOT (System of Truth)</w:t>
      </w:r>
      <w:r>
        <w:rPr>
          <w:sz w:val="24"/>
          <w:szCs w:val="24"/>
        </w:rPr>
        <w:t>.</w:t>
      </w:r>
    </w:p>
    <w:p w14:paraId="38D3A31F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 job é </w:t>
      </w:r>
      <w:proofErr w:type="spellStart"/>
      <w:r>
        <w:rPr>
          <w:sz w:val="24"/>
          <w:szCs w:val="24"/>
        </w:rPr>
        <w:t>parametrizado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variáveis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SOR_PATH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SOT_PATH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DELIMITER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HAS_HEADER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INDEX_MAP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FAIL_ON_MISSING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garantindo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flexibilidade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robustez</w:t>
      </w:r>
      <w:proofErr w:type="spellEnd"/>
      <w:r>
        <w:rPr>
          <w:sz w:val="24"/>
          <w:szCs w:val="24"/>
        </w:rPr>
        <w:t xml:space="preserve"> para lidar com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formatos</w:t>
      </w:r>
      <w:proofErr w:type="spellEnd"/>
      <w:r>
        <w:rPr>
          <w:sz w:val="24"/>
          <w:szCs w:val="24"/>
        </w:rPr>
        <w:t xml:space="preserve"> de entrada.</w:t>
      </w:r>
      <w:r>
        <w:rPr>
          <w:sz w:val="24"/>
          <w:szCs w:val="24"/>
        </w:rPr>
        <w:br/>
        <w:t xml:space="preserve"> Na </w:t>
      </w:r>
      <w:proofErr w:type="spellStart"/>
      <w:r>
        <w:rPr>
          <w:sz w:val="24"/>
          <w:szCs w:val="24"/>
        </w:rPr>
        <w:t>leitura</w:t>
      </w:r>
      <w:proofErr w:type="spellEnd"/>
      <w:r>
        <w:rPr>
          <w:sz w:val="24"/>
          <w:szCs w:val="24"/>
        </w:rPr>
        <w:t xml:space="preserve">, o job </w:t>
      </w:r>
      <w:proofErr w:type="spellStart"/>
      <w:r>
        <w:rPr>
          <w:sz w:val="24"/>
          <w:szCs w:val="24"/>
        </w:rPr>
        <w:t>identifica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automaticamente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presença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ausência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cabeçalhos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ajusta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delimitador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aplica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fail-fast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inconsistências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estruturais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interrompendo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execução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metadados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esperados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encontrados</w:t>
      </w:r>
      <w:proofErr w:type="spellEnd"/>
      <w:r>
        <w:rPr>
          <w:sz w:val="24"/>
          <w:szCs w:val="24"/>
        </w:rPr>
        <w:t xml:space="preserve">. Durante a </w:t>
      </w:r>
      <w:proofErr w:type="spellStart"/>
      <w:r>
        <w:rPr>
          <w:sz w:val="24"/>
          <w:szCs w:val="24"/>
        </w:rPr>
        <w:t>extração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mês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diretamente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caminho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arquivo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validando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estrutura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partição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esperada</w:t>
      </w:r>
      <w:proofErr w:type="spellEnd"/>
      <w:r>
        <w:rPr>
          <w:sz w:val="24"/>
          <w:szCs w:val="24"/>
        </w:rPr>
        <w:t xml:space="preserve"> (“.../</w:t>
      </w:r>
      <w:proofErr w:type="spellStart"/>
      <w:r>
        <w:rPr>
          <w:sz w:val="24"/>
          <w:szCs w:val="24"/>
        </w:rPr>
        <w:t>ano</w:t>
      </w:r>
      <w:proofErr w:type="spellEnd"/>
      <w:r>
        <w:rPr>
          <w:sz w:val="24"/>
          <w:szCs w:val="24"/>
        </w:rPr>
        <w:t>=YYYY/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=MM/...”), 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rastreabilidade</w:t>
      </w:r>
      <w:proofErr w:type="spellEnd"/>
      <w:r>
        <w:rPr>
          <w:sz w:val="24"/>
          <w:szCs w:val="24"/>
        </w:rPr>
        <w:t xml:space="preserve"> temporal.</w:t>
      </w:r>
    </w:p>
    <w:p w14:paraId="2A25AACA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transformação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série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mapeamentos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enriquecimentos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semânticos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códigos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numéricos</w:t>
      </w:r>
      <w:proofErr w:type="spellEnd"/>
      <w:r>
        <w:rPr>
          <w:sz w:val="24"/>
          <w:szCs w:val="24"/>
        </w:rPr>
        <w:t xml:space="preserve"> de UF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convertidos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estaduais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variáveis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categóricas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V1022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A003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A005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rotuladas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legível</w:t>
      </w:r>
      <w:proofErr w:type="spellEnd"/>
      <w:r>
        <w:rPr>
          <w:sz w:val="24"/>
          <w:szCs w:val="24"/>
        </w:rPr>
        <w:t xml:space="preserve">; e as </w:t>
      </w:r>
      <w:proofErr w:type="spellStart"/>
      <w:r>
        <w:rPr>
          <w:sz w:val="24"/>
          <w:szCs w:val="24"/>
        </w:rPr>
        <w:t>respostas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codificadas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1/2/3/9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padronizadas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“Sim”, “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sabe” e “</w:t>
      </w:r>
      <w:proofErr w:type="spellStart"/>
      <w:r>
        <w:rPr>
          <w:sz w:val="24"/>
          <w:szCs w:val="24"/>
        </w:rPr>
        <w:t>Ignorado</w:t>
      </w:r>
      <w:proofErr w:type="spellEnd"/>
      <w:r>
        <w:rPr>
          <w:sz w:val="24"/>
          <w:szCs w:val="24"/>
        </w:rPr>
        <w:t>”.</w:t>
      </w:r>
      <w:r>
        <w:rPr>
          <w:sz w:val="24"/>
          <w:szCs w:val="24"/>
        </w:rPr>
        <w:br/>
        <w:t xml:space="preserve"> A </w:t>
      </w:r>
      <w:proofErr w:type="spellStart"/>
      <w:r>
        <w:rPr>
          <w:sz w:val="24"/>
          <w:szCs w:val="24"/>
        </w:rPr>
        <w:t>variável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idade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tratada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classificada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faixas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etárias</w:t>
      </w:r>
      <w:proofErr w:type="spellEnd"/>
      <w:r>
        <w:rPr>
          <w:sz w:val="24"/>
          <w:szCs w:val="24"/>
        </w:rPr>
        <w:t xml:space="preserve"> (“0–14”, “15–24”, “25–39”, </w:t>
      </w:r>
      <w:r>
        <w:rPr>
          <w:sz w:val="24"/>
          <w:szCs w:val="24"/>
        </w:rPr>
        <w:lastRenderedPageBreak/>
        <w:t xml:space="preserve">“40–59” e “60+”), </w:t>
      </w:r>
      <w:proofErr w:type="spellStart"/>
      <w:r>
        <w:rPr>
          <w:sz w:val="24"/>
          <w:szCs w:val="24"/>
        </w:rPr>
        <w:t>compondo</w:t>
      </w:r>
      <w:proofErr w:type="spellEnd"/>
      <w:r>
        <w:rPr>
          <w:sz w:val="24"/>
          <w:szCs w:val="24"/>
        </w:rPr>
        <w:t xml:space="preserve"> um conjunto final de 20 </w:t>
      </w:r>
      <w:proofErr w:type="spellStart"/>
      <w:r>
        <w:rPr>
          <w:sz w:val="24"/>
          <w:szCs w:val="24"/>
        </w:rPr>
        <w:t>variáveis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padronizadas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rotuladas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texto</w:t>
      </w:r>
      <w:proofErr w:type="spellEnd"/>
      <w:r>
        <w:rPr>
          <w:sz w:val="24"/>
          <w:szCs w:val="24"/>
        </w:rPr>
        <w:t xml:space="preserve">*,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adequadas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analítico</w:t>
      </w:r>
      <w:proofErr w:type="spellEnd"/>
      <w:r>
        <w:rPr>
          <w:sz w:val="24"/>
          <w:szCs w:val="24"/>
        </w:rPr>
        <w:t>.</w:t>
      </w:r>
    </w:p>
    <w:p w14:paraId="0215C8A6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gravação</w:t>
      </w:r>
      <w:proofErr w:type="spellEnd"/>
      <w:r>
        <w:rPr>
          <w:sz w:val="24"/>
          <w:szCs w:val="24"/>
        </w:rPr>
        <w:t xml:space="preserve"> no </w:t>
      </w:r>
      <w:r>
        <w:rPr>
          <w:b/>
          <w:sz w:val="24"/>
          <w:szCs w:val="24"/>
        </w:rPr>
        <w:t>S3/SOT</w:t>
      </w:r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feita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Parquet </w:t>
      </w:r>
      <w:proofErr w:type="spellStart"/>
      <w:r>
        <w:rPr>
          <w:b/>
          <w:sz w:val="24"/>
          <w:szCs w:val="24"/>
        </w:rPr>
        <w:t>particionado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mês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uf_sigla</w:t>
      </w:r>
      <w:proofErr w:type="spellEnd"/>
      <w:r>
        <w:rPr>
          <w:sz w:val="24"/>
          <w:szCs w:val="24"/>
        </w:rPr>
        <w:t xml:space="preserve">, com </w:t>
      </w:r>
      <w:proofErr w:type="spellStart"/>
      <w:r>
        <w:rPr>
          <w:sz w:val="24"/>
          <w:szCs w:val="24"/>
        </w:rPr>
        <w:t>sobrescrita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dinâmica</w:t>
      </w:r>
      <w:proofErr w:type="spellEnd"/>
      <w:r>
        <w:rPr>
          <w:sz w:val="24"/>
          <w:szCs w:val="24"/>
        </w:rPr>
        <w:t xml:space="preserve"> e repartition </w:t>
      </w:r>
      <w:proofErr w:type="spellStart"/>
      <w:r>
        <w:rPr>
          <w:sz w:val="24"/>
          <w:szCs w:val="24"/>
        </w:rPr>
        <w:t>alinhado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chaves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otimiza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leitura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reduz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custo</w:t>
      </w:r>
      <w:proofErr w:type="spellEnd"/>
      <w:r>
        <w:rPr>
          <w:sz w:val="24"/>
          <w:szCs w:val="24"/>
        </w:rPr>
        <w:t xml:space="preserve"> de </w:t>
      </w:r>
      <w:r>
        <w:rPr>
          <w:i/>
          <w:sz w:val="24"/>
          <w:szCs w:val="24"/>
        </w:rPr>
        <w:t>scan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Esse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processo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conclui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primeira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etapa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do pipeline (SOR → SOT) 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prepara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dados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tratados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para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ingestão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relacional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8BF43CD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sequência</w:t>
      </w:r>
      <w:proofErr w:type="spellEnd"/>
      <w:r>
        <w:rPr>
          <w:sz w:val="24"/>
          <w:szCs w:val="24"/>
        </w:rPr>
        <w:t xml:space="preserve">, o job </w:t>
      </w:r>
      <w:r>
        <w:rPr>
          <w:i/>
          <w:sz w:val="24"/>
          <w:szCs w:val="24"/>
        </w:rPr>
        <w:t>glue_sot_to_rds.py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segunda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(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SOT → RDS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responsável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processados</w:t>
      </w:r>
      <w:proofErr w:type="spellEnd"/>
      <w:r>
        <w:rPr>
          <w:sz w:val="24"/>
          <w:szCs w:val="24"/>
        </w:rPr>
        <w:t xml:space="preserve"> do </w:t>
      </w:r>
      <w:r>
        <w:rPr>
          <w:b/>
          <w:sz w:val="24"/>
          <w:szCs w:val="24"/>
        </w:rPr>
        <w:t>S3</w:t>
      </w:r>
      <w:r>
        <w:rPr>
          <w:sz w:val="24"/>
          <w:szCs w:val="24"/>
        </w:rPr>
        <w:t xml:space="preserve"> (Parquet) para o </w:t>
      </w:r>
      <w:r>
        <w:rPr>
          <w:b/>
          <w:sz w:val="24"/>
          <w:szCs w:val="24"/>
        </w:rPr>
        <w:t>Amazon RDS (PostgreSQL)</w:t>
      </w:r>
      <w:r>
        <w:rPr>
          <w:sz w:val="24"/>
          <w:szCs w:val="24"/>
        </w:rPr>
        <w:t xml:space="preserve">. O script </w:t>
      </w:r>
      <w:proofErr w:type="spellStart"/>
      <w:r>
        <w:rPr>
          <w:sz w:val="24"/>
          <w:szCs w:val="24"/>
        </w:rPr>
        <w:t>implementa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carregamento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full load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deduplicação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previamente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integridade</w:t>
      </w:r>
      <w:proofErr w:type="spellEnd"/>
      <w:r>
        <w:rPr>
          <w:sz w:val="24"/>
          <w:szCs w:val="24"/>
        </w:rPr>
        <w:t xml:space="preserve"> dos dados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contagens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mês</w:t>
      </w:r>
      <w:proofErr w:type="spellEnd"/>
      <w:r>
        <w:rPr>
          <w:sz w:val="24"/>
          <w:szCs w:val="24"/>
        </w:rPr>
        <w:t xml:space="preserve"> antes da </w:t>
      </w:r>
      <w:proofErr w:type="spellStart"/>
      <w:r>
        <w:rPr>
          <w:sz w:val="24"/>
          <w:szCs w:val="24"/>
        </w:rPr>
        <w:t>gravação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assegurando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correspondência</w:t>
      </w:r>
      <w:proofErr w:type="spellEnd"/>
      <w:r>
        <w:rPr>
          <w:sz w:val="24"/>
          <w:szCs w:val="24"/>
        </w:rPr>
        <w:t xml:space="preserve"> com o volume </w:t>
      </w:r>
      <w:proofErr w:type="spellStart"/>
      <w:r>
        <w:rPr>
          <w:sz w:val="24"/>
          <w:szCs w:val="24"/>
        </w:rPr>
        <w:t>esperado</w:t>
      </w:r>
      <w:proofErr w:type="spellEnd"/>
      <w:r>
        <w:rPr>
          <w:sz w:val="24"/>
          <w:szCs w:val="24"/>
        </w:rPr>
        <w:t xml:space="preserve"> no </w:t>
      </w:r>
      <w:r>
        <w:rPr>
          <w:i/>
          <w:sz w:val="24"/>
          <w:szCs w:val="24"/>
        </w:rPr>
        <w:t>data lake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O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escrita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configurado</w:t>
      </w:r>
      <w:proofErr w:type="spellEnd"/>
      <w:r>
        <w:rPr>
          <w:sz w:val="24"/>
          <w:szCs w:val="24"/>
        </w:rPr>
        <w:t xml:space="preserve"> via </w:t>
      </w:r>
      <w:proofErr w:type="spellStart"/>
      <w:r>
        <w:rPr>
          <w:sz w:val="24"/>
          <w:szCs w:val="24"/>
        </w:rPr>
        <w:t>parâmetro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OVERWRITE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ativado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processo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</w:t>
      </w:r>
      <w:proofErr w:type="spellEnd"/>
      <w:r>
        <w:rPr>
          <w:sz w:val="24"/>
          <w:szCs w:val="24"/>
        </w:rPr>
        <w:t xml:space="preserve"> um </w:t>
      </w:r>
      <w:r>
        <w:rPr>
          <w:i/>
          <w:sz w:val="24"/>
          <w:szCs w:val="24"/>
        </w:rPr>
        <w:t>truncate overwrite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contrário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um </w:t>
      </w:r>
      <w:r>
        <w:rPr>
          <w:i/>
          <w:sz w:val="24"/>
          <w:szCs w:val="24"/>
        </w:rPr>
        <w:t>append incremental</w:t>
      </w:r>
      <w:r>
        <w:rPr>
          <w:sz w:val="24"/>
          <w:szCs w:val="24"/>
        </w:rPr>
        <w:t>.</w:t>
      </w:r>
    </w:p>
    <w:p w14:paraId="7C98CB7D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escrita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JDBC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parâmetros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desempenho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BATCHSIZE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COALESCE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otimizando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quantidade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partições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conexões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simultâneas</w:t>
      </w:r>
      <w:proofErr w:type="spellEnd"/>
      <w:r>
        <w:rPr>
          <w:sz w:val="24"/>
          <w:szCs w:val="24"/>
        </w:rPr>
        <w:t xml:space="preserve"> com o banco. </w:t>
      </w:r>
      <w:proofErr w:type="spellStart"/>
      <w:r>
        <w:rPr>
          <w:sz w:val="24"/>
          <w:szCs w:val="24"/>
        </w:rPr>
        <w:t>Além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</w:t>
      </w:r>
      <w:proofErr w:type="spellEnd"/>
      <w:r>
        <w:rPr>
          <w:sz w:val="24"/>
          <w:szCs w:val="24"/>
        </w:rPr>
        <w:t xml:space="preserve">, o job </w:t>
      </w:r>
      <w:proofErr w:type="spellStart"/>
      <w:r>
        <w:rPr>
          <w:sz w:val="24"/>
          <w:szCs w:val="24"/>
        </w:rPr>
        <w:t>força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tipagem</w:t>
      </w:r>
      <w:proofErr w:type="spell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coerente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do </w:t>
      </w:r>
      <w:r>
        <w:rPr>
          <w:b/>
          <w:sz w:val="24"/>
          <w:szCs w:val="24"/>
        </w:rPr>
        <w:t>RDS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inteiros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ano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mês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texto</w:t>
      </w:r>
      <w:proofErr w:type="spellEnd"/>
      <w:r>
        <w:rPr>
          <w:sz w:val="24"/>
          <w:szCs w:val="24"/>
        </w:rPr>
        <w:t xml:space="preserve"> para as </w:t>
      </w:r>
      <w:proofErr w:type="spellStart"/>
      <w:r>
        <w:rPr>
          <w:sz w:val="24"/>
          <w:szCs w:val="24"/>
        </w:rPr>
        <w:t>demais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colunas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garantindo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consistência</w:t>
      </w:r>
      <w:proofErr w:type="spellEnd"/>
      <w:r>
        <w:rPr>
          <w:sz w:val="24"/>
          <w:szCs w:val="24"/>
        </w:rPr>
        <w:t xml:space="preserve"> de </w:t>
      </w:r>
      <w:r>
        <w:rPr>
          <w:i/>
          <w:sz w:val="24"/>
          <w:szCs w:val="24"/>
        </w:rPr>
        <w:t>schema</w:t>
      </w:r>
      <w:r>
        <w:rPr>
          <w:sz w:val="24"/>
          <w:szCs w:val="24"/>
        </w:rPr>
        <w:t xml:space="preserve">. Essa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fluxo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integração</w:t>
      </w:r>
      <w:proofErr w:type="spellEnd"/>
      <w:r>
        <w:rPr>
          <w:sz w:val="24"/>
          <w:szCs w:val="24"/>
        </w:rPr>
        <w:t xml:space="preserve"> com a base </w:t>
      </w:r>
      <w:proofErr w:type="spellStart"/>
      <w:r>
        <w:rPr>
          <w:sz w:val="24"/>
          <w:szCs w:val="24"/>
        </w:rPr>
        <w:t>relacional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servirá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origem</w:t>
      </w:r>
      <w:proofErr w:type="spellEnd"/>
      <w:r>
        <w:rPr>
          <w:sz w:val="24"/>
          <w:szCs w:val="24"/>
        </w:rPr>
        <w:t xml:space="preserve"> para as </w:t>
      </w:r>
      <w:proofErr w:type="spellStart"/>
      <w:r>
        <w:rPr>
          <w:sz w:val="24"/>
          <w:szCs w:val="24"/>
        </w:rPr>
        <w:t>consultas</w:t>
      </w:r>
      <w:proofErr w:type="spellEnd"/>
      <w:r>
        <w:rPr>
          <w:sz w:val="24"/>
          <w:szCs w:val="24"/>
        </w:rPr>
        <w:t xml:space="preserve"> do </w:t>
      </w:r>
      <w:r>
        <w:rPr>
          <w:b/>
          <w:sz w:val="24"/>
          <w:szCs w:val="24"/>
        </w:rPr>
        <w:t>Power BI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consolidando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ciclo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ingestão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automatizado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rastreável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auditável</w:t>
      </w:r>
      <w:proofErr w:type="spellEnd"/>
      <w:r>
        <w:rPr>
          <w:sz w:val="24"/>
          <w:szCs w:val="24"/>
        </w:rPr>
        <w:t>.</w:t>
      </w:r>
    </w:p>
    <w:p w14:paraId="0CC37E36" w14:textId="77777777" w:rsidR="00AB1C22" w:rsidRDefault="00AB1C22">
      <w:pPr>
        <w:jc w:val="both"/>
      </w:pPr>
    </w:p>
    <w:p w14:paraId="42CDA493" w14:textId="77777777" w:rsidR="00AB1C22" w:rsidRDefault="00000000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3" w:name="_r4sb9tk7ivbq" w:colFirst="0" w:colLast="0"/>
      <w:bookmarkEnd w:id="3"/>
      <w:r>
        <w:rPr>
          <w:b/>
          <w:color w:val="000000"/>
          <w:sz w:val="24"/>
          <w:szCs w:val="24"/>
        </w:rPr>
        <w:t xml:space="preserve">2.1 Fonte de dados e </w:t>
      </w:r>
      <w:proofErr w:type="spellStart"/>
      <w:r>
        <w:rPr>
          <w:b/>
          <w:color w:val="000000"/>
          <w:sz w:val="24"/>
          <w:szCs w:val="24"/>
        </w:rPr>
        <w:t>ambiente</w:t>
      </w:r>
      <w:proofErr w:type="spellEnd"/>
      <w:r>
        <w:rPr>
          <w:b/>
          <w:color w:val="000000"/>
          <w:sz w:val="24"/>
          <w:szCs w:val="24"/>
        </w:rPr>
        <w:t xml:space="preserve"> de </w:t>
      </w:r>
      <w:proofErr w:type="spellStart"/>
      <w:r>
        <w:rPr>
          <w:b/>
          <w:color w:val="000000"/>
          <w:sz w:val="24"/>
          <w:szCs w:val="24"/>
        </w:rPr>
        <w:t>análise</w:t>
      </w:r>
      <w:proofErr w:type="spellEnd"/>
    </w:p>
    <w:p w14:paraId="662F75C4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fontes</w:t>
      </w:r>
      <w:proofErr w:type="spellEnd"/>
      <w:r>
        <w:rPr>
          <w:sz w:val="24"/>
          <w:szCs w:val="24"/>
        </w:rPr>
        <w:t xml:space="preserve"> de dados </w:t>
      </w:r>
      <w:proofErr w:type="spellStart"/>
      <w:r>
        <w:rPr>
          <w:sz w:val="24"/>
          <w:szCs w:val="24"/>
        </w:rPr>
        <w:t>consistem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arquivos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CSV </w:t>
      </w:r>
      <w:proofErr w:type="spellStart"/>
      <w:r>
        <w:rPr>
          <w:b/>
          <w:sz w:val="24"/>
          <w:szCs w:val="24"/>
        </w:rPr>
        <w:t>oriundos</w:t>
      </w:r>
      <w:proofErr w:type="spellEnd"/>
      <w:r>
        <w:rPr>
          <w:b/>
          <w:sz w:val="24"/>
          <w:szCs w:val="24"/>
        </w:rPr>
        <w:t xml:space="preserve"> do PNAD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armazenados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camada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SOR</w:t>
      </w:r>
      <w:r>
        <w:rPr>
          <w:sz w:val="24"/>
          <w:szCs w:val="24"/>
        </w:rPr>
        <w:t xml:space="preserve"> do Amazon </w:t>
      </w:r>
      <w:r>
        <w:rPr>
          <w:b/>
          <w:sz w:val="24"/>
          <w:szCs w:val="24"/>
        </w:rPr>
        <w:t>S3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permanecem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íntegros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disponíveis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reprocessamentos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A </w:t>
      </w:r>
      <w:proofErr w:type="spellStart"/>
      <w:r>
        <w:rPr>
          <w:sz w:val="24"/>
          <w:szCs w:val="24"/>
        </w:rPr>
        <w:t>arquitetura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exclusivamente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gerenciados</w:t>
      </w:r>
      <w:proofErr w:type="spellEnd"/>
      <w:r>
        <w:rPr>
          <w:sz w:val="24"/>
          <w:szCs w:val="24"/>
        </w:rPr>
        <w:t xml:space="preserve"> da </w:t>
      </w:r>
      <w:r>
        <w:rPr>
          <w:b/>
          <w:sz w:val="24"/>
          <w:szCs w:val="24"/>
        </w:rPr>
        <w:t>AWS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compondo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lastRenderedPageBreak/>
        <w:t>ecossistema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escalável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seguro</w:t>
      </w:r>
      <w:proofErr w:type="spellEnd"/>
      <w:r>
        <w:rPr>
          <w:sz w:val="24"/>
          <w:szCs w:val="24"/>
        </w:rPr>
        <w:t xml:space="preserve">: o </w:t>
      </w:r>
      <w:r>
        <w:rPr>
          <w:b/>
          <w:sz w:val="24"/>
          <w:szCs w:val="24"/>
        </w:rPr>
        <w:t>S3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 lake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camadas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SOR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SOT</w:t>
      </w:r>
      <w:r>
        <w:rPr>
          <w:sz w:val="24"/>
          <w:szCs w:val="24"/>
        </w:rPr>
        <w:t xml:space="preserve">), o </w:t>
      </w:r>
      <w:r>
        <w:rPr>
          <w:b/>
          <w:sz w:val="24"/>
          <w:szCs w:val="24"/>
        </w:rPr>
        <w:t>Glue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motor de </w:t>
      </w:r>
      <w:r>
        <w:rPr>
          <w:b/>
          <w:sz w:val="24"/>
          <w:szCs w:val="24"/>
        </w:rPr>
        <w:t>ETL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PySpark</w:t>
      </w:r>
      <w:proofErr w:type="spellEnd"/>
      <w:r>
        <w:rPr>
          <w:sz w:val="24"/>
          <w:szCs w:val="24"/>
        </w:rPr>
        <w:t xml:space="preserve">, e o </w:t>
      </w:r>
      <w:r>
        <w:rPr>
          <w:b/>
          <w:sz w:val="24"/>
          <w:szCs w:val="24"/>
        </w:rPr>
        <w:t>RDS (PostgreSQL)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relacional</w:t>
      </w:r>
      <w:proofErr w:type="spellEnd"/>
      <w:r>
        <w:rPr>
          <w:sz w:val="24"/>
          <w:szCs w:val="24"/>
        </w:rPr>
        <w:t>.</w:t>
      </w:r>
    </w:p>
    <w:p w14:paraId="45C5BC4A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Glue Data Catalog</w:t>
      </w:r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crawlers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mantêm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controle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metadados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esquemas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viabilizando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consultas</w:t>
      </w:r>
      <w:proofErr w:type="spellEnd"/>
      <w:r>
        <w:rPr>
          <w:sz w:val="24"/>
          <w:szCs w:val="24"/>
        </w:rPr>
        <w:t xml:space="preserve"> via </w:t>
      </w:r>
      <w:r>
        <w:rPr>
          <w:b/>
          <w:sz w:val="24"/>
          <w:szCs w:val="24"/>
        </w:rPr>
        <w:t>Athena</w:t>
      </w:r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automação</w:t>
      </w:r>
      <w:proofErr w:type="spellEnd"/>
      <w:r>
        <w:rPr>
          <w:sz w:val="24"/>
          <w:szCs w:val="24"/>
        </w:rPr>
        <w:t xml:space="preserve"> de pipelines.</w:t>
      </w:r>
      <w:r>
        <w:rPr>
          <w:sz w:val="24"/>
          <w:szCs w:val="24"/>
        </w:rPr>
        <w:br/>
        <w:t xml:space="preserve"> O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formato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Parquet</w:t>
      </w:r>
      <w:r>
        <w:rPr>
          <w:sz w:val="24"/>
          <w:szCs w:val="24"/>
        </w:rPr>
        <w:t xml:space="preserve"> e da </w:t>
      </w:r>
      <w:proofErr w:type="spellStart"/>
      <w:r>
        <w:rPr>
          <w:sz w:val="24"/>
          <w:szCs w:val="24"/>
        </w:rPr>
        <w:t>partição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chaves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temporais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regionais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melhora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eficiência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leituras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o </w:t>
      </w:r>
      <w:r>
        <w:rPr>
          <w:i/>
          <w:sz w:val="24"/>
          <w:szCs w:val="24"/>
        </w:rPr>
        <w:t>tracking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versões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históricas</w:t>
      </w:r>
      <w:proofErr w:type="spellEnd"/>
      <w:r>
        <w:rPr>
          <w:sz w:val="24"/>
          <w:szCs w:val="24"/>
        </w:rPr>
        <w:t>.</w:t>
      </w:r>
    </w:p>
    <w:p w14:paraId="7EB40056" w14:textId="77777777" w:rsidR="00713F3F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camada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analítica</w:t>
      </w:r>
      <w:proofErr w:type="spellEnd"/>
      <w:r>
        <w:rPr>
          <w:sz w:val="24"/>
          <w:szCs w:val="24"/>
        </w:rPr>
        <w:t xml:space="preserve">, o </w:t>
      </w:r>
      <w:r>
        <w:rPr>
          <w:b/>
          <w:sz w:val="24"/>
          <w:szCs w:val="24"/>
        </w:rPr>
        <w:t>Power BI</w:t>
      </w:r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conectado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banco </w:t>
      </w:r>
      <w:r>
        <w:rPr>
          <w:b/>
          <w:sz w:val="24"/>
          <w:szCs w:val="24"/>
        </w:rPr>
        <w:t>RDS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consumindo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tabelas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tratadas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modeladas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Dentro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ambiente</w:t>
      </w:r>
      <w:proofErr w:type="spellEnd"/>
      <w:r>
        <w:rPr>
          <w:sz w:val="24"/>
          <w:szCs w:val="24"/>
        </w:rPr>
        <w:t xml:space="preserve"> do Power BI,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colunas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binárias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derivadas</w:t>
      </w:r>
      <w:proofErr w:type="spellEnd"/>
      <w:r>
        <w:rPr>
          <w:b/>
          <w:sz w:val="24"/>
          <w:szCs w:val="24"/>
        </w:rPr>
        <w:t xml:space="preserve"> das </w:t>
      </w:r>
      <w:proofErr w:type="spellStart"/>
      <w:r>
        <w:rPr>
          <w:b/>
          <w:sz w:val="24"/>
          <w:szCs w:val="24"/>
        </w:rPr>
        <w:t>variáveis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textuais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exportadas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Glue (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transformando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respostas</w:t>
      </w:r>
      <w:proofErr w:type="spellEnd"/>
      <w:r>
        <w:rPr>
          <w:sz w:val="24"/>
          <w:szCs w:val="24"/>
        </w:rPr>
        <w:t xml:space="preserve"> “Sim”/“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0 e 1).</w:t>
      </w:r>
      <w:r>
        <w:rPr>
          <w:sz w:val="24"/>
          <w:szCs w:val="24"/>
        </w:rPr>
        <w:br/>
        <w:t xml:space="preserve"> </w:t>
      </w:r>
      <w:proofErr w:type="spellStart"/>
      <w:r>
        <w:rPr>
          <w:sz w:val="24"/>
          <w:szCs w:val="24"/>
        </w:rPr>
        <w:t>Essas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colunas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servem</w:t>
      </w:r>
      <w:proofErr w:type="spellEnd"/>
      <w:r>
        <w:rPr>
          <w:sz w:val="24"/>
          <w:szCs w:val="24"/>
        </w:rPr>
        <w:t xml:space="preserve"> de base para a </w:t>
      </w:r>
      <w:proofErr w:type="spellStart"/>
      <w:r>
        <w:rPr>
          <w:sz w:val="24"/>
          <w:szCs w:val="24"/>
        </w:rPr>
        <w:t>elaboração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medidas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DAX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proporções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contagens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condicionais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indicadores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sintomas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permitindo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flexibilidade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visualizações</w:t>
      </w:r>
      <w:proofErr w:type="spellEnd"/>
      <w:r>
        <w:rPr>
          <w:sz w:val="24"/>
          <w:szCs w:val="24"/>
        </w:rPr>
        <w:t xml:space="preserve">. Esse </w:t>
      </w:r>
      <w:proofErr w:type="spellStart"/>
      <w:r>
        <w:rPr>
          <w:sz w:val="24"/>
          <w:szCs w:val="24"/>
        </w:rPr>
        <w:t>recurso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cruzamento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dimensões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otimizando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KPIs</w:t>
      </w:r>
      <w:r>
        <w:rPr>
          <w:sz w:val="24"/>
          <w:szCs w:val="24"/>
        </w:rPr>
        <w:t xml:space="preserve"> e dashboards </w:t>
      </w:r>
      <w:proofErr w:type="spellStart"/>
      <w:r>
        <w:rPr>
          <w:sz w:val="24"/>
          <w:szCs w:val="24"/>
        </w:rPr>
        <w:t>interativos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refletem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dados </w:t>
      </w:r>
      <w:proofErr w:type="spellStart"/>
      <w:r>
        <w:rPr>
          <w:sz w:val="24"/>
          <w:szCs w:val="24"/>
        </w:rPr>
        <w:t>processados</w:t>
      </w:r>
      <w:proofErr w:type="spellEnd"/>
      <w:r>
        <w:rPr>
          <w:sz w:val="24"/>
          <w:szCs w:val="24"/>
        </w:rPr>
        <w:t>.</w:t>
      </w:r>
      <w:r w:rsidR="00713F3F">
        <w:rPr>
          <w:sz w:val="24"/>
          <w:szCs w:val="24"/>
        </w:rPr>
        <w:t xml:space="preserve"> </w:t>
      </w:r>
    </w:p>
    <w:p w14:paraId="4DD545CA" w14:textId="2A57AC08" w:rsidR="00AB1C22" w:rsidRDefault="00713F3F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dashboard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visualizado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link: </w:t>
      </w:r>
      <w:r w:rsidRPr="00713F3F">
        <w:rPr>
          <w:sz w:val="24"/>
          <w:szCs w:val="24"/>
        </w:rPr>
        <w:t>https://app.powerbi.com/links/IgZ_h5F9Cj?ctid=11dbbfe2-89b8-4549-be10-cec364e59551&amp;pbi_source=linkShare</w:t>
      </w:r>
      <w:r>
        <w:rPr>
          <w:sz w:val="24"/>
          <w:szCs w:val="24"/>
        </w:rPr>
        <w:t>.</w:t>
      </w:r>
    </w:p>
    <w:p w14:paraId="6870BDCD" w14:textId="77777777" w:rsidR="00713F3F" w:rsidRDefault="00713F3F">
      <w:pPr>
        <w:spacing w:before="240" w:after="240" w:line="360" w:lineRule="auto"/>
        <w:jc w:val="both"/>
        <w:rPr>
          <w:sz w:val="24"/>
          <w:szCs w:val="24"/>
        </w:rPr>
      </w:pPr>
    </w:p>
    <w:p w14:paraId="09E3273C" w14:textId="77777777" w:rsidR="00AB1C22" w:rsidRDefault="00000000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4" w:name="_b84p4bk9ux20" w:colFirst="0" w:colLast="0"/>
      <w:bookmarkEnd w:id="4"/>
      <w:r>
        <w:rPr>
          <w:b/>
          <w:color w:val="000000"/>
          <w:sz w:val="24"/>
          <w:szCs w:val="24"/>
        </w:rPr>
        <w:t xml:space="preserve">2.2 </w:t>
      </w:r>
      <w:proofErr w:type="spellStart"/>
      <w:r>
        <w:rPr>
          <w:b/>
          <w:color w:val="000000"/>
          <w:sz w:val="24"/>
          <w:szCs w:val="24"/>
        </w:rPr>
        <w:t>Variáveis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selecionadas</w:t>
      </w:r>
      <w:proofErr w:type="spellEnd"/>
    </w:p>
    <w:p w14:paraId="6A64DBE5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Atendendo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limitação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variáveis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selecionados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seguintes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questionamentos</w:t>
      </w:r>
      <w:proofErr w:type="spellEnd"/>
      <w:r>
        <w:rPr>
          <w:sz w:val="24"/>
          <w:szCs w:val="24"/>
        </w:rPr>
        <w:t xml:space="preserve"> da PNAD-COVID-19: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2"/>
        <w:gridCol w:w="7118"/>
      </w:tblGrid>
      <w:tr w:rsidR="00AB1C22" w14:paraId="7B70A7F3" w14:textId="77777777">
        <w:trPr>
          <w:trHeight w:val="50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DBC0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Dimensão</w:t>
            </w:r>
            <w:proofErr w:type="spellEnd"/>
          </w:p>
        </w:tc>
        <w:tc>
          <w:tcPr>
            <w:tcW w:w="7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1C61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Variáveis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selecionadas</w:t>
            </w:r>
            <w:proofErr w:type="spellEnd"/>
          </w:p>
        </w:tc>
      </w:tr>
      <w:tr w:rsidR="00AB1C22" w14:paraId="53A16A0D" w14:textId="77777777">
        <w:trPr>
          <w:trHeight w:val="50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1901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Clínica</w:t>
            </w:r>
            <w:proofErr w:type="spellEnd"/>
          </w:p>
        </w:tc>
        <w:tc>
          <w:tcPr>
            <w:tcW w:w="7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B6E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febre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tosse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dificuldade_respirar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perda_olfato_paladar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fadiga</w:t>
            </w:r>
            <w:proofErr w:type="spellEnd"/>
          </w:p>
        </w:tc>
      </w:tr>
      <w:tr w:rsidR="00AB1C22" w14:paraId="23129B97" w14:textId="77777777">
        <w:trPr>
          <w:trHeight w:val="77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4C50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Atendimento</w:t>
            </w:r>
            <w:proofErr w:type="spellEnd"/>
            <w:r>
              <w:rPr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b/>
                <w:sz w:val="24"/>
                <w:szCs w:val="24"/>
              </w:rPr>
              <w:t>gravidade</w:t>
            </w:r>
            <w:proofErr w:type="spellEnd"/>
          </w:p>
        </w:tc>
        <w:tc>
          <w:tcPr>
            <w:tcW w:w="7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96DF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procurou_atendimento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atendimento_sus_hospital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atendimento_priv_hospital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internacao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sedado_entubado</w:t>
            </w:r>
            <w:proofErr w:type="spellEnd"/>
          </w:p>
        </w:tc>
      </w:tr>
      <w:tr w:rsidR="00AB1C22" w14:paraId="3F3F2F9C" w14:textId="77777777">
        <w:trPr>
          <w:trHeight w:val="77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BAA3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Demográfica</w:t>
            </w:r>
            <w:proofErr w:type="spellEnd"/>
            <w:r>
              <w:rPr>
                <w:b/>
                <w:sz w:val="24"/>
                <w:szCs w:val="24"/>
              </w:rPr>
              <w:t xml:space="preserve"> e social</w:t>
            </w:r>
          </w:p>
        </w:tc>
        <w:tc>
          <w:tcPr>
            <w:tcW w:w="7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BD55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sexo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faixa_idade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escolaridade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situacao_domicilio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urbano</w:t>
            </w:r>
            <w:proofErr w:type="spellEnd"/>
            <w:r>
              <w:rPr>
                <w:sz w:val="24"/>
                <w:szCs w:val="24"/>
              </w:rPr>
              <w:t xml:space="preserve">/rural), </w:t>
            </w:r>
            <w:proofErr w:type="spellStart"/>
            <w:r>
              <w:rPr>
                <w:sz w:val="24"/>
                <w:szCs w:val="24"/>
              </w:rPr>
              <w:t>uf_sigla</w:t>
            </w:r>
            <w:proofErr w:type="spellEnd"/>
          </w:p>
        </w:tc>
      </w:tr>
      <w:tr w:rsidR="00AB1C22" w14:paraId="5BC1DEBF" w14:textId="77777777">
        <w:trPr>
          <w:trHeight w:val="77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4351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Econômica</w:t>
            </w:r>
            <w:proofErr w:type="spellEnd"/>
          </w:p>
        </w:tc>
        <w:tc>
          <w:tcPr>
            <w:tcW w:w="7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7DDA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auxilio_emergencial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bolsa_familia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seguro_desemprego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ocupacao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rendimento</w:t>
            </w:r>
            <w:proofErr w:type="spellEnd"/>
          </w:p>
        </w:tc>
      </w:tr>
      <w:tr w:rsidR="00AB1C22" w14:paraId="1F89006A" w14:textId="77777777">
        <w:trPr>
          <w:trHeight w:val="500"/>
        </w:trPr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3B53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Temporais</w:t>
            </w:r>
            <w:proofErr w:type="spellEnd"/>
          </w:p>
        </w:tc>
        <w:tc>
          <w:tcPr>
            <w:tcW w:w="7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B53E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mes</w:t>
            </w:r>
            <w:proofErr w:type="spellEnd"/>
          </w:p>
        </w:tc>
      </w:tr>
    </w:tbl>
    <w:p w14:paraId="65E1A3C5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Essas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variáveis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permitiram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construção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indicadores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refletem</w:t>
      </w:r>
      <w:proofErr w:type="spellEnd"/>
      <w:r>
        <w:rPr>
          <w:sz w:val="24"/>
          <w:szCs w:val="24"/>
        </w:rPr>
        <w:t xml:space="preserve"> tanto a </w:t>
      </w:r>
      <w:proofErr w:type="spellStart"/>
      <w:r>
        <w:rPr>
          <w:sz w:val="24"/>
          <w:szCs w:val="24"/>
        </w:rPr>
        <w:t>dimensão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doença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implicações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comportamentais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socioeconômicas</w:t>
      </w:r>
      <w:proofErr w:type="spellEnd"/>
      <w:r>
        <w:rPr>
          <w:sz w:val="24"/>
          <w:szCs w:val="24"/>
        </w:rPr>
        <w:t>.</w:t>
      </w:r>
    </w:p>
    <w:p w14:paraId="1C549E6D" w14:textId="77777777" w:rsidR="00AB1C22" w:rsidRDefault="00000000">
      <w:pPr>
        <w:pStyle w:val="Ttulo2"/>
        <w:keepNext w:val="0"/>
        <w:keepLines w:val="0"/>
        <w:spacing w:after="80" w:line="360" w:lineRule="auto"/>
        <w:jc w:val="both"/>
        <w:rPr>
          <w:b/>
          <w:sz w:val="28"/>
          <w:szCs w:val="28"/>
        </w:rPr>
      </w:pPr>
      <w:bookmarkStart w:id="5" w:name="_qa8cffmdd4mx" w:colFirst="0" w:colLast="0"/>
      <w:bookmarkEnd w:id="5"/>
      <w:r>
        <w:rPr>
          <w:b/>
          <w:sz w:val="28"/>
          <w:szCs w:val="28"/>
        </w:rPr>
        <w:t xml:space="preserve">3 </w:t>
      </w:r>
      <w:proofErr w:type="spellStart"/>
      <w:r>
        <w:rPr>
          <w:b/>
          <w:sz w:val="28"/>
          <w:szCs w:val="28"/>
        </w:rPr>
        <w:t>Resultados</w:t>
      </w:r>
      <w:proofErr w:type="spellEnd"/>
    </w:p>
    <w:p w14:paraId="754E779D" w14:textId="77777777" w:rsidR="00AB1C22" w:rsidRDefault="00000000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6" w:name="_m0e4uufxu2d8" w:colFirst="0" w:colLast="0"/>
      <w:bookmarkEnd w:id="6"/>
      <w:r>
        <w:rPr>
          <w:b/>
          <w:color w:val="000000"/>
          <w:sz w:val="24"/>
          <w:szCs w:val="24"/>
        </w:rPr>
        <w:t xml:space="preserve">3.1 </w:t>
      </w:r>
      <w:proofErr w:type="spellStart"/>
      <w:r>
        <w:rPr>
          <w:b/>
          <w:color w:val="000000"/>
          <w:sz w:val="24"/>
          <w:szCs w:val="24"/>
        </w:rPr>
        <w:t>Caracterização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clínica</w:t>
      </w:r>
      <w:proofErr w:type="spellEnd"/>
      <w:r>
        <w:rPr>
          <w:b/>
          <w:color w:val="000000"/>
          <w:sz w:val="24"/>
          <w:szCs w:val="24"/>
        </w:rPr>
        <w:t xml:space="preserve"> da </w:t>
      </w:r>
      <w:proofErr w:type="spellStart"/>
      <w:r>
        <w:rPr>
          <w:b/>
          <w:color w:val="000000"/>
          <w:sz w:val="24"/>
          <w:szCs w:val="24"/>
        </w:rPr>
        <w:t>população</w:t>
      </w:r>
      <w:proofErr w:type="spellEnd"/>
    </w:p>
    <w:p w14:paraId="5E4FAED4" w14:textId="77777777" w:rsidR="00AB1C22" w:rsidRDefault="00000000">
      <w:pPr>
        <w:jc w:val="both"/>
      </w:pPr>
      <w:r>
        <w:rPr>
          <w:noProof/>
        </w:rPr>
        <w:drawing>
          <wp:inline distT="114300" distB="114300" distL="114300" distR="114300" wp14:anchorId="3E50A418" wp14:editId="36B406B5">
            <wp:extent cx="4395788" cy="109414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094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2F154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meses de </w:t>
      </w:r>
      <w:proofErr w:type="spellStart"/>
      <w:r>
        <w:rPr>
          <w:sz w:val="24"/>
          <w:szCs w:val="24"/>
        </w:rPr>
        <w:t>maio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julho</w:t>
      </w:r>
      <w:proofErr w:type="spellEnd"/>
      <w:r>
        <w:rPr>
          <w:sz w:val="24"/>
          <w:szCs w:val="24"/>
        </w:rPr>
        <w:t xml:space="preserve"> de 2020, </w:t>
      </w:r>
      <w:proofErr w:type="spellStart"/>
      <w:r>
        <w:rPr>
          <w:sz w:val="24"/>
          <w:szCs w:val="24"/>
        </w:rPr>
        <w:t>aproximadamente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126 mil </w:t>
      </w:r>
      <w:proofErr w:type="spellStart"/>
      <w:r>
        <w:rPr>
          <w:b/>
          <w:sz w:val="24"/>
          <w:szCs w:val="24"/>
        </w:rPr>
        <w:t>pessoas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compatíveis</w:t>
      </w:r>
      <w:proofErr w:type="spellEnd"/>
      <w:r>
        <w:rPr>
          <w:sz w:val="24"/>
          <w:szCs w:val="24"/>
        </w:rPr>
        <w:t xml:space="preserve"> com COVID-19. </w:t>
      </w:r>
      <w:proofErr w:type="spellStart"/>
      <w:r>
        <w:rPr>
          <w:sz w:val="24"/>
          <w:szCs w:val="24"/>
        </w:rPr>
        <w:t>Destas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2.776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evoluíram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graves, 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2,2%</w:t>
      </w:r>
      <w:r>
        <w:rPr>
          <w:sz w:val="24"/>
          <w:szCs w:val="24"/>
        </w:rPr>
        <w:t xml:space="preserve"> do total de </w:t>
      </w:r>
      <w:proofErr w:type="spellStart"/>
      <w:r>
        <w:rPr>
          <w:sz w:val="24"/>
          <w:szCs w:val="24"/>
        </w:rPr>
        <w:t>sintomáticos</w:t>
      </w:r>
      <w:proofErr w:type="spellEnd"/>
      <w:r>
        <w:rPr>
          <w:sz w:val="24"/>
          <w:szCs w:val="24"/>
        </w:rPr>
        <w:t>.</w:t>
      </w:r>
    </w:p>
    <w:p w14:paraId="5020F616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3722D5D" wp14:editId="3E4319EF">
            <wp:extent cx="5943600" cy="31242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D8A47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prevalentes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fadiga</w:t>
      </w:r>
      <w:proofErr w:type="spellEnd"/>
      <w:r>
        <w:rPr>
          <w:b/>
          <w:sz w:val="24"/>
          <w:szCs w:val="24"/>
        </w:rPr>
        <w:t xml:space="preserve"> (74%)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dificuldade</w:t>
      </w:r>
      <w:proofErr w:type="spellEnd"/>
      <w:r>
        <w:rPr>
          <w:b/>
          <w:sz w:val="24"/>
          <w:szCs w:val="24"/>
        </w:rPr>
        <w:t xml:space="preserve"> para </w:t>
      </w:r>
      <w:proofErr w:type="spellStart"/>
      <w:r>
        <w:rPr>
          <w:b/>
          <w:sz w:val="24"/>
          <w:szCs w:val="24"/>
        </w:rPr>
        <w:t>respirar</w:t>
      </w:r>
      <w:proofErr w:type="spellEnd"/>
      <w:r>
        <w:rPr>
          <w:b/>
          <w:sz w:val="24"/>
          <w:szCs w:val="24"/>
        </w:rPr>
        <w:t xml:space="preserve"> (60%)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seguidos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febre</w:t>
      </w:r>
      <w:proofErr w:type="spellEnd"/>
      <w:r>
        <w:rPr>
          <w:b/>
          <w:sz w:val="24"/>
          <w:szCs w:val="24"/>
        </w:rPr>
        <w:t xml:space="preserve"> (17,5%)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tosse</w:t>
      </w:r>
      <w:proofErr w:type="spellEnd"/>
      <w:r>
        <w:rPr>
          <w:b/>
          <w:sz w:val="24"/>
          <w:szCs w:val="24"/>
        </w:rPr>
        <w:t xml:space="preserve"> (10,3%)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perda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olfato</w:t>
      </w:r>
      <w:proofErr w:type="spellEnd"/>
      <w:r>
        <w:rPr>
          <w:b/>
          <w:sz w:val="24"/>
          <w:szCs w:val="24"/>
        </w:rPr>
        <w:t>/paladar (9,5%)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Esses dados </w:t>
      </w:r>
      <w:proofErr w:type="spellStart"/>
      <w:r>
        <w:rPr>
          <w:sz w:val="24"/>
          <w:szCs w:val="24"/>
        </w:rPr>
        <w:t>apontam</w:t>
      </w:r>
      <w:proofErr w:type="spellEnd"/>
      <w:r>
        <w:rPr>
          <w:sz w:val="24"/>
          <w:szCs w:val="24"/>
        </w:rPr>
        <w:t xml:space="preserve"> para um </w:t>
      </w:r>
      <w:proofErr w:type="spellStart"/>
      <w:r>
        <w:rPr>
          <w:sz w:val="24"/>
          <w:szCs w:val="24"/>
        </w:rPr>
        <w:t>quadro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predominantemente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respiratório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exigindo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oxigenoterapia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ventilação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mecânica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suporte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imagem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torácica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hospitalares</w:t>
      </w:r>
      <w:proofErr w:type="spellEnd"/>
      <w:r>
        <w:rPr>
          <w:sz w:val="24"/>
          <w:szCs w:val="24"/>
        </w:rPr>
        <w:t>.</w:t>
      </w:r>
    </w:p>
    <w:p w14:paraId="1FFE88EE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F46B4CD" wp14:editId="4692E12F">
            <wp:extent cx="5943600" cy="23241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7E2B7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-se um </w:t>
      </w:r>
      <w:proofErr w:type="spellStart"/>
      <w:r>
        <w:rPr>
          <w:sz w:val="24"/>
          <w:szCs w:val="24"/>
        </w:rPr>
        <w:t>crescimento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expressivo</w:t>
      </w:r>
      <w:proofErr w:type="spellEnd"/>
      <w:r>
        <w:rPr>
          <w:sz w:val="24"/>
          <w:szCs w:val="24"/>
        </w:rPr>
        <w:t xml:space="preserve"> tanto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internações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casos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evoluíram</w:t>
      </w:r>
      <w:proofErr w:type="spellEnd"/>
      <w:r>
        <w:rPr>
          <w:b/>
          <w:sz w:val="24"/>
          <w:szCs w:val="24"/>
        </w:rPr>
        <w:t xml:space="preserve"> para </w:t>
      </w:r>
      <w:proofErr w:type="spellStart"/>
      <w:r>
        <w:rPr>
          <w:b/>
          <w:sz w:val="24"/>
          <w:szCs w:val="24"/>
        </w:rPr>
        <w:t>entubação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meses de </w:t>
      </w:r>
      <w:proofErr w:type="spellStart"/>
      <w:r>
        <w:rPr>
          <w:sz w:val="24"/>
          <w:szCs w:val="24"/>
        </w:rPr>
        <w:t>maio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julho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junho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internações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praticamente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quadruplica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enquanto</w:t>
      </w:r>
      <w:proofErr w:type="spellEnd"/>
      <w:r>
        <w:rPr>
          <w:sz w:val="24"/>
          <w:szCs w:val="24"/>
        </w:rPr>
        <w:t xml:space="preserve"> o de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entubados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acompanha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tendência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indicando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gravidade</w:t>
      </w:r>
      <w:proofErr w:type="spellEnd"/>
      <w:r>
        <w:rPr>
          <w:b/>
          <w:sz w:val="24"/>
          <w:szCs w:val="24"/>
        </w:rPr>
        <w:t xml:space="preserve"> dos </w:t>
      </w:r>
      <w:proofErr w:type="spellStart"/>
      <w:r>
        <w:rPr>
          <w:b/>
          <w:sz w:val="24"/>
          <w:szCs w:val="24"/>
        </w:rPr>
        <w:t>quadros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clínicos</w:t>
      </w:r>
      <w:proofErr w:type="spellEnd"/>
      <w:r>
        <w:rPr>
          <w:sz w:val="24"/>
          <w:szCs w:val="24"/>
        </w:rPr>
        <w:t xml:space="preserve">. Esse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relacionado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b/>
          <w:sz w:val="24"/>
          <w:szCs w:val="24"/>
        </w:rPr>
        <w:t>circulação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intensa</w:t>
      </w:r>
      <w:proofErr w:type="spellEnd"/>
      <w:r>
        <w:rPr>
          <w:b/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vírus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esgotamento</w:t>
      </w:r>
      <w:proofErr w:type="spellEnd"/>
      <w:r>
        <w:rPr>
          <w:b/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capacidade</w:t>
      </w:r>
      <w:proofErr w:type="spellEnd"/>
      <w:r>
        <w:rPr>
          <w:b/>
          <w:sz w:val="24"/>
          <w:szCs w:val="24"/>
        </w:rPr>
        <w:t xml:space="preserve"> ambulatorial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levando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necessitarem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suporte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avançado</w:t>
      </w:r>
      <w:proofErr w:type="spellEnd"/>
      <w:r>
        <w:rPr>
          <w:sz w:val="24"/>
          <w:szCs w:val="24"/>
        </w:rPr>
        <w:t>.</w:t>
      </w:r>
    </w:p>
    <w:p w14:paraId="2F212833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D59135" wp14:editId="1B305C86">
            <wp:extent cx="5943600" cy="27305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FFC55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distribuição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geral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reforça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cenário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crescimento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acelerado</w:t>
      </w:r>
      <w:proofErr w:type="spellEnd"/>
      <w:r>
        <w:rPr>
          <w:b/>
          <w:sz w:val="24"/>
          <w:szCs w:val="24"/>
        </w:rPr>
        <w:t xml:space="preserve"> da pandemia</w:t>
      </w:r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período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observado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Enquanto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mantiveram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estabilidade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maio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junho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há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salto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julho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acompanhado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proporcional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b/>
          <w:sz w:val="24"/>
          <w:szCs w:val="24"/>
        </w:rPr>
        <w:t>internações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entubações</w:t>
      </w:r>
      <w:proofErr w:type="spellEnd"/>
      <w:r>
        <w:rPr>
          <w:sz w:val="24"/>
          <w:szCs w:val="24"/>
        </w:rPr>
        <w:t xml:space="preserve">. Esse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indica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evolução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progressiva</w:t>
      </w:r>
      <w:proofErr w:type="spellEnd"/>
      <w:r>
        <w:rPr>
          <w:b/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gravidade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clínica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sugerindo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aumento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sintomas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demanda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hospitalar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avanço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contágio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impacto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saúde</w:t>
      </w:r>
      <w:proofErr w:type="spellEnd"/>
      <w:r>
        <w:rPr>
          <w:sz w:val="24"/>
          <w:szCs w:val="24"/>
        </w:rPr>
        <w:t>.</w:t>
      </w:r>
    </w:p>
    <w:p w14:paraId="4E4FFE27" w14:textId="77777777" w:rsidR="00AB1C22" w:rsidRDefault="00AB1C22">
      <w:pPr>
        <w:spacing w:before="240" w:after="240" w:line="360" w:lineRule="auto"/>
        <w:jc w:val="both"/>
        <w:rPr>
          <w:sz w:val="24"/>
          <w:szCs w:val="24"/>
        </w:rPr>
      </w:pPr>
    </w:p>
    <w:p w14:paraId="6DD5FDA0" w14:textId="77777777" w:rsidR="00AB1C22" w:rsidRDefault="00AB1C22">
      <w:pPr>
        <w:spacing w:before="240" w:after="240" w:line="360" w:lineRule="auto"/>
        <w:jc w:val="both"/>
        <w:rPr>
          <w:sz w:val="24"/>
          <w:szCs w:val="24"/>
        </w:rPr>
      </w:pPr>
    </w:p>
    <w:p w14:paraId="456FCCB3" w14:textId="77777777" w:rsidR="00AB1C22" w:rsidRDefault="00AB1C22">
      <w:pPr>
        <w:spacing w:before="240" w:after="240" w:line="360" w:lineRule="auto"/>
        <w:jc w:val="both"/>
        <w:rPr>
          <w:sz w:val="24"/>
          <w:szCs w:val="24"/>
        </w:rPr>
      </w:pPr>
    </w:p>
    <w:p w14:paraId="6D0CC651" w14:textId="77777777" w:rsidR="00AB1C22" w:rsidRDefault="00AB1C22">
      <w:pPr>
        <w:spacing w:before="240" w:after="240" w:line="360" w:lineRule="auto"/>
        <w:jc w:val="both"/>
        <w:rPr>
          <w:sz w:val="24"/>
          <w:szCs w:val="24"/>
        </w:rPr>
      </w:pPr>
    </w:p>
    <w:p w14:paraId="1E2102B8" w14:textId="77777777" w:rsidR="00AB1C22" w:rsidRDefault="00AB1C22">
      <w:pPr>
        <w:spacing w:before="240" w:after="240" w:line="360" w:lineRule="auto"/>
        <w:jc w:val="both"/>
        <w:rPr>
          <w:sz w:val="24"/>
          <w:szCs w:val="24"/>
        </w:rPr>
      </w:pPr>
    </w:p>
    <w:p w14:paraId="737218E5" w14:textId="77777777" w:rsidR="00AB1C22" w:rsidRDefault="00000000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7" w:name="_h605j7dz6921" w:colFirst="0" w:colLast="0"/>
      <w:bookmarkEnd w:id="7"/>
      <w:r>
        <w:rPr>
          <w:b/>
          <w:color w:val="000000"/>
          <w:sz w:val="24"/>
          <w:szCs w:val="24"/>
        </w:rPr>
        <w:lastRenderedPageBreak/>
        <w:t xml:space="preserve">3.2 </w:t>
      </w:r>
      <w:proofErr w:type="spellStart"/>
      <w:r>
        <w:rPr>
          <w:b/>
          <w:color w:val="000000"/>
          <w:sz w:val="24"/>
          <w:szCs w:val="24"/>
        </w:rPr>
        <w:t>Distribuição</w:t>
      </w:r>
      <w:proofErr w:type="spellEnd"/>
      <w:r>
        <w:rPr>
          <w:b/>
          <w:color w:val="000000"/>
          <w:sz w:val="24"/>
          <w:szCs w:val="24"/>
        </w:rPr>
        <w:t xml:space="preserve"> territorial</w:t>
      </w:r>
    </w:p>
    <w:p w14:paraId="7B31F10A" w14:textId="77777777" w:rsidR="00AB1C22" w:rsidRDefault="00000000">
      <w:pPr>
        <w:jc w:val="both"/>
      </w:pPr>
      <w:r>
        <w:rPr>
          <w:noProof/>
        </w:rPr>
        <w:drawing>
          <wp:inline distT="114300" distB="114300" distL="114300" distR="114300" wp14:anchorId="295A31FC" wp14:editId="043C57F5">
            <wp:extent cx="5943600" cy="259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9038B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maiores</w:t>
      </w:r>
      <w:proofErr w:type="spellEnd"/>
      <w:r>
        <w:rPr>
          <w:sz w:val="24"/>
          <w:szCs w:val="24"/>
        </w:rPr>
        <w:t xml:space="preserve"> volumes de </w:t>
      </w:r>
      <w:proofErr w:type="spellStart"/>
      <w:r>
        <w:rPr>
          <w:sz w:val="24"/>
          <w:szCs w:val="24"/>
        </w:rPr>
        <w:t>notificações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concentraram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estados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São Paulo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Minas Gerais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Maranhão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Rio de Janeiro</w:t>
      </w:r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reflete</w:t>
      </w:r>
      <w:proofErr w:type="spellEnd"/>
      <w:r>
        <w:rPr>
          <w:sz w:val="24"/>
          <w:szCs w:val="24"/>
        </w:rPr>
        <w:t xml:space="preserve"> tanto a </w:t>
      </w:r>
      <w:proofErr w:type="spellStart"/>
      <w:r>
        <w:rPr>
          <w:sz w:val="24"/>
          <w:szCs w:val="24"/>
        </w:rPr>
        <w:t>densidade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populacional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desigualdades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regionais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infraestrutura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corroborado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nacionais</w:t>
      </w:r>
      <w:proofErr w:type="spellEnd"/>
      <w:r>
        <w:rPr>
          <w:sz w:val="24"/>
          <w:szCs w:val="24"/>
        </w:rPr>
        <w:t>.</w:t>
      </w:r>
    </w:p>
    <w:p w14:paraId="7D09CF86" w14:textId="77777777" w:rsidR="00AB1C22" w:rsidRDefault="00000000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8" w:name="_wgbmn632hzfz" w:colFirst="0" w:colLast="0"/>
      <w:bookmarkEnd w:id="8"/>
      <w:r>
        <w:rPr>
          <w:b/>
          <w:color w:val="000000"/>
          <w:sz w:val="24"/>
          <w:szCs w:val="24"/>
        </w:rPr>
        <w:t xml:space="preserve">3.3 </w:t>
      </w:r>
      <w:proofErr w:type="spellStart"/>
      <w:r>
        <w:rPr>
          <w:b/>
          <w:color w:val="000000"/>
          <w:sz w:val="24"/>
          <w:szCs w:val="24"/>
        </w:rPr>
        <w:t>Busca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por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atendimento</w:t>
      </w:r>
      <w:proofErr w:type="spellEnd"/>
    </w:p>
    <w:p w14:paraId="7C6B3453" w14:textId="77777777" w:rsidR="00AB1C22" w:rsidRDefault="00000000">
      <w:pPr>
        <w:jc w:val="both"/>
      </w:pPr>
      <w:r>
        <w:rPr>
          <w:noProof/>
        </w:rPr>
        <w:drawing>
          <wp:inline distT="114300" distB="114300" distL="114300" distR="114300" wp14:anchorId="1A070974" wp14:editId="1B026A81">
            <wp:extent cx="3595688" cy="3262174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262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33CAE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Apenas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1,44% da </w:t>
      </w:r>
      <w:proofErr w:type="spellStart"/>
      <w:r>
        <w:rPr>
          <w:b/>
          <w:sz w:val="24"/>
          <w:szCs w:val="24"/>
        </w:rPr>
        <w:t>população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pesquisada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procurado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médico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evidenciando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subutilização</w:t>
      </w:r>
      <w:proofErr w:type="spellEnd"/>
      <w:r>
        <w:rPr>
          <w:b/>
          <w:sz w:val="24"/>
          <w:szCs w:val="24"/>
        </w:rPr>
        <w:t xml:space="preserve"> dos </w:t>
      </w:r>
      <w:proofErr w:type="spellStart"/>
      <w:r>
        <w:rPr>
          <w:b/>
          <w:sz w:val="24"/>
          <w:szCs w:val="24"/>
        </w:rPr>
        <w:t>serviços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 e, </w:t>
      </w:r>
      <w:proofErr w:type="spellStart"/>
      <w:r>
        <w:rPr>
          <w:sz w:val="24"/>
          <w:szCs w:val="24"/>
        </w:rPr>
        <w:t>possivelmente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subnotificação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casos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leves</w:t>
      </w:r>
      <w:proofErr w:type="spellEnd"/>
      <w:r>
        <w:rPr>
          <w:sz w:val="24"/>
          <w:szCs w:val="24"/>
        </w:rPr>
        <w:t>.</w:t>
      </w:r>
    </w:p>
    <w:p w14:paraId="57FBA1AC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6BC95A7" wp14:editId="4BC609C0">
            <wp:extent cx="5891213" cy="2988451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988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Entre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buscaram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observou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predominância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faixas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 xml:space="preserve">15 a 24 </w:t>
      </w:r>
      <w:proofErr w:type="spellStart"/>
      <w:r>
        <w:rPr>
          <w:b/>
          <w:sz w:val="24"/>
          <w:szCs w:val="24"/>
        </w:rPr>
        <w:t>anos</w:t>
      </w:r>
      <w:proofErr w:type="spellEnd"/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 xml:space="preserve">0 a 14 </w:t>
      </w:r>
      <w:proofErr w:type="spellStart"/>
      <w:r>
        <w:rPr>
          <w:b/>
          <w:sz w:val="24"/>
          <w:szCs w:val="24"/>
        </w:rPr>
        <w:t>anos</w:t>
      </w:r>
      <w:proofErr w:type="spellEnd"/>
      <w:r>
        <w:rPr>
          <w:sz w:val="24"/>
          <w:szCs w:val="24"/>
        </w:rPr>
        <w:t xml:space="preserve">. Por outro </w:t>
      </w:r>
      <w:proofErr w:type="spellStart"/>
      <w:r>
        <w:rPr>
          <w:sz w:val="24"/>
          <w:szCs w:val="24"/>
        </w:rPr>
        <w:t>lado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idosos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apresentaram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volume de </w:t>
      </w:r>
      <w:proofErr w:type="spellStart"/>
      <w:r>
        <w:rPr>
          <w:sz w:val="24"/>
          <w:szCs w:val="24"/>
        </w:rPr>
        <w:t>procura</w:t>
      </w:r>
      <w:proofErr w:type="spellEnd"/>
      <w:r>
        <w:rPr>
          <w:sz w:val="24"/>
          <w:szCs w:val="24"/>
        </w:rPr>
        <w:t xml:space="preserve">, mas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casos</w:t>
      </w:r>
      <w:proofErr w:type="spellEnd"/>
      <w:r>
        <w:rPr>
          <w:sz w:val="24"/>
          <w:szCs w:val="24"/>
        </w:rPr>
        <w:t xml:space="preserve"> graves.</w:t>
      </w:r>
    </w:p>
    <w:p w14:paraId="6B7621BE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70DBAD" wp14:editId="0FA835EC">
            <wp:extent cx="5596467" cy="3148013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467" cy="314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96332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Em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escolaridade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categorias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ensino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médio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completo</w:t>
      </w:r>
      <w:proofErr w:type="spellEnd"/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 xml:space="preserve">fundamental </w:t>
      </w:r>
      <w:proofErr w:type="spellStart"/>
      <w:r>
        <w:rPr>
          <w:b/>
          <w:sz w:val="24"/>
          <w:szCs w:val="24"/>
        </w:rPr>
        <w:t>incompleto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apresentaram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índices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sugere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b/>
          <w:sz w:val="24"/>
          <w:szCs w:val="24"/>
        </w:rPr>
        <w:t>nível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educacional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percepção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risco</w:t>
      </w:r>
      <w:proofErr w:type="spellEnd"/>
      <w:r>
        <w:rPr>
          <w:sz w:val="24"/>
          <w:szCs w:val="24"/>
        </w:rPr>
        <w:t>.</w:t>
      </w:r>
    </w:p>
    <w:p w14:paraId="535F41AA" w14:textId="77777777" w:rsidR="00AB1C22" w:rsidRDefault="00000000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9" w:name="_s7tqjknm9a2s" w:colFirst="0" w:colLast="0"/>
      <w:bookmarkEnd w:id="9"/>
      <w:r>
        <w:rPr>
          <w:b/>
          <w:color w:val="000000"/>
          <w:sz w:val="24"/>
          <w:szCs w:val="24"/>
        </w:rPr>
        <w:t xml:space="preserve">3.4 </w:t>
      </w:r>
      <w:proofErr w:type="spellStart"/>
      <w:r>
        <w:rPr>
          <w:b/>
          <w:color w:val="000000"/>
          <w:sz w:val="24"/>
          <w:szCs w:val="24"/>
        </w:rPr>
        <w:t>Atendimento</w:t>
      </w:r>
      <w:proofErr w:type="spellEnd"/>
      <w:r>
        <w:rPr>
          <w:b/>
          <w:color w:val="000000"/>
          <w:sz w:val="24"/>
          <w:szCs w:val="24"/>
        </w:rPr>
        <w:t xml:space="preserve"> e </w:t>
      </w:r>
      <w:proofErr w:type="spellStart"/>
      <w:r>
        <w:rPr>
          <w:b/>
          <w:color w:val="000000"/>
          <w:sz w:val="24"/>
          <w:szCs w:val="24"/>
        </w:rPr>
        <w:t>área</w:t>
      </w:r>
      <w:proofErr w:type="spellEnd"/>
      <w:r>
        <w:rPr>
          <w:b/>
          <w:color w:val="000000"/>
          <w:sz w:val="24"/>
          <w:szCs w:val="24"/>
        </w:rPr>
        <w:t xml:space="preserve"> de </w:t>
      </w:r>
      <w:proofErr w:type="spellStart"/>
      <w:r>
        <w:rPr>
          <w:b/>
          <w:color w:val="000000"/>
          <w:sz w:val="24"/>
          <w:szCs w:val="24"/>
        </w:rPr>
        <w:t>residência</w:t>
      </w:r>
      <w:proofErr w:type="spellEnd"/>
    </w:p>
    <w:p w14:paraId="0867020F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3294972" wp14:editId="21F3626C">
            <wp:extent cx="5662613" cy="3257817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257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6B11E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de </w:t>
      </w:r>
      <w:r>
        <w:rPr>
          <w:b/>
          <w:sz w:val="24"/>
          <w:szCs w:val="24"/>
        </w:rPr>
        <w:t xml:space="preserve">80% dos </w:t>
      </w:r>
      <w:proofErr w:type="spellStart"/>
      <w:r>
        <w:rPr>
          <w:b/>
          <w:sz w:val="24"/>
          <w:szCs w:val="24"/>
        </w:rPr>
        <w:t>atendimentos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áreas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urbanas</w:t>
      </w:r>
      <w:proofErr w:type="spellEnd"/>
      <w:r>
        <w:rPr>
          <w:sz w:val="24"/>
          <w:szCs w:val="24"/>
        </w:rPr>
        <w:t xml:space="preserve">, com </w:t>
      </w:r>
      <w:proofErr w:type="spellStart"/>
      <w:r>
        <w:rPr>
          <w:sz w:val="24"/>
          <w:szCs w:val="24"/>
        </w:rPr>
        <w:t>predominância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setor</w:t>
      </w:r>
      <w:proofErr w:type="spellEnd"/>
      <w:r>
        <w:rPr>
          <w:sz w:val="24"/>
          <w:szCs w:val="24"/>
        </w:rPr>
        <w:t xml:space="preserve"> privado. Nas zonas </w:t>
      </w:r>
      <w:proofErr w:type="spellStart"/>
      <w:r>
        <w:rPr>
          <w:sz w:val="24"/>
          <w:szCs w:val="24"/>
        </w:rPr>
        <w:t>rurais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público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majoritário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porém</w:t>
      </w:r>
      <w:proofErr w:type="spellEnd"/>
      <w:r>
        <w:rPr>
          <w:sz w:val="24"/>
          <w:szCs w:val="24"/>
        </w:rPr>
        <w:t xml:space="preserve"> com volume inferior, </w:t>
      </w:r>
      <w:proofErr w:type="spellStart"/>
      <w:r>
        <w:rPr>
          <w:sz w:val="24"/>
          <w:szCs w:val="24"/>
        </w:rPr>
        <w:t>indicando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limitações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logísticas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carência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infraestrutura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hospitalar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Esse </w:t>
      </w: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reforça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influência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b/>
          <w:sz w:val="24"/>
          <w:szCs w:val="24"/>
        </w:rPr>
        <w:t>desigualdades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geográficas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econômicas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tratamento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desfechos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corroborando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padrão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disparidade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letalidade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conduzidas</w:t>
      </w:r>
      <w:proofErr w:type="spellEnd"/>
      <w:r>
        <w:rPr>
          <w:sz w:val="24"/>
          <w:szCs w:val="24"/>
        </w:rPr>
        <w:t xml:space="preserve"> pela PUC-Rio e FIOCRUZ.</w:t>
      </w:r>
    </w:p>
    <w:p w14:paraId="4B85CA87" w14:textId="77777777" w:rsidR="00AB1C22" w:rsidRDefault="00AB1C22">
      <w:pPr>
        <w:spacing w:before="240" w:after="240" w:line="360" w:lineRule="auto"/>
        <w:jc w:val="both"/>
        <w:rPr>
          <w:sz w:val="24"/>
          <w:szCs w:val="24"/>
        </w:rPr>
      </w:pPr>
    </w:p>
    <w:p w14:paraId="66B775FB" w14:textId="77777777" w:rsidR="00AB1C22" w:rsidRDefault="00AB1C22">
      <w:pPr>
        <w:spacing w:before="240" w:after="240" w:line="360" w:lineRule="auto"/>
        <w:jc w:val="both"/>
        <w:rPr>
          <w:sz w:val="24"/>
          <w:szCs w:val="24"/>
        </w:rPr>
      </w:pPr>
    </w:p>
    <w:p w14:paraId="27360F54" w14:textId="77777777" w:rsidR="00AB1C22" w:rsidRDefault="00AB1C22">
      <w:pPr>
        <w:spacing w:before="240" w:after="240" w:line="360" w:lineRule="auto"/>
        <w:jc w:val="both"/>
        <w:rPr>
          <w:sz w:val="24"/>
          <w:szCs w:val="24"/>
        </w:rPr>
      </w:pPr>
    </w:p>
    <w:p w14:paraId="5FF6C7A1" w14:textId="77777777" w:rsidR="00AB1C22" w:rsidRDefault="00000000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0" w:name="_9be8xitxalu6" w:colFirst="0" w:colLast="0"/>
      <w:bookmarkEnd w:id="10"/>
      <w:r>
        <w:rPr>
          <w:b/>
          <w:color w:val="000000"/>
          <w:sz w:val="24"/>
          <w:szCs w:val="24"/>
        </w:rPr>
        <w:lastRenderedPageBreak/>
        <w:t xml:space="preserve">3.5 </w:t>
      </w:r>
      <w:proofErr w:type="spellStart"/>
      <w:r>
        <w:rPr>
          <w:b/>
          <w:color w:val="000000"/>
          <w:sz w:val="24"/>
          <w:szCs w:val="24"/>
        </w:rPr>
        <w:t>Dimensão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socioeconômica</w:t>
      </w:r>
      <w:proofErr w:type="spellEnd"/>
    </w:p>
    <w:p w14:paraId="19555B95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139211" wp14:editId="36D75EEF">
            <wp:extent cx="5605987" cy="270417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987" cy="2704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732C6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b/>
          <w:sz w:val="24"/>
          <w:szCs w:val="24"/>
        </w:rPr>
        <w:t>Auxílio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Emergencial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benefício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frequente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alcançando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cerca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 xml:space="preserve">494 mil </w:t>
      </w:r>
      <w:proofErr w:type="spellStart"/>
      <w:r>
        <w:rPr>
          <w:b/>
          <w:sz w:val="24"/>
          <w:szCs w:val="24"/>
        </w:rPr>
        <w:t>pessoas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seguido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Bolsa Família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Seguro-</w:t>
      </w:r>
      <w:proofErr w:type="spellStart"/>
      <w:r>
        <w:rPr>
          <w:b/>
          <w:sz w:val="24"/>
          <w:szCs w:val="24"/>
        </w:rPr>
        <w:t>Desemprego</w:t>
      </w:r>
      <w:proofErr w:type="spellEnd"/>
      <w:r>
        <w:rPr>
          <w:sz w:val="24"/>
          <w:szCs w:val="24"/>
        </w:rPr>
        <w:t>.</w:t>
      </w:r>
    </w:p>
    <w:p w14:paraId="7B53D95A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F61B89C" wp14:editId="62F424F1">
            <wp:extent cx="5943600" cy="31369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6429C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Auxílio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Emergencial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predominância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níveis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escolaridade</w:t>
      </w:r>
      <w:proofErr w:type="spellEnd"/>
      <w:r>
        <w:rPr>
          <w:sz w:val="24"/>
          <w:szCs w:val="24"/>
        </w:rPr>
        <w:t xml:space="preserve">, inclusive entre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indivíduos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b/>
          <w:sz w:val="24"/>
          <w:szCs w:val="24"/>
        </w:rPr>
        <w:t>ensino</w:t>
      </w:r>
      <w:proofErr w:type="spellEnd"/>
      <w:r>
        <w:rPr>
          <w:b/>
          <w:sz w:val="24"/>
          <w:szCs w:val="24"/>
        </w:rPr>
        <w:t xml:space="preserve"> superior </w:t>
      </w:r>
      <w:proofErr w:type="spellStart"/>
      <w:r>
        <w:rPr>
          <w:b/>
          <w:sz w:val="24"/>
          <w:szCs w:val="24"/>
        </w:rPr>
        <w:t>completo</w:t>
      </w:r>
      <w:proofErr w:type="spellEnd"/>
      <w:r>
        <w:rPr>
          <w:b/>
          <w:sz w:val="24"/>
          <w:szCs w:val="24"/>
        </w:rPr>
        <w:t xml:space="preserve"> (94,65%)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incompleto</w:t>
      </w:r>
      <w:proofErr w:type="spellEnd"/>
      <w:r>
        <w:rPr>
          <w:b/>
          <w:sz w:val="24"/>
          <w:szCs w:val="24"/>
        </w:rPr>
        <w:t xml:space="preserve"> (91,13%)</w:t>
      </w:r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reforça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caráter</w:t>
      </w:r>
      <w:proofErr w:type="spellEnd"/>
      <w:r>
        <w:rPr>
          <w:sz w:val="24"/>
          <w:szCs w:val="24"/>
        </w:rPr>
        <w:t xml:space="preserve"> universal da crise </w:t>
      </w:r>
      <w:proofErr w:type="spellStart"/>
      <w:r>
        <w:rPr>
          <w:sz w:val="24"/>
          <w:szCs w:val="24"/>
        </w:rPr>
        <w:t>econômica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durante</w:t>
      </w:r>
      <w:proofErr w:type="spellEnd"/>
      <w:r>
        <w:rPr>
          <w:sz w:val="24"/>
          <w:szCs w:val="24"/>
        </w:rPr>
        <w:t xml:space="preserve"> a pandemia. </w:t>
      </w:r>
      <w:proofErr w:type="spellStart"/>
      <w:r>
        <w:rPr>
          <w:sz w:val="24"/>
          <w:szCs w:val="24"/>
        </w:rPr>
        <w:t>Ainda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assim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b/>
          <w:sz w:val="24"/>
          <w:szCs w:val="24"/>
        </w:rPr>
        <w:t>maior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proporção</w:t>
      </w:r>
      <w:proofErr w:type="spellEnd"/>
      <w:r>
        <w:rPr>
          <w:b/>
          <w:sz w:val="24"/>
          <w:szCs w:val="24"/>
        </w:rPr>
        <w:t xml:space="preserve"> de Bolsa Família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Seguro-</w:t>
      </w:r>
      <w:proofErr w:type="spellStart"/>
      <w:r>
        <w:rPr>
          <w:b/>
          <w:sz w:val="24"/>
          <w:szCs w:val="24"/>
        </w:rPr>
        <w:t>Desemprego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aparece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grupos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b/>
          <w:sz w:val="24"/>
          <w:szCs w:val="24"/>
        </w:rPr>
        <w:t>menor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escolaridade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instrução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revelando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vulnerabilidade</w:t>
      </w:r>
      <w:proofErr w:type="spellEnd"/>
      <w:r>
        <w:rPr>
          <w:sz w:val="24"/>
          <w:szCs w:val="24"/>
        </w:rPr>
        <w:t xml:space="preserve"> social se </w:t>
      </w:r>
      <w:proofErr w:type="spellStart"/>
      <w:r>
        <w:rPr>
          <w:sz w:val="24"/>
          <w:szCs w:val="24"/>
        </w:rPr>
        <w:t>concentra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fortemente </w:t>
      </w:r>
      <w:proofErr w:type="spellStart"/>
      <w:r>
        <w:rPr>
          <w:sz w:val="24"/>
          <w:szCs w:val="24"/>
        </w:rPr>
        <w:t>nessas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faixas</w:t>
      </w:r>
      <w:proofErr w:type="spellEnd"/>
      <w:r>
        <w:rPr>
          <w:sz w:val="24"/>
          <w:szCs w:val="24"/>
        </w:rPr>
        <w:t xml:space="preserve">. Essa </w:t>
      </w:r>
      <w:proofErr w:type="spellStart"/>
      <w:r>
        <w:rPr>
          <w:sz w:val="24"/>
          <w:szCs w:val="24"/>
        </w:rPr>
        <w:t>relação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correlação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b/>
          <w:sz w:val="24"/>
          <w:szCs w:val="24"/>
        </w:rPr>
        <w:t>baixa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escolaridade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dependência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políticas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transferência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renda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impacto</w:t>
      </w:r>
      <w:proofErr w:type="spellEnd"/>
      <w:r>
        <w:rPr>
          <w:sz w:val="24"/>
          <w:szCs w:val="24"/>
        </w:rPr>
        <w:t xml:space="preserve"> da pandemia </w:t>
      </w:r>
      <w:proofErr w:type="spellStart"/>
      <w:r>
        <w:rPr>
          <w:sz w:val="24"/>
          <w:szCs w:val="24"/>
        </w:rPr>
        <w:t>alcançou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tradicionalmente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estáveis</w:t>
      </w:r>
      <w:proofErr w:type="spellEnd"/>
      <w:r>
        <w:rPr>
          <w:sz w:val="24"/>
          <w:szCs w:val="24"/>
        </w:rPr>
        <w:t xml:space="preserve"> do mercado de </w:t>
      </w:r>
      <w:proofErr w:type="spellStart"/>
      <w:r>
        <w:rPr>
          <w:sz w:val="24"/>
          <w:szCs w:val="24"/>
        </w:rPr>
        <w:t>trabalho</w:t>
      </w:r>
      <w:proofErr w:type="spellEnd"/>
      <w:r>
        <w:rPr>
          <w:sz w:val="24"/>
          <w:szCs w:val="24"/>
        </w:rPr>
        <w:t>.</w:t>
      </w:r>
    </w:p>
    <w:p w14:paraId="02F650B0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B3A1D86" wp14:editId="0F8B6DB5">
            <wp:extent cx="5943600" cy="3136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226A3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diferenças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expressivas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estados</w:t>
      </w:r>
      <w:proofErr w:type="spellEnd"/>
      <w:r>
        <w:rPr>
          <w:sz w:val="24"/>
          <w:szCs w:val="24"/>
        </w:rPr>
        <w:t xml:space="preserve">. Em </w:t>
      </w:r>
      <w:proofErr w:type="spellStart"/>
      <w:r>
        <w:rPr>
          <w:sz w:val="24"/>
          <w:szCs w:val="24"/>
        </w:rPr>
        <w:t>locais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Maranhão (MA)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predominância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b/>
          <w:sz w:val="24"/>
          <w:szCs w:val="24"/>
        </w:rPr>
        <w:t>atendimento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público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indicando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oferta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serviços</w:t>
      </w:r>
      <w:proofErr w:type="spellEnd"/>
      <w:r>
        <w:rPr>
          <w:b/>
          <w:sz w:val="24"/>
          <w:szCs w:val="24"/>
        </w:rPr>
        <w:t xml:space="preserve"> privados e </w:t>
      </w:r>
      <w:proofErr w:type="spellStart"/>
      <w:r>
        <w:rPr>
          <w:b/>
          <w:sz w:val="24"/>
          <w:szCs w:val="24"/>
        </w:rPr>
        <w:t>maior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dependência</w:t>
      </w:r>
      <w:proofErr w:type="spellEnd"/>
      <w:r>
        <w:rPr>
          <w:b/>
          <w:sz w:val="24"/>
          <w:szCs w:val="24"/>
        </w:rPr>
        <w:t xml:space="preserve"> do SUS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São Paulo (SP)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Minas Gerais (MG)</w:t>
      </w:r>
      <w:r>
        <w:rPr>
          <w:sz w:val="24"/>
          <w:szCs w:val="24"/>
        </w:rPr>
        <w:t xml:space="preserve">, o volume de </w:t>
      </w:r>
      <w:proofErr w:type="spellStart"/>
      <w:r>
        <w:rPr>
          <w:sz w:val="24"/>
          <w:szCs w:val="24"/>
        </w:rPr>
        <w:t>atendimentos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privados </w:t>
      </w:r>
      <w:proofErr w:type="spellStart"/>
      <w:r>
        <w:rPr>
          <w:b/>
          <w:sz w:val="24"/>
          <w:szCs w:val="24"/>
        </w:rPr>
        <w:t>supera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públicos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refletindo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diversificada</w:t>
      </w:r>
      <w:proofErr w:type="spellEnd"/>
      <w:r>
        <w:rPr>
          <w:sz w:val="24"/>
          <w:szCs w:val="24"/>
        </w:rPr>
        <w:t xml:space="preserve"> e com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presença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planos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. Essa </w:t>
      </w:r>
      <w:proofErr w:type="spellStart"/>
      <w:r>
        <w:rPr>
          <w:sz w:val="24"/>
          <w:szCs w:val="24"/>
        </w:rPr>
        <w:t>variação</w:t>
      </w:r>
      <w:proofErr w:type="spellEnd"/>
      <w:r>
        <w:rPr>
          <w:sz w:val="24"/>
          <w:szCs w:val="24"/>
        </w:rPr>
        <w:t xml:space="preserve"> regional </w:t>
      </w:r>
      <w:proofErr w:type="spellStart"/>
      <w:r>
        <w:rPr>
          <w:sz w:val="24"/>
          <w:szCs w:val="24"/>
        </w:rPr>
        <w:t>demonstra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desigualdades</w:t>
      </w:r>
      <w:proofErr w:type="spellEnd"/>
      <w:r>
        <w:rPr>
          <w:b/>
          <w:sz w:val="24"/>
          <w:szCs w:val="24"/>
        </w:rPr>
        <w:t xml:space="preserve"> no </w:t>
      </w:r>
      <w:proofErr w:type="spellStart"/>
      <w:r>
        <w:rPr>
          <w:b/>
          <w:sz w:val="24"/>
          <w:szCs w:val="24"/>
        </w:rPr>
        <w:t>sistema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saúde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brasileiro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serviços</w:t>
      </w:r>
      <w:proofErr w:type="spellEnd"/>
      <w:r>
        <w:rPr>
          <w:sz w:val="24"/>
          <w:szCs w:val="24"/>
        </w:rPr>
        <w:t xml:space="preserve"> privados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diretamente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nível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desenvolvimento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econômico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infraestrutura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estado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distribuição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benefícios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demonstra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a crise </w:t>
      </w:r>
      <w:proofErr w:type="spellStart"/>
      <w:r>
        <w:rPr>
          <w:sz w:val="24"/>
          <w:szCs w:val="24"/>
        </w:rPr>
        <w:t>sanitária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impactou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transversalmente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sociais</w:t>
      </w:r>
      <w:proofErr w:type="spellEnd"/>
      <w:r>
        <w:rPr>
          <w:sz w:val="24"/>
          <w:szCs w:val="24"/>
        </w:rPr>
        <w:t xml:space="preserve">, inclusive </w:t>
      </w:r>
      <w:proofErr w:type="spellStart"/>
      <w:r>
        <w:rPr>
          <w:sz w:val="24"/>
          <w:szCs w:val="24"/>
        </w:rPr>
        <w:t>aqueles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escolaridade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revelando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fragilidade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econômica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generalizada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período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pandêmico</w:t>
      </w:r>
      <w:proofErr w:type="spellEnd"/>
      <w:r>
        <w:rPr>
          <w:sz w:val="24"/>
          <w:szCs w:val="24"/>
        </w:rPr>
        <w:t>.</w:t>
      </w:r>
    </w:p>
    <w:p w14:paraId="221105A0" w14:textId="77777777" w:rsidR="00AB1C22" w:rsidRDefault="00000000">
      <w:pPr>
        <w:pStyle w:val="Ttulo2"/>
        <w:keepNext w:val="0"/>
        <w:keepLines w:val="0"/>
        <w:spacing w:after="80" w:line="360" w:lineRule="auto"/>
        <w:jc w:val="both"/>
        <w:rPr>
          <w:b/>
          <w:sz w:val="28"/>
          <w:szCs w:val="28"/>
        </w:rPr>
      </w:pPr>
      <w:bookmarkStart w:id="11" w:name="_lf9qje4hnyvz" w:colFirst="0" w:colLast="0"/>
      <w:bookmarkEnd w:id="11"/>
      <w:r>
        <w:rPr>
          <w:b/>
          <w:sz w:val="28"/>
          <w:szCs w:val="28"/>
        </w:rPr>
        <w:lastRenderedPageBreak/>
        <w:t xml:space="preserve">4 </w:t>
      </w:r>
      <w:proofErr w:type="spellStart"/>
      <w:r>
        <w:rPr>
          <w:b/>
          <w:sz w:val="28"/>
          <w:szCs w:val="28"/>
        </w:rPr>
        <w:t>Discussão</w:t>
      </w:r>
      <w:proofErr w:type="spellEnd"/>
    </w:p>
    <w:p w14:paraId="02117D68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comportamento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população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brasileira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a pandemia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fortemente </w:t>
      </w:r>
      <w:proofErr w:type="spellStart"/>
      <w:r>
        <w:rPr>
          <w:sz w:val="24"/>
          <w:szCs w:val="24"/>
        </w:rPr>
        <w:t>condicionado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socioeconômicos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territoriais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tecnológicos</w:t>
      </w:r>
      <w:proofErr w:type="spellEnd"/>
      <w:r>
        <w:rPr>
          <w:sz w:val="24"/>
          <w:szCs w:val="24"/>
        </w:rPr>
        <w:t>.</w:t>
      </w:r>
    </w:p>
    <w:p w14:paraId="7404ADAF" w14:textId="77777777" w:rsidR="00AB1C22" w:rsidRDefault="00000000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Fatores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socioeconômicos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baixa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renda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baixo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nível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escolaridade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correlacionaram</w:t>
      </w:r>
      <w:proofErr w:type="spellEnd"/>
      <w:r>
        <w:rPr>
          <w:sz w:val="24"/>
          <w:szCs w:val="24"/>
        </w:rPr>
        <w:t xml:space="preserve">-se com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busca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risco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agravamento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clínico</w:t>
      </w:r>
      <w:proofErr w:type="spellEnd"/>
      <w:r>
        <w:rPr>
          <w:sz w:val="24"/>
          <w:szCs w:val="24"/>
        </w:rPr>
        <w:t>.</w:t>
      </w:r>
    </w:p>
    <w:p w14:paraId="72880789" w14:textId="77777777" w:rsidR="00AB1C22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Fatores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territoriais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desigualdades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regionais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impactaram</w:t>
      </w:r>
      <w:proofErr w:type="spellEnd"/>
      <w:r>
        <w:rPr>
          <w:sz w:val="24"/>
          <w:szCs w:val="24"/>
        </w:rPr>
        <w:t xml:space="preserve"> o tempo de </w:t>
      </w:r>
      <w:proofErr w:type="spellStart"/>
      <w:r>
        <w:rPr>
          <w:sz w:val="24"/>
          <w:szCs w:val="24"/>
        </w:rPr>
        <w:t>resposta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recursos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ampliando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vulnerabilidade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municípios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IDH.</w:t>
      </w:r>
    </w:p>
    <w:p w14:paraId="6796185D" w14:textId="77777777" w:rsidR="00AB1C22" w:rsidRDefault="00000000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Fatores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tecnológicos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necessidade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distanciamento</w:t>
      </w:r>
      <w:proofErr w:type="spellEnd"/>
      <w:r>
        <w:rPr>
          <w:sz w:val="24"/>
          <w:szCs w:val="24"/>
        </w:rPr>
        <w:t xml:space="preserve"> social </w:t>
      </w:r>
      <w:proofErr w:type="spellStart"/>
      <w:r>
        <w:rPr>
          <w:sz w:val="24"/>
          <w:szCs w:val="24"/>
        </w:rPr>
        <w:t>impulsionou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adoção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tecnologias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digitais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teleatendimento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monitoramento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transformando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lógica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assistencial</w:t>
      </w:r>
      <w:proofErr w:type="spellEnd"/>
      <w:r>
        <w:rPr>
          <w:sz w:val="24"/>
          <w:szCs w:val="24"/>
        </w:rPr>
        <w:t>.</w:t>
      </w:r>
    </w:p>
    <w:p w14:paraId="0431A2E5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a pandemia </w:t>
      </w:r>
      <w:proofErr w:type="spellStart"/>
      <w:r>
        <w:rPr>
          <w:sz w:val="24"/>
          <w:szCs w:val="24"/>
        </w:rPr>
        <w:t>consolidou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b/>
          <w:sz w:val="24"/>
          <w:szCs w:val="24"/>
        </w:rPr>
        <w:t>marco</w:t>
      </w:r>
      <w:proofErr w:type="spellEnd"/>
      <w:r>
        <w:rPr>
          <w:b/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transformação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tecnológica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exigindo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incorporação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definitiva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integradas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prática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 xml:space="preserve">. Ao </w:t>
      </w:r>
      <w:proofErr w:type="spellStart"/>
      <w:r>
        <w:rPr>
          <w:sz w:val="24"/>
          <w:szCs w:val="24"/>
        </w:rPr>
        <w:t>mesmo</w:t>
      </w:r>
      <w:proofErr w:type="spellEnd"/>
      <w:r>
        <w:rPr>
          <w:sz w:val="24"/>
          <w:szCs w:val="24"/>
        </w:rPr>
        <w:t xml:space="preserve"> tempo, </w:t>
      </w:r>
      <w:proofErr w:type="spellStart"/>
      <w:r>
        <w:rPr>
          <w:sz w:val="24"/>
          <w:szCs w:val="24"/>
        </w:rPr>
        <w:t>evidenciou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urgência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políticas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equidade</w:t>
      </w:r>
      <w:proofErr w:type="spellEnd"/>
      <w:r>
        <w:rPr>
          <w:b/>
          <w:sz w:val="24"/>
          <w:szCs w:val="24"/>
        </w:rPr>
        <w:t xml:space="preserve"> territorial e social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capazes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reduzir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disparidades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cuidado</w:t>
      </w:r>
      <w:proofErr w:type="spellEnd"/>
      <w:r>
        <w:rPr>
          <w:sz w:val="24"/>
          <w:szCs w:val="24"/>
        </w:rPr>
        <w:t>.</w:t>
      </w:r>
    </w:p>
    <w:p w14:paraId="7F42EF5F" w14:textId="77777777" w:rsidR="00AB1C22" w:rsidRDefault="00000000">
      <w:pPr>
        <w:pStyle w:val="Ttulo2"/>
        <w:keepNext w:val="0"/>
        <w:keepLines w:val="0"/>
        <w:spacing w:after="80" w:line="360" w:lineRule="auto"/>
        <w:jc w:val="both"/>
        <w:rPr>
          <w:b/>
          <w:sz w:val="28"/>
          <w:szCs w:val="28"/>
        </w:rPr>
      </w:pPr>
      <w:bookmarkStart w:id="12" w:name="_op7fz7b9ckml" w:colFirst="0" w:colLast="0"/>
      <w:bookmarkEnd w:id="12"/>
      <w:r>
        <w:rPr>
          <w:b/>
          <w:sz w:val="28"/>
          <w:szCs w:val="28"/>
        </w:rPr>
        <w:t xml:space="preserve">5 </w:t>
      </w:r>
      <w:proofErr w:type="spellStart"/>
      <w:r>
        <w:rPr>
          <w:b/>
          <w:sz w:val="28"/>
          <w:szCs w:val="28"/>
        </w:rPr>
        <w:t>Recomendações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estratégicas</w:t>
      </w:r>
      <w:proofErr w:type="spellEnd"/>
    </w:p>
    <w:tbl>
      <w:tblPr>
        <w:tblStyle w:val="a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6"/>
        <w:gridCol w:w="4372"/>
        <w:gridCol w:w="2902"/>
      </w:tblGrid>
      <w:tr w:rsidR="00AB1C22" w14:paraId="54C4EA7B" w14:textId="77777777">
        <w:trPr>
          <w:trHeight w:val="500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1AF4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Eixo</w:t>
            </w:r>
            <w:proofErr w:type="spellEnd"/>
          </w:p>
        </w:tc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DDD5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Ação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proposta</w:t>
            </w:r>
            <w:proofErr w:type="spellEnd"/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EA06" w14:textId="77777777" w:rsidR="00AB1C22" w:rsidRDefault="0000000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Justificativa</w:t>
            </w:r>
            <w:proofErr w:type="spellEnd"/>
          </w:p>
        </w:tc>
      </w:tr>
      <w:tr w:rsidR="00AB1C22" w14:paraId="38B9533E" w14:textId="77777777">
        <w:trPr>
          <w:trHeight w:val="1040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45BB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proofErr w:type="spellStart"/>
            <w:r>
              <w:rPr>
                <w:b/>
                <w:sz w:val="24"/>
                <w:szCs w:val="24"/>
              </w:rPr>
              <w:t>Planejamento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hospitalar</w:t>
            </w:r>
            <w:proofErr w:type="spellEnd"/>
          </w:p>
        </w:tc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D0A1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Dimensionar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leitos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insumos</w:t>
            </w:r>
            <w:proofErr w:type="spellEnd"/>
            <w:r>
              <w:rPr>
                <w:sz w:val="24"/>
                <w:szCs w:val="24"/>
              </w:rPr>
              <w:t xml:space="preserve"> com base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proporção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r>
              <w:rPr>
                <w:b/>
                <w:sz w:val="24"/>
                <w:szCs w:val="24"/>
              </w:rPr>
              <w:t xml:space="preserve">2,2% de </w:t>
            </w:r>
            <w:proofErr w:type="spellStart"/>
            <w:r>
              <w:rPr>
                <w:b/>
                <w:sz w:val="24"/>
                <w:szCs w:val="24"/>
              </w:rPr>
              <w:t>casos</w:t>
            </w:r>
            <w:proofErr w:type="spellEnd"/>
            <w:r>
              <w:rPr>
                <w:b/>
                <w:sz w:val="24"/>
                <w:szCs w:val="24"/>
              </w:rPr>
              <w:t xml:space="preserve"> graves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sobre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sintomáticos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8515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Antecipar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saturação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otimizar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recursos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B1C22" w14:paraId="7F3E6951" w14:textId="77777777">
        <w:trPr>
          <w:trHeight w:val="770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387B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proofErr w:type="spellStart"/>
            <w:r>
              <w:rPr>
                <w:b/>
                <w:sz w:val="24"/>
                <w:szCs w:val="24"/>
              </w:rPr>
              <w:t>Vigilância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ativa</w:t>
            </w:r>
            <w:proofErr w:type="spellEnd"/>
          </w:p>
        </w:tc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A10D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Monitorar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sintomas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respiratórios</w:t>
            </w:r>
            <w:proofErr w:type="spellEnd"/>
            <w:r>
              <w:rPr>
                <w:sz w:val="24"/>
                <w:szCs w:val="24"/>
              </w:rPr>
              <w:t xml:space="preserve"> via </w:t>
            </w:r>
            <w:proofErr w:type="spellStart"/>
            <w:r>
              <w:rPr>
                <w:sz w:val="24"/>
                <w:szCs w:val="24"/>
              </w:rPr>
              <w:t>teleatendimento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plataformas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digitais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2573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Detecção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precoce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agravamentos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B1C22" w14:paraId="5D4C8C60" w14:textId="77777777">
        <w:trPr>
          <w:trHeight w:val="1040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4B24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3. </w:t>
            </w:r>
            <w:proofErr w:type="spellStart"/>
            <w:r>
              <w:rPr>
                <w:b/>
                <w:sz w:val="24"/>
                <w:szCs w:val="24"/>
              </w:rPr>
              <w:t>Saúde</w:t>
            </w:r>
            <w:proofErr w:type="spellEnd"/>
            <w:r>
              <w:rPr>
                <w:b/>
                <w:sz w:val="24"/>
                <w:szCs w:val="24"/>
              </w:rPr>
              <w:t xml:space="preserve"> digital</w:t>
            </w:r>
          </w:p>
        </w:tc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65F2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Ampliar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teleconsultas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monitoramento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remoto</w:t>
            </w:r>
            <w:proofErr w:type="spellEnd"/>
            <w:r>
              <w:rPr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b/>
                <w:sz w:val="24"/>
                <w:szCs w:val="24"/>
              </w:rPr>
              <w:t>inteligência</w:t>
            </w:r>
            <w:proofErr w:type="spellEnd"/>
            <w:r>
              <w:rPr>
                <w:b/>
                <w:sz w:val="24"/>
                <w:szCs w:val="24"/>
              </w:rPr>
              <w:t xml:space="preserve"> artificial </w:t>
            </w:r>
            <w:proofErr w:type="spellStart"/>
            <w:r>
              <w:rPr>
                <w:b/>
                <w:sz w:val="24"/>
                <w:szCs w:val="24"/>
              </w:rPr>
              <w:t>clínica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B6E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Garantir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continuidade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cuidado</w:t>
            </w:r>
            <w:proofErr w:type="spellEnd"/>
            <w:r>
              <w:rPr>
                <w:sz w:val="24"/>
                <w:szCs w:val="24"/>
              </w:rPr>
              <w:t xml:space="preserve"> com </w:t>
            </w:r>
            <w:proofErr w:type="spellStart"/>
            <w:r>
              <w:rPr>
                <w:sz w:val="24"/>
                <w:szCs w:val="24"/>
              </w:rPr>
              <w:t>menor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exposição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B1C22" w14:paraId="6CA1F4F2" w14:textId="77777777">
        <w:trPr>
          <w:trHeight w:val="770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13CE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proofErr w:type="spellStart"/>
            <w:r>
              <w:rPr>
                <w:b/>
                <w:sz w:val="24"/>
                <w:szCs w:val="24"/>
              </w:rPr>
              <w:t>Acesso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equitativo</w:t>
            </w:r>
            <w:proofErr w:type="spellEnd"/>
          </w:p>
        </w:tc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AE96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Implantar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unidades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móveis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parcerias</w:t>
            </w:r>
            <w:proofErr w:type="spellEnd"/>
            <w:r>
              <w:rPr>
                <w:sz w:val="24"/>
                <w:szCs w:val="24"/>
              </w:rPr>
              <w:t xml:space="preserve"> com </w:t>
            </w:r>
            <w:proofErr w:type="spellStart"/>
            <w:r>
              <w:rPr>
                <w:sz w:val="24"/>
                <w:szCs w:val="24"/>
              </w:rPr>
              <w:t>atenção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básica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regiões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periféricas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7C8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Corrigir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desigualdades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regionais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B1C22" w14:paraId="50E5F8C4" w14:textId="77777777">
        <w:trPr>
          <w:trHeight w:val="770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DA55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</w:t>
            </w:r>
            <w:proofErr w:type="spellStart"/>
            <w:r>
              <w:rPr>
                <w:b/>
                <w:sz w:val="24"/>
                <w:szCs w:val="24"/>
              </w:rPr>
              <w:t>Comunicação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segmentada</w:t>
            </w:r>
            <w:proofErr w:type="spellEnd"/>
          </w:p>
        </w:tc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B071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Campanhas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digitais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voltadas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b/>
                <w:sz w:val="24"/>
                <w:szCs w:val="24"/>
              </w:rPr>
              <w:t>jovens</w:t>
            </w:r>
            <w:proofErr w:type="spellEnd"/>
            <w:r>
              <w:rPr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b/>
                <w:sz w:val="24"/>
                <w:szCs w:val="24"/>
              </w:rPr>
              <w:t>trabalhadores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informais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B66A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Reduzir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subnotificação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ampliar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adesão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B1C22" w14:paraId="7CD7405F" w14:textId="77777777">
        <w:trPr>
          <w:trHeight w:val="770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6593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 </w:t>
            </w:r>
            <w:proofErr w:type="spellStart"/>
            <w:r>
              <w:rPr>
                <w:b/>
                <w:sz w:val="24"/>
                <w:szCs w:val="24"/>
              </w:rPr>
              <w:t>Integração</w:t>
            </w:r>
            <w:proofErr w:type="spellEnd"/>
            <w:r>
              <w:rPr>
                <w:b/>
                <w:sz w:val="24"/>
                <w:szCs w:val="24"/>
              </w:rPr>
              <w:t xml:space="preserve"> social</w:t>
            </w:r>
          </w:p>
        </w:tc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813C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Parcerias</w:t>
            </w:r>
            <w:proofErr w:type="spellEnd"/>
            <w:r>
              <w:rPr>
                <w:sz w:val="24"/>
                <w:szCs w:val="24"/>
              </w:rPr>
              <w:t xml:space="preserve"> com </w:t>
            </w:r>
            <w:proofErr w:type="spellStart"/>
            <w:r>
              <w:rPr>
                <w:sz w:val="24"/>
                <w:szCs w:val="24"/>
              </w:rPr>
              <w:t>órgãos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assistência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transporte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sanitário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A38D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Apoiar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populações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vulneráveis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B1C22" w14:paraId="4B6FB721" w14:textId="77777777">
        <w:trPr>
          <w:trHeight w:val="1040"/>
        </w:trPr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68C8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 </w:t>
            </w:r>
            <w:proofErr w:type="spellStart"/>
            <w:r>
              <w:rPr>
                <w:b/>
                <w:sz w:val="24"/>
                <w:szCs w:val="24"/>
              </w:rPr>
              <w:t>Inteligência</w:t>
            </w:r>
            <w:proofErr w:type="spellEnd"/>
            <w:r>
              <w:rPr>
                <w:b/>
                <w:sz w:val="24"/>
                <w:szCs w:val="24"/>
              </w:rPr>
              <w:t xml:space="preserve"> de dados</w:t>
            </w:r>
          </w:p>
        </w:tc>
        <w:tc>
          <w:tcPr>
            <w:tcW w:w="4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ACA1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painel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dinâmico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com </w:t>
            </w:r>
            <w:proofErr w:type="spellStart"/>
            <w:r>
              <w:rPr>
                <w:sz w:val="24"/>
                <w:szCs w:val="24"/>
              </w:rPr>
              <w:t>métricas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sintomas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gravidade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internações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6C83" w14:textId="77777777" w:rsidR="00AB1C22" w:rsidRDefault="00000000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Apoiar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decisões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estratégicas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tempo real.</w:t>
            </w:r>
          </w:p>
        </w:tc>
      </w:tr>
    </w:tbl>
    <w:p w14:paraId="17D14927" w14:textId="77777777" w:rsidR="00AB1C22" w:rsidRDefault="00000000">
      <w:pPr>
        <w:pStyle w:val="Ttulo2"/>
        <w:keepNext w:val="0"/>
        <w:keepLines w:val="0"/>
        <w:spacing w:after="80" w:line="360" w:lineRule="auto"/>
        <w:jc w:val="both"/>
        <w:rPr>
          <w:b/>
          <w:sz w:val="28"/>
          <w:szCs w:val="28"/>
        </w:rPr>
      </w:pPr>
      <w:bookmarkStart w:id="13" w:name="_cazk1bw1fmbs" w:colFirst="0" w:colLast="0"/>
      <w:bookmarkEnd w:id="13"/>
      <w:r>
        <w:rPr>
          <w:b/>
          <w:sz w:val="28"/>
          <w:szCs w:val="28"/>
        </w:rPr>
        <w:t xml:space="preserve">6 </w:t>
      </w:r>
      <w:proofErr w:type="spellStart"/>
      <w:r>
        <w:rPr>
          <w:b/>
          <w:sz w:val="28"/>
          <w:szCs w:val="28"/>
        </w:rPr>
        <w:t>Conclusão</w:t>
      </w:r>
      <w:proofErr w:type="spellEnd"/>
    </w:p>
    <w:p w14:paraId="52F020AD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análise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descritiva</w:t>
      </w:r>
      <w:proofErr w:type="spellEnd"/>
      <w:r>
        <w:rPr>
          <w:sz w:val="24"/>
          <w:szCs w:val="24"/>
        </w:rPr>
        <w:t xml:space="preserve"> da PNAD-COVID-19 </w:t>
      </w:r>
      <w:proofErr w:type="spellStart"/>
      <w:r>
        <w:rPr>
          <w:sz w:val="24"/>
          <w:szCs w:val="24"/>
        </w:rPr>
        <w:t>demonstra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impacto</w:t>
      </w:r>
      <w:proofErr w:type="spellEnd"/>
      <w:r>
        <w:rPr>
          <w:sz w:val="24"/>
          <w:szCs w:val="24"/>
        </w:rPr>
        <w:t xml:space="preserve"> da pandemia </w:t>
      </w:r>
      <w:proofErr w:type="spellStart"/>
      <w:r>
        <w:rPr>
          <w:sz w:val="24"/>
          <w:szCs w:val="24"/>
        </w:rPr>
        <w:t>ultrapassou</w:t>
      </w:r>
      <w:proofErr w:type="spellEnd"/>
      <w:r>
        <w:rPr>
          <w:sz w:val="24"/>
          <w:szCs w:val="24"/>
        </w:rPr>
        <w:t xml:space="preserve"> o campo </w:t>
      </w:r>
      <w:proofErr w:type="spellStart"/>
      <w:r>
        <w:rPr>
          <w:sz w:val="24"/>
          <w:szCs w:val="24"/>
        </w:rPr>
        <w:t>epidemiológico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evidenciando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interdependência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b/>
          <w:sz w:val="24"/>
          <w:szCs w:val="24"/>
        </w:rPr>
        <w:t>determinantes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sociais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acesso</w:t>
      </w:r>
      <w:proofErr w:type="spellEnd"/>
      <w:r>
        <w:rPr>
          <w:b/>
          <w:sz w:val="24"/>
          <w:szCs w:val="24"/>
        </w:rPr>
        <w:t xml:space="preserve"> à </w:t>
      </w:r>
      <w:proofErr w:type="spellStart"/>
      <w:r>
        <w:rPr>
          <w:b/>
          <w:sz w:val="24"/>
          <w:szCs w:val="24"/>
        </w:rPr>
        <w:t>saúde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infraestrutura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tecnológica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A </w:t>
      </w:r>
      <w:proofErr w:type="spellStart"/>
      <w:r>
        <w:rPr>
          <w:sz w:val="24"/>
          <w:szCs w:val="24"/>
        </w:rPr>
        <w:t>resposta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portanto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basear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planejamento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orientado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por</w:t>
      </w:r>
      <w:proofErr w:type="spellEnd"/>
      <w:r>
        <w:rPr>
          <w:b/>
          <w:sz w:val="24"/>
          <w:szCs w:val="24"/>
        </w:rPr>
        <w:t xml:space="preserve"> dados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integração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intersetorial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adoção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tecnologias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cuidado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remoto</w:t>
      </w:r>
      <w:proofErr w:type="spellEnd"/>
      <w:r>
        <w:rPr>
          <w:sz w:val="24"/>
          <w:szCs w:val="24"/>
        </w:rPr>
        <w:t xml:space="preserve">, com o </w:t>
      </w:r>
      <w:proofErr w:type="spellStart"/>
      <w:r>
        <w:rPr>
          <w:sz w:val="24"/>
          <w:szCs w:val="24"/>
        </w:rPr>
        <w:t>objetivo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mitigar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desigualdades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garantir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atendimento</w:t>
      </w:r>
      <w:proofErr w:type="spellEnd"/>
      <w:r>
        <w:rPr>
          <w:sz w:val="24"/>
          <w:szCs w:val="24"/>
        </w:rPr>
        <w:t xml:space="preserve"> universal e </w:t>
      </w:r>
      <w:proofErr w:type="spellStart"/>
      <w:r>
        <w:rPr>
          <w:sz w:val="24"/>
          <w:szCs w:val="24"/>
        </w:rPr>
        <w:t>eficaz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futuros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surtos</w:t>
      </w:r>
      <w:proofErr w:type="spellEnd"/>
      <w:r>
        <w:rPr>
          <w:sz w:val="24"/>
          <w:szCs w:val="24"/>
        </w:rPr>
        <w:t>.</w:t>
      </w:r>
    </w:p>
    <w:p w14:paraId="61227FF0" w14:textId="77777777" w:rsidR="00AB1C22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experiência</w:t>
      </w:r>
      <w:proofErr w:type="spellEnd"/>
      <w:r>
        <w:rPr>
          <w:sz w:val="24"/>
          <w:szCs w:val="24"/>
        </w:rPr>
        <w:t xml:space="preserve"> da COVID-19 </w:t>
      </w:r>
      <w:proofErr w:type="spellStart"/>
      <w:r>
        <w:rPr>
          <w:sz w:val="24"/>
          <w:szCs w:val="24"/>
        </w:rPr>
        <w:t>reforça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eficiência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saúde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apenas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assistencial</w:t>
      </w:r>
      <w:proofErr w:type="spellEnd"/>
      <w:r>
        <w:rPr>
          <w:sz w:val="24"/>
          <w:szCs w:val="24"/>
        </w:rPr>
        <w:t xml:space="preserve">, mas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capacidade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analítica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adaptativa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às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tecnológicas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sociais</w:t>
      </w:r>
      <w:proofErr w:type="spellEnd"/>
      <w:r>
        <w:rPr>
          <w:sz w:val="24"/>
          <w:szCs w:val="24"/>
        </w:rPr>
        <w:t>.</w:t>
      </w:r>
    </w:p>
    <w:p w14:paraId="5F4C20A5" w14:textId="77777777" w:rsidR="008F225C" w:rsidRPr="008F225C" w:rsidRDefault="008F225C">
      <w:pPr>
        <w:spacing w:before="240" w:after="240" w:line="360" w:lineRule="auto"/>
        <w:ind w:firstLine="720"/>
        <w:jc w:val="both"/>
        <w:rPr>
          <w:sz w:val="24"/>
          <w:szCs w:val="24"/>
        </w:rPr>
      </w:pPr>
    </w:p>
    <w:p w14:paraId="0392F408" w14:textId="77777777" w:rsidR="00AB1C22" w:rsidRDefault="00000000">
      <w:pPr>
        <w:pStyle w:val="Ttulo2"/>
        <w:keepNext w:val="0"/>
        <w:keepLines w:val="0"/>
        <w:spacing w:after="80" w:line="360" w:lineRule="auto"/>
        <w:jc w:val="both"/>
        <w:rPr>
          <w:b/>
          <w:sz w:val="28"/>
          <w:szCs w:val="28"/>
        </w:rPr>
      </w:pPr>
      <w:bookmarkStart w:id="14" w:name="_a8xxlvnwbhgs" w:colFirst="0" w:colLast="0"/>
      <w:bookmarkEnd w:id="14"/>
      <w:proofErr w:type="spellStart"/>
      <w:r>
        <w:rPr>
          <w:b/>
          <w:sz w:val="28"/>
          <w:szCs w:val="28"/>
        </w:rPr>
        <w:lastRenderedPageBreak/>
        <w:t>Referência</w:t>
      </w:r>
      <w:proofErr w:type="spellEnd"/>
    </w:p>
    <w:p w14:paraId="37A88237" w14:textId="77777777" w:rsidR="00AB1C22" w:rsidRDefault="00000000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NÚCLEO DE OPERAÇÕES E INTELIGÊNCIA EM SAÚDE (NOIS). </w:t>
      </w:r>
      <w:proofErr w:type="spellStart"/>
      <w:r>
        <w:rPr>
          <w:i/>
          <w:sz w:val="24"/>
          <w:szCs w:val="24"/>
        </w:rPr>
        <w:t>Análise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socioeconômica</w:t>
      </w:r>
      <w:proofErr w:type="spellEnd"/>
      <w:r>
        <w:rPr>
          <w:i/>
          <w:sz w:val="24"/>
          <w:szCs w:val="24"/>
        </w:rPr>
        <w:t xml:space="preserve"> da </w:t>
      </w:r>
      <w:proofErr w:type="spellStart"/>
      <w:r>
        <w:rPr>
          <w:i/>
          <w:sz w:val="24"/>
          <w:szCs w:val="24"/>
        </w:rPr>
        <w:t>letalidade</w:t>
      </w:r>
      <w:proofErr w:type="spellEnd"/>
      <w:r>
        <w:rPr>
          <w:i/>
          <w:sz w:val="24"/>
          <w:szCs w:val="24"/>
        </w:rPr>
        <w:t xml:space="preserve"> dos </w:t>
      </w:r>
      <w:proofErr w:type="spellStart"/>
      <w:r>
        <w:rPr>
          <w:i/>
          <w:sz w:val="24"/>
          <w:szCs w:val="24"/>
        </w:rPr>
        <w:t>casos</w:t>
      </w:r>
      <w:proofErr w:type="spellEnd"/>
      <w:r>
        <w:rPr>
          <w:i/>
          <w:sz w:val="24"/>
          <w:szCs w:val="24"/>
        </w:rPr>
        <w:t xml:space="preserve"> da COVID-19 no </w:t>
      </w:r>
      <w:proofErr w:type="spellStart"/>
      <w:r>
        <w:rPr>
          <w:i/>
          <w:sz w:val="24"/>
          <w:szCs w:val="24"/>
        </w:rPr>
        <w:t>Brasil</w:t>
      </w:r>
      <w:proofErr w:type="spellEnd"/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Nota Técnica nº 11. Rio de Janeiro: PUC-Rio, Instituto D’Or de Pesquisa e Ensino, 2020. </w:t>
      </w:r>
      <w:proofErr w:type="spellStart"/>
      <w:r>
        <w:rPr>
          <w:sz w:val="24"/>
          <w:szCs w:val="24"/>
        </w:rPr>
        <w:t>Disponível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:</w:t>
      </w:r>
      <w:hyperlink r:id="rId18">
        <w:r>
          <w:rPr>
            <w:sz w:val="24"/>
            <w:szCs w:val="24"/>
          </w:rPr>
          <w:t xml:space="preserve"> </w:t>
        </w:r>
      </w:hyperlink>
      <w:hyperlink r:id="rId19">
        <w:r>
          <w:rPr>
            <w:color w:val="1155CC"/>
            <w:sz w:val="24"/>
            <w:szCs w:val="24"/>
            <w:u w:val="single"/>
          </w:rPr>
          <w:t>https://sites.google.com/view/nois-pucrio</w:t>
        </w:r>
      </w:hyperlink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: 05 out. 2025</w:t>
      </w:r>
    </w:p>
    <w:p w14:paraId="5698515E" w14:textId="77777777" w:rsidR="00AB1C22" w:rsidRDefault="00000000">
      <w:pPr>
        <w:spacing w:line="360" w:lineRule="auto"/>
        <w:jc w:val="both"/>
        <w:rPr>
          <w:color w:val="393939"/>
          <w:sz w:val="24"/>
          <w:szCs w:val="24"/>
          <w:highlight w:val="white"/>
        </w:rPr>
      </w:pPr>
      <w:proofErr w:type="spellStart"/>
      <w:r>
        <w:rPr>
          <w:color w:val="393939"/>
          <w:sz w:val="24"/>
          <w:szCs w:val="24"/>
          <w:highlight w:val="white"/>
        </w:rPr>
        <w:t>Organização</w:t>
      </w:r>
      <w:proofErr w:type="spellEnd"/>
      <w:r>
        <w:rPr>
          <w:color w:val="393939"/>
          <w:sz w:val="24"/>
          <w:szCs w:val="24"/>
          <w:highlight w:val="white"/>
        </w:rPr>
        <w:t xml:space="preserve"> Pan-Americana da </w:t>
      </w:r>
      <w:proofErr w:type="spellStart"/>
      <w:r>
        <w:rPr>
          <w:color w:val="393939"/>
          <w:sz w:val="24"/>
          <w:szCs w:val="24"/>
          <w:highlight w:val="white"/>
        </w:rPr>
        <w:t>Saúde</w:t>
      </w:r>
      <w:proofErr w:type="spellEnd"/>
      <w:r>
        <w:rPr>
          <w:color w:val="393939"/>
          <w:sz w:val="24"/>
          <w:szCs w:val="24"/>
          <w:highlight w:val="white"/>
        </w:rPr>
        <w:t xml:space="preserve">. Folha </w:t>
      </w:r>
      <w:proofErr w:type="spellStart"/>
      <w:r>
        <w:rPr>
          <w:color w:val="393939"/>
          <w:sz w:val="24"/>
          <w:szCs w:val="24"/>
          <w:highlight w:val="white"/>
        </w:rPr>
        <w:t>informativa</w:t>
      </w:r>
      <w:proofErr w:type="spellEnd"/>
      <w:r>
        <w:rPr>
          <w:color w:val="393939"/>
          <w:sz w:val="24"/>
          <w:szCs w:val="24"/>
          <w:highlight w:val="white"/>
        </w:rPr>
        <w:t xml:space="preserve"> - COVID-19 (</w:t>
      </w:r>
      <w:proofErr w:type="spellStart"/>
      <w:r>
        <w:rPr>
          <w:color w:val="393939"/>
          <w:sz w:val="24"/>
          <w:szCs w:val="24"/>
          <w:highlight w:val="white"/>
        </w:rPr>
        <w:t>doença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causada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pelo</w:t>
      </w:r>
      <w:proofErr w:type="spellEnd"/>
      <w:r>
        <w:rPr>
          <w:color w:val="393939"/>
          <w:sz w:val="24"/>
          <w:szCs w:val="24"/>
          <w:highlight w:val="white"/>
        </w:rPr>
        <w:t xml:space="preserve"> novo </w:t>
      </w:r>
      <w:proofErr w:type="spellStart"/>
      <w:r>
        <w:rPr>
          <w:color w:val="393939"/>
          <w:sz w:val="24"/>
          <w:szCs w:val="24"/>
          <w:highlight w:val="white"/>
        </w:rPr>
        <w:t>coronavírus</w:t>
      </w:r>
      <w:proofErr w:type="spellEnd"/>
      <w:r>
        <w:rPr>
          <w:color w:val="393939"/>
          <w:sz w:val="24"/>
          <w:szCs w:val="24"/>
          <w:highlight w:val="white"/>
        </w:rPr>
        <w:t>).</w:t>
      </w:r>
    </w:p>
    <w:p w14:paraId="2C7677BD" w14:textId="77777777" w:rsidR="00AB1C22" w:rsidRDefault="00AB1C22">
      <w:pPr>
        <w:spacing w:line="360" w:lineRule="auto"/>
        <w:jc w:val="both"/>
        <w:rPr>
          <w:color w:val="393939"/>
          <w:sz w:val="24"/>
          <w:szCs w:val="24"/>
          <w:highlight w:val="white"/>
        </w:rPr>
      </w:pPr>
    </w:p>
    <w:p w14:paraId="57DC5969" w14:textId="77777777" w:rsidR="00AB1C22" w:rsidRDefault="00000000">
      <w:pPr>
        <w:spacing w:line="360" w:lineRule="auto"/>
        <w:jc w:val="both"/>
        <w:rPr>
          <w:color w:val="393939"/>
          <w:sz w:val="24"/>
          <w:szCs w:val="24"/>
          <w:highlight w:val="white"/>
        </w:rPr>
      </w:pPr>
      <w:proofErr w:type="spellStart"/>
      <w:r>
        <w:rPr>
          <w:color w:val="393939"/>
          <w:sz w:val="24"/>
          <w:szCs w:val="24"/>
          <w:highlight w:val="white"/>
        </w:rPr>
        <w:t>Ministério</w:t>
      </w:r>
      <w:proofErr w:type="spellEnd"/>
      <w:r>
        <w:rPr>
          <w:color w:val="393939"/>
          <w:sz w:val="24"/>
          <w:szCs w:val="24"/>
          <w:highlight w:val="white"/>
        </w:rPr>
        <w:t xml:space="preserve"> da </w:t>
      </w:r>
      <w:proofErr w:type="spellStart"/>
      <w:r>
        <w:rPr>
          <w:color w:val="393939"/>
          <w:sz w:val="24"/>
          <w:szCs w:val="24"/>
          <w:highlight w:val="white"/>
        </w:rPr>
        <w:t>Saúde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declara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transmissão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comunitária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nacional</w:t>
      </w:r>
      <w:proofErr w:type="spellEnd"/>
      <w:r>
        <w:rPr>
          <w:color w:val="393939"/>
          <w:sz w:val="24"/>
          <w:szCs w:val="24"/>
          <w:highlight w:val="white"/>
        </w:rPr>
        <w:t xml:space="preserve">. G1 2020; 20 mar. </w:t>
      </w:r>
    </w:p>
    <w:p w14:paraId="3B5F037C" w14:textId="77777777" w:rsidR="00AB1C22" w:rsidRDefault="00AB1C22">
      <w:pPr>
        <w:spacing w:line="360" w:lineRule="auto"/>
        <w:jc w:val="both"/>
        <w:rPr>
          <w:color w:val="393939"/>
          <w:sz w:val="24"/>
          <w:szCs w:val="24"/>
          <w:highlight w:val="white"/>
        </w:rPr>
      </w:pPr>
    </w:p>
    <w:p w14:paraId="47158CEE" w14:textId="77777777" w:rsidR="00AB1C22" w:rsidRDefault="00000000">
      <w:pPr>
        <w:spacing w:line="360" w:lineRule="auto"/>
        <w:jc w:val="both"/>
        <w:rPr>
          <w:color w:val="393939"/>
          <w:sz w:val="24"/>
          <w:szCs w:val="24"/>
          <w:highlight w:val="white"/>
        </w:rPr>
      </w:pPr>
      <w:proofErr w:type="spellStart"/>
      <w:r>
        <w:rPr>
          <w:color w:val="393939"/>
          <w:sz w:val="24"/>
          <w:szCs w:val="24"/>
          <w:highlight w:val="white"/>
        </w:rPr>
        <w:t>Ministério</w:t>
      </w:r>
      <w:proofErr w:type="spellEnd"/>
      <w:r>
        <w:rPr>
          <w:color w:val="393939"/>
          <w:sz w:val="24"/>
          <w:szCs w:val="24"/>
          <w:highlight w:val="white"/>
        </w:rPr>
        <w:t xml:space="preserve"> da </w:t>
      </w:r>
      <w:proofErr w:type="spellStart"/>
      <w:r>
        <w:rPr>
          <w:color w:val="393939"/>
          <w:sz w:val="24"/>
          <w:szCs w:val="24"/>
          <w:highlight w:val="white"/>
        </w:rPr>
        <w:t>Saúde</w:t>
      </w:r>
      <w:proofErr w:type="spellEnd"/>
      <w:r>
        <w:rPr>
          <w:color w:val="393939"/>
          <w:sz w:val="24"/>
          <w:szCs w:val="24"/>
          <w:highlight w:val="white"/>
        </w:rPr>
        <w:t xml:space="preserve">. </w:t>
      </w:r>
      <w:proofErr w:type="spellStart"/>
      <w:r>
        <w:rPr>
          <w:color w:val="393939"/>
          <w:sz w:val="24"/>
          <w:szCs w:val="24"/>
          <w:highlight w:val="white"/>
        </w:rPr>
        <w:t>Coronavírus</w:t>
      </w:r>
      <w:proofErr w:type="spellEnd"/>
      <w:r>
        <w:rPr>
          <w:color w:val="393939"/>
          <w:sz w:val="24"/>
          <w:szCs w:val="24"/>
          <w:highlight w:val="white"/>
        </w:rPr>
        <w:t xml:space="preserve">: o </w:t>
      </w:r>
      <w:proofErr w:type="spellStart"/>
      <w:r>
        <w:rPr>
          <w:color w:val="393939"/>
          <w:sz w:val="24"/>
          <w:szCs w:val="24"/>
          <w:highlight w:val="white"/>
        </w:rPr>
        <w:t>que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você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precisa</w:t>
      </w:r>
      <w:proofErr w:type="spellEnd"/>
      <w:r>
        <w:rPr>
          <w:color w:val="393939"/>
          <w:sz w:val="24"/>
          <w:szCs w:val="24"/>
          <w:highlight w:val="white"/>
        </w:rPr>
        <w:t xml:space="preserve"> saber e </w:t>
      </w:r>
      <w:proofErr w:type="spellStart"/>
      <w:r>
        <w:rPr>
          <w:color w:val="393939"/>
          <w:sz w:val="24"/>
          <w:szCs w:val="24"/>
          <w:highlight w:val="white"/>
        </w:rPr>
        <w:t>como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prevenir</w:t>
      </w:r>
      <w:proofErr w:type="spellEnd"/>
      <w:r>
        <w:rPr>
          <w:color w:val="393939"/>
          <w:sz w:val="24"/>
          <w:szCs w:val="24"/>
          <w:highlight w:val="white"/>
        </w:rPr>
        <w:t xml:space="preserve"> o </w:t>
      </w:r>
      <w:proofErr w:type="spellStart"/>
      <w:r>
        <w:rPr>
          <w:color w:val="393939"/>
          <w:sz w:val="24"/>
          <w:szCs w:val="24"/>
          <w:highlight w:val="white"/>
        </w:rPr>
        <w:t>contágio</w:t>
      </w:r>
      <w:proofErr w:type="spellEnd"/>
      <w:r>
        <w:rPr>
          <w:color w:val="393939"/>
          <w:sz w:val="24"/>
          <w:szCs w:val="24"/>
          <w:highlight w:val="white"/>
        </w:rPr>
        <w:t>. https://coronavirus.saude.gov.br (</w:t>
      </w:r>
      <w:proofErr w:type="spellStart"/>
      <w:r>
        <w:rPr>
          <w:color w:val="393939"/>
          <w:sz w:val="24"/>
          <w:szCs w:val="24"/>
          <w:highlight w:val="white"/>
        </w:rPr>
        <w:t>acessado</w:t>
      </w:r>
      <w:proofErr w:type="spellEnd"/>
      <w:r>
        <w:rPr>
          <w:color w:val="393939"/>
          <w:sz w:val="24"/>
          <w:szCs w:val="24"/>
          <w:highlight w:val="white"/>
        </w:rPr>
        <w:t xml:space="preserve"> </w:t>
      </w:r>
      <w:proofErr w:type="spellStart"/>
      <w:r>
        <w:rPr>
          <w:color w:val="393939"/>
          <w:sz w:val="24"/>
          <w:szCs w:val="24"/>
          <w:highlight w:val="white"/>
        </w:rPr>
        <w:t>em</w:t>
      </w:r>
      <w:proofErr w:type="spellEnd"/>
      <w:r>
        <w:rPr>
          <w:color w:val="393939"/>
          <w:sz w:val="24"/>
          <w:szCs w:val="24"/>
          <w:highlight w:val="white"/>
        </w:rPr>
        <w:t xml:space="preserve"> 09/Jul/2020).</w:t>
      </w:r>
    </w:p>
    <w:sectPr w:rsidR="00AB1C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1622F"/>
    <w:multiLevelType w:val="multilevel"/>
    <w:tmpl w:val="BE1CD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5226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22"/>
    <w:rsid w:val="005507B2"/>
    <w:rsid w:val="00713F3F"/>
    <w:rsid w:val="008F225C"/>
    <w:rsid w:val="00AB1C22"/>
    <w:rsid w:val="00EA7A8B"/>
    <w:rsid w:val="00F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EFAF"/>
  <w15:docId w15:val="{EF1A5895-3514-468F-9597-DDB780F1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Ttulo1Char">
    <w:name w:val="Título 1 Char"/>
    <w:basedOn w:val="Fontepargpadro"/>
    <w:link w:val="Ttulo1"/>
    <w:uiPriority w:val="9"/>
    <w:rsid w:val="00713F3F"/>
    <w:rPr>
      <w:sz w:val="40"/>
      <w:szCs w:val="40"/>
    </w:rPr>
  </w:style>
  <w:style w:type="character" w:styleId="Hyperlink">
    <w:name w:val="Hyperlink"/>
    <w:basedOn w:val="Fontepargpadro"/>
    <w:uiPriority w:val="99"/>
    <w:unhideWhenUsed/>
    <w:rsid w:val="00713F3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ites.google.com/view/nois-pucri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ites.google.com/view/nois-pucr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2534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Alves de Amorim</cp:lastModifiedBy>
  <cp:revision>5</cp:revision>
  <dcterms:created xsi:type="dcterms:W3CDTF">2025-10-07T00:39:00Z</dcterms:created>
  <dcterms:modified xsi:type="dcterms:W3CDTF">2025-10-07T00:53:00Z</dcterms:modified>
</cp:coreProperties>
</file>