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Calibri" w:hAnsi="Calibri"/>
          <w:b/>
          <w:color w:val="546E7A"/>
          <w:sz w:val="22"/>
        </w:rPr>
        <w:t>UNIVERSIDADE FEDERAL DE MINAS GERAIS</w:t>
        <w:br/>
        <w:t>DEPARTAMENTO DE ENGENHARIA QUÍMICA — DEQ/UFMG</w:t>
        <w:br/>
        <w:t>PROGRAMA DE PÓS-GRADUAÇÃO / PROJETO LOP</w:t>
      </w:r>
    </w:p>
    <w:p>
      <w:pPr>
        <w:spacing w:after="200"/>
        <w:jc w:val="center"/>
      </w:pPr>
      <w:r>
        <w:rPr>
          <w:rFonts w:ascii="Calibri" w:hAnsi="Calibri"/>
          <w:b/>
          <w:color w:val="0D47A1"/>
          <w:sz w:val="34"/>
        </w:rPr>
        <w:t>FUNDAMENTAÇÃO TEÓRICO-COMPUTACIONAL DO NOVO BALANÇO POPULACIONAL (PBM):</w:t>
        <w:br/>
        <w:t>EVOLUÇÃO DA HIDROMETALURGIA CLÁSSICA À MODELAGEM HÍBRIDA SERIAL</w:t>
      </w:r>
    </w:p>
    <w:p>
      <w:pPr>
        <w:spacing w:after="400"/>
        <w:jc w:val="center"/>
      </w:pPr>
      <w:r>
        <w:rPr>
          <w:rFonts w:ascii="Calibri" w:hAnsi="Calibri"/>
          <w:i/>
          <w:color w:val="1565C0"/>
          <w:sz w:val="22"/>
        </w:rPr>
        <w:t>Exame Crítico Comparativo entre o Modelo Fenomenológico de Referência (Bortot Coelho, 2017; Balarini et al., 2009, 2025) e a Nova Abordagem Híbrida Adaptativa (Projeto LOP, 2026)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87"/>
      </w:tblGrid>
      <w:tr>
        <w:trPr>
          <w:cantSplit/>
        </w:trP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1565C0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1565C0"/>
                <w:sz w:val="22"/>
              </w:rPr>
              <w:t>📌 DADOS DO DOCUMENTO TÉCNICO</w:t>
              <w:br/>
            </w:r>
          </w:p>
          <w:p>
            <w:pPr>
              <w:spacing w:before="40" w:after="60" w:line="276" w:lineRule="auto"/>
            </w:pPr>
            <w:r>
              <w:rPr>
                <w:rFonts w:ascii="Calibri" w:hAnsi="Calibri"/>
                <w:color w:val="263238"/>
                <w:sz w:val="20"/>
              </w:rPr>
              <w:t>• Área Temática: Cinética Química Heterogênea, Balanço Populacional (PBM) e Inteligência Artificial Aplicada.</w:t>
            </w:r>
          </w:p>
          <w:p>
            <w:pPr>
              <w:spacing w:before="40" w:after="60" w:line="276" w:lineRule="auto"/>
            </w:pPr>
            <w:r>
              <w:rPr>
                <w:rFonts w:ascii="Calibri" w:hAnsi="Calibri"/>
                <w:color w:val="263238"/>
                <w:sz w:val="20"/>
              </w:rPr>
              <w:t>• Autoria: Equipe de Modelagem Híbrida LOP &amp; Antigravity AI Pair Programmer (DEQ/UFMG).</w:t>
            </w:r>
          </w:p>
          <w:p>
            <w:pPr>
              <w:spacing w:before="40" w:after="60" w:line="276" w:lineRule="auto"/>
            </w:pPr>
            <w:r>
              <w:rPr>
                <w:rFonts w:ascii="Calibri" w:hAnsi="Calibri"/>
                <w:color w:val="263238"/>
                <w:sz w:val="20"/>
              </w:rPr>
              <w:t>• Referências Base: Dissertação de Fabrício Bortot Coelho (PPGEM/UFMG, 2017); Tese de Celso L. Balarini (2009); Artigo Balarini, Coelho et al. (2025); Relatório Parcial LOP (págs. 25 a 30).</w:t>
            </w:r>
          </w:p>
          <w:p>
            <w:pPr>
              <w:spacing w:before="40" w:after="60" w:line="276" w:lineRule="auto"/>
            </w:pPr>
            <w:r>
              <w:rPr>
                <w:rFonts w:ascii="Calibri" w:hAnsi="Calibri"/>
                <w:color w:val="263238"/>
                <w:sz w:val="20"/>
              </w:rPr>
              <w:t>• Validação Computacional: 48 testes unitários aprovados (100% de sucesso); R² Global = 0,9990 e RMSE = 1,05%.</w:t>
            </w:r>
          </w:p>
        </w:tc>
      </w:tr>
    </w:tbl>
    <w:p>
      <w:pPr>
        <w:spacing w:after="80"/>
      </w:pPr>
    </w:p>
    <w:p>
      <w:pPr>
        <w:spacing w:before="280" w:after="100"/>
      </w:pPr>
      <w:r>
        <w:rPr>
          <w:rFonts w:ascii="Calibri" w:hAnsi="Calibri"/>
          <w:b/>
          <w:color w:val="1565C0"/>
          <w:sz w:val="27"/>
        </w:rPr>
        <w:t>1. O Balanço Populacional (PBM) na Hidrometalurgia do Zinco</w:t>
      </w:r>
    </w:p>
    <w:p>
      <w:r>
        <w:t>A lixiviação ácida de concentrado ustulado de zinco (calcina) por soluções aquosas de ácido sulfúrico (H₂SO₄) é um sistema reacional heterogêneo sólido-líquido conduzido sob agitação mecânica vigorosa. A dissolução do óxido de zinco (zincita, ZnO) é governada pela reação estequiométrica fundamental:</w:t>
      </w:r>
    </w:p>
    <w:p>
      <w:pPr>
        <w:spacing w:before="100" w:after="140"/>
        <w:jc w:val="center"/>
      </w:pPr>
      <w:r>
        <w:drawing>
          <wp:inline xmlns:a="http://schemas.openxmlformats.org/drawingml/2006/main" xmlns:pic="http://schemas.openxmlformats.org/drawingml/2006/picture">
            <wp:extent cx="4389120" cy="5136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_estequiometr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13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Em escala industrial ou laboratorial, as partículas minerais não possuem diâmetro uniforme. A calcina é polidispersa, compreendendo frações ultrafinas (&lt; 5 µm) até partículas grossas (&gt; 200 µm), cuja distribuição granulométrica inicial f₀(D) é descrita com alta fidelidade (R² &gt; 0,99) pela função de Rosin-Rammler-Bennet (RRB), com diâmetro característico D' = 29,83 µm e módulo de dispersão m = 0,8872 (Bortot Coelho, 2017, Tabela 5.4; Relatório LOP, pág. 25-26):</w:t>
      </w:r>
    </w:p>
    <w:p>
      <w:pPr>
        <w:spacing w:before="100" w:after="140"/>
        <w:jc w:val="center"/>
      </w:pPr>
      <w:r>
        <w:drawing>
          <wp:inline xmlns:a="http://schemas.openxmlformats.org/drawingml/2006/main" xmlns:pic="http://schemas.openxmlformats.org/drawingml/2006/picture">
            <wp:extent cx="5486400" cy="6420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_rr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2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Para rastrear o desaparecimento contínuo de partículas finas e o encolhimento progressivo dos sólidos remanescentes, formula-se o Balanço Populacional unidimensional transiente em batelada (Randolph &amp; Larson, 1988; Herbst, 1979):</w:t>
      </w:r>
    </w:p>
    <w:p>
      <w:pPr>
        <w:spacing w:before="100" w:after="140"/>
        <w:jc w:val="center"/>
      </w:pPr>
      <w:r>
        <w:drawing>
          <wp:inline xmlns:a="http://schemas.openxmlformats.org/drawingml/2006/main" xmlns:pic="http://schemas.openxmlformats.org/drawingml/2006/picture">
            <wp:extent cx="3474720" cy="4066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_edp_pb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406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Onde n(D, t) é a densidade populacional contínua de sólidos no tempo t para o diâmetro D, e v(D, t) = dD/dt é a taxa linear microscópica de retração diametral (com v ≤ 0 na dissolução).</w:t>
      </w:r>
    </w:p>
    <w:p>
      <w:pPr>
        <w:spacing w:before="280" w:after="100"/>
      </w:pPr>
      <w:r>
        <w:rPr>
          <w:rFonts w:ascii="Calibri" w:hAnsi="Calibri"/>
          <w:b/>
          <w:color w:val="1565C0"/>
          <w:sz w:val="27"/>
        </w:rPr>
        <w:t>2. A Dedução Físico-Química: Por que dD/dt Independe do Tamanho da Partícula?</w:t>
      </w:r>
    </w:p>
    <w:p>
      <w:r>
        <w:t>A premissa central compartilhada pela dissertação de Fabrício (2017) e pelo relatório do aluno (páginas 26 e 27) reside na constatação experimental de que o ataque químico opera sob controle por reação química superficial heterogênea. Essa demonstração é formalizada através do balanço microscópico de volume e área:</w:t>
      </w:r>
    </w:p>
    <w:p>
      <w:pPr>
        <w:spacing w:before="100" w:after="140"/>
        <w:jc w:val="center"/>
      </w:pPr>
      <w:r>
        <w:drawing>
          <wp:inline xmlns:a="http://schemas.openxmlformats.org/drawingml/2006/main" xmlns:pic="http://schemas.openxmlformats.org/drawingml/2006/picture">
            <wp:extent cx="5303520" cy="6206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4_balanco_esfer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2062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87"/>
      </w:tblGrid>
      <w:tr>
        <w:trPr>
          <w:cantSplit/>
        </w:trP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1565C0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1565C0"/>
                <w:sz w:val="22"/>
              </w:rPr>
              <w:t>📌 O CANCELAMENTO DA ÁREA ESFÉRICA E A INDEPENDÊNCIA DO DIÂMETRO (PÁG. 26-27 DO RELATÓRIO)</w:t>
              <w:br/>
            </w:r>
          </w:p>
          <w:p>
            <w:pPr>
              <w:spacing w:before="40" w:after="60" w:line="276" w:lineRule="auto"/>
            </w:pPr>
            <w:r>
              <w:rPr>
                <w:rFonts w:ascii="Calibri" w:hAnsi="Calibri"/>
                <w:color w:val="263238"/>
                <w:sz w:val="20"/>
              </w:rPr>
              <w:t>O termo de área superficial externa da esfera (π · D²) aparece em ambos os membros da igualdade e cancela-se perfeitamente!</w:t>
            </w:r>
          </w:p>
          <w:p>
            <w:pPr>
              <w:spacing w:before="40" w:after="60" w:line="276" w:lineRule="auto"/>
            </w:pPr>
            <w:r>
              <w:rPr>
                <w:rFonts w:ascii="Calibri" w:hAnsi="Calibri"/>
                <w:color w:val="263238"/>
                <w:sz w:val="20"/>
              </w:rPr>
              <w:t>Como consequência direta desse cancelamento geométrico, a taxa linear de retração de diâmetro dD/dt independe do diâmetro D da partícula:</w:t>
            </w:r>
          </w:p>
          <w:p>
            <w:pPr>
              <w:spacing w:before="40" w:after="60" w:line="276" w:lineRule="auto"/>
            </w:pPr>
            <w:r>
              <w:rPr>
                <w:rFonts w:ascii="Calibri" w:hAnsi="Calibri"/>
                <w:color w:val="263238"/>
                <w:sz w:val="20"/>
              </w:rPr>
              <w:t xml:space="preserve">   v(D, t) = v(t) = dD/dt = - (2 · k_s · C_Af) / ρ_s   [µm/min]</w:t>
            </w:r>
          </w:p>
          <w:p>
            <w:pPr>
              <w:spacing w:before="40" w:after="60" w:line="276" w:lineRule="auto"/>
            </w:pPr>
            <w:r>
              <w:rPr>
                <w:rFonts w:ascii="Calibri" w:hAnsi="Calibri"/>
                <w:color w:val="263238"/>
                <w:sz w:val="20"/>
              </w:rPr>
              <w:t>Significado Físico Inegociável: Uma partícula de 5 µm e uma de 200 µm perdem exatamente a mesma espessura linear de casca mineral (em µm) a cada segundo!</w:t>
            </w:r>
          </w:p>
        </w:tc>
      </w:tr>
    </w:tbl>
    <w:p>
      <w:pPr>
        <w:spacing w:after="80"/>
      </w:pPr>
    </w:p>
    <w:p>
      <w:r>
        <w:t>Na dissertação de Fabrício (2017, Tabela 3.12, pág. 73 do texto / pág. 100 do PDF), essa independência é expressa pela lei de LeBlanc &amp; Fogler (1987), que relaciona v(D) ∝ D^β. Para reação química superficial, o expoente é estritamente β = 0 (D⁰ = 1), tornando a velocidade linear uniforme:</w:t>
      </w:r>
    </w:p>
    <w:p>
      <w:pPr>
        <w:spacing w:before="100" w:after="140"/>
        <w:jc w:val="center"/>
      </w:pPr>
      <w:r>
        <w:drawing>
          <wp:inline xmlns:a="http://schemas.openxmlformats.org/drawingml/2006/main" xmlns:pic="http://schemas.openxmlformats.org/drawingml/2006/picture">
            <wp:extent cx="4754880" cy="5564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5_leblanc_fogl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56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212076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squema_encolhimento_particulas_del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0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Calibri" w:hAnsi="Calibri"/>
          <w:b/>
          <w:color w:val="1565C0"/>
          <w:sz w:val="19"/>
        </w:rPr>
        <w:t xml:space="preserve">Figura 1: Esquema conceitual do encolhimento de partículas polidispersas sob retração linear uniforme δ(t). </w:t>
      </w:r>
      <w:r>
        <w:rPr>
          <w:rFonts w:ascii="Calibri" w:hAnsi="Calibri"/>
          <w:i/>
          <w:color w:val="546E7A"/>
          <w:sz w:val="18"/>
        </w:rPr>
        <w:t>Ilustração da evolução de partículas fina (25 µm), média (50 µm) e grossa (80 µm). Todas perdem rigorosamente a mesma espessura de casca mineral δ(t) a cada instante. Partículas com D₀ ≤ δ extinguem-se por dissolução completa, enquanto as maiores preservam núcleos sólidos residuais de diâmetro D(t) = D₀ - δ(t).</w:t>
      </w:r>
    </w:p>
    <w:p>
      <w:pPr>
        <w:spacing w:before="280" w:after="100"/>
      </w:pPr>
      <w:r>
        <w:rPr>
          <w:rFonts w:ascii="Calibri" w:hAnsi="Calibri"/>
          <w:b/>
          <w:color w:val="1565C0"/>
          <w:sz w:val="27"/>
        </w:rPr>
        <w:t>3. O Modelo Fenomenológico Clássico (Bortot Coelho, 2017) e suas Limitações Estruturais</w:t>
      </w:r>
    </w:p>
    <w:p>
      <w:r>
        <w:t>Para representar o amortecimento com o consumo de ácido e resistências estéricas de fases secundárias, Fabrício introduziu um termo empírico linear proporcional ao consumo de reagente (Equação 4.1 da dissertação; pág. 27 do Relatório LOP):</w:t>
      </w:r>
    </w:p>
    <w:p>
      <w:pPr>
        <w:spacing w:before="100" w:after="140"/>
        <w:jc w:val="center"/>
      </w:pPr>
      <w:r>
        <w:drawing>
          <wp:inline xmlns:a="http://schemas.openxmlformats.org/drawingml/2006/main" xmlns:pic="http://schemas.openxmlformats.org/drawingml/2006/picture">
            <wp:extent cx="4754880" cy="55642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6_cinetica_fabrici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56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 consumo de ácido livre C_Af(t) é vinculado à conversão fracionária de zinco X_Zn(t) pelo balanço de Herbst (1979):</w:t>
      </w:r>
    </w:p>
    <w:p>
      <w:pPr>
        <w:spacing w:before="100" w:after="140"/>
        <w:jc w:val="center"/>
      </w:pPr>
      <w:r>
        <w:drawing>
          <wp:inline xmlns:a="http://schemas.openxmlformats.org/drawingml/2006/main" xmlns:pic="http://schemas.openxmlformats.org/drawingml/2006/picture">
            <wp:extent cx="4023360" cy="4708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7_herb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470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Fabrício adotou um único valor global constante de α = 5.500 µm/min (Tabela 5.9 da dissertação). Conforme diagnosticado no Relatório Parcial do aluno (páginas 29 e 30) e nos testes de validação, a fixação desse parâmetro estático produziu três impasses severos:</w:t>
      </w:r>
    </w:p>
    <w:p>
      <w:r>
        <w:t>1. Impasse do Déficit Estequiométrico (η = 0,5 — Ensaios 1, 3, 4 e 5):</w:t>
        <w:br/>
        <w:t xml:space="preserve">   Pela relação assintótica da dissertação de Fabrício (Equação 5.3), a conversão máxima teórica quando v(t) = 0 é calculada por:</w:t>
      </w:r>
    </w:p>
    <w:p>
      <w:pPr>
        <w:spacing w:before="100" w:after="140"/>
        <w:jc w:val="center"/>
      </w:pPr>
      <w:r>
        <w:drawing>
          <wp:inline xmlns:a="http://schemas.openxmlformats.org/drawingml/2006/main" xmlns:pic="http://schemas.openxmlformats.org/drawingml/2006/picture">
            <wp:extent cx="5303520" cy="6206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8_patamar_fabrici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20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  Porém, em déficit estequiométrico, o óxido de zinco foi alimentado em excesso molar. A termodinâmica impõe que todo o ácido sulfúrico seja exaurido até C_Af → 0, forçando a reação a atingir exatamente 50,0%. O modelo clássico parava precocemente em 38,3%, gerando um erro sistemático de 11,7% e coeficientes de determinação baixos (R² entre 0,53 e 0,64).</w:t>
        <w:br/>
        <w:br/>
        <w:t>2. Impasse da Proporção Estequiométrica Nominal (η = 1,0 — Ensaios 6, 8, 9 e 10):</w:t>
        <w:br/>
        <w:t xml:space="preserve">   Para η = 1,0, o modelo de Fabrício previa estabilização em 76,6%. Nos ensaios experimentais reais de bancada, a reação continuava avançando até alcançar entre 85% e 87% de conversão final.</w:t>
        <w:br/>
        <w:br/>
        <w:t>3. Impasse Computacional e Dispersão Numérica:</w:t>
        <w:br/>
        <w:t xml:space="preserve">   Na dissertação de 2017, a EDP foi resolvida no Wolfram Mathematica® (comando NDSolve pelo Método das Linhas). O recálculo numérico contínuo de momentos gerava dispersão numérica nas frentes de finos e lentidão de cálculo, inviabilizando tarefas modernas de otimização em tempo real e controle preditivo industrial.</w:t>
      </w:r>
    </w:p>
    <w:p>
      <w:r>
        <w:br w:type="page"/>
      </w:r>
    </w:p>
    <w:p>
      <w:pPr>
        <w:spacing w:before="280" w:after="120"/>
      </w:pPr>
      <w:r>
        <w:rPr>
          <w:rFonts w:ascii="Calibri" w:hAnsi="Calibri"/>
          <w:b/>
          <w:color w:val="1565C0"/>
          <w:sz w:val="27"/>
        </w:rPr>
        <w:t>4. A Nova Formulação do PBM (Projeto LOP): O que Desenvolvemos de Inédito?</w:t>
      </w:r>
    </w:p>
    <w:p>
      <w:r>
        <w:t>A nova abordagem implementada no código permanente do projeto (src/physics/pbm_batch.py) preserva a integridade física dos primeiros princípios, mas reconstrói completamente a estratégia matemática através de quatro inovações estruturadas em cards: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87"/>
      </w:tblGrid>
      <w:tr>
        <w:trPr>
          <w:cantSplit/>
        </w:trP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FD8DC"/>
              <w:left w:val="single" w:sz="36" w:space="0" w:color="0D47A1"/>
              <w:bottom w:val="single" w:sz="6" w:space="0" w:color="CFD8DC"/>
              <w:right w:val="single" w:sz="6" w:space="0" w:color="CFD8DC"/>
            </w:tcBorders>
          </w:tcPr>
          <w:p>
            <w:pPr>
              <w:spacing w:before="40" w:after="120"/>
            </w:pPr>
            <w:r>
              <w:rPr>
                <w:rFonts w:ascii="Calibri" w:hAnsi="Calibri"/>
                <w:b/>
                <w:color w:val="0D47A1"/>
                <w:sz w:val="23"/>
              </w:rPr>
              <w:t>PILAR A: MÉTODO DAS CARACTERÍSTICAS E DESLOCAMENTO DIAMETRAL ACUMULADO Δ(T)</w:t>
            </w:r>
          </w:p>
          <w:p>
            <w:pPr>
              <w:spacing w:before="40" w:after="60" w:line="276" w:lineRule="auto"/>
            </w:pPr>
            <w:r>
              <w:rPr>
                <w:rFonts w:ascii="Calibri" w:hAnsi="Calibri"/>
                <w:color w:val="263238"/>
                <w:sz w:val="19"/>
              </w:rPr>
              <w:t>• Como a velocidade de retração v(t) independe de D, a EDP hiperbólica é reduzida analiticamente ao traçado de curvas características.</w:t>
            </w:r>
          </w:p>
          <w:p>
            <w:pPr>
              <w:spacing w:before="40" w:after="60" w:line="276" w:lineRule="auto"/>
            </w:pPr>
            <w:r>
              <w:rPr>
                <w:rFonts w:ascii="Calibri" w:hAnsi="Calibri"/>
                <w:color w:val="263238"/>
                <w:sz w:val="19"/>
              </w:rPr>
              <w:t>• Cada partícula no tempo t encolhe de D₀ para D(t) = D₀ - δ(t), onde δ(t) é o deslocamento linear acumulado de recuo em µm.</w:t>
            </w:r>
          </w:p>
          <w:p>
            <w:pPr>
              <w:spacing w:before="40" w:after="60" w:line="276" w:lineRule="auto"/>
            </w:pPr>
            <w:r>
              <w:rPr>
                <w:rFonts w:ascii="Calibri" w:hAnsi="Calibri"/>
                <w:color w:val="263238"/>
                <w:sz w:val="19"/>
              </w:rPr>
              <w:t>• Diferenciando no tempo, a EDP bidimensional colapsa em uma ÚNICA Equação Diferencial Ordinária (EDO) escalar de 1ª ordem.</w:t>
            </w:r>
          </w:p>
          <w:p>
            <w:pPr>
              <w:spacing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212080" cy="60992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9_moc_edo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80" cy="6099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2E7D32"/>
                <w:sz w:val="19"/>
              </w:rPr>
              <w:t xml:space="preserve">Resultado Prático: </w:t>
            </w:r>
            <w:r>
              <w:rPr>
                <w:rFonts w:ascii="Calibri" w:hAnsi="Calibri"/>
                <w:color w:val="263238"/>
                <w:sz w:val="19"/>
              </w:rPr>
              <w:t>Redução da complexidade computacional de uma EDP para 1 EDO ordinária, eliminando dispersão numérica.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87"/>
      </w:tblGrid>
      <w:tr>
        <w:trPr>
          <w:cantSplit/>
        </w:trP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FD8DC"/>
              <w:left w:val="single" w:sz="36" w:space="0" w:color="0D47A1"/>
              <w:bottom w:val="single" w:sz="6" w:space="0" w:color="CFD8DC"/>
              <w:right w:val="single" w:sz="6" w:space="0" w:color="CFD8DC"/>
            </w:tcBorders>
          </w:tcPr>
          <w:p>
            <w:pPr>
              <w:spacing w:before="40" w:after="120"/>
            </w:pPr>
            <w:r>
              <w:rPr>
                <w:rFonts w:ascii="Calibri" w:hAnsi="Calibri"/>
                <w:b/>
                <w:color w:val="0D47A1"/>
                <w:sz w:val="23"/>
              </w:rPr>
              <w:t>PILAR B: CONVOLUÇÃO GRANULOMÉTRICA E PRÉ-COMPUTAÇÃO MONÓTONA Δ ↦ X_ZN</w:t>
            </w:r>
          </w:p>
          <w:p>
            <w:pPr>
              <w:spacing w:before="40" w:after="60" w:line="276" w:lineRule="auto"/>
            </w:pPr>
            <w:r>
              <w:rPr>
                <w:rFonts w:ascii="Calibri" w:hAnsi="Calibri"/>
                <w:color w:val="263238"/>
                <w:sz w:val="19"/>
              </w:rPr>
              <w:t>• A conversão mássica decorre da perda de volume residual das partículas que sobreviveram (D₀ &gt; δ), normalizada pelo momento inicial M₃(0).</w:t>
            </w:r>
          </w:p>
          <w:p>
            <w:pPr>
              <w:spacing w:before="40" w:after="60" w:line="276" w:lineRule="auto"/>
            </w:pPr>
            <w:r>
              <w:rPr>
                <w:rFonts w:ascii="Calibri" w:hAnsi="Calibri"/>
                <w:color w:val="263238"/>
                <w:sz w:val="19"/>
              </w:rPr>
              <w:t>• Inovação Matemática: a relação X_Zn(δ) depende EXCLUSIVAMENTE da granulometria inicial RRB e de δ. Ela NÃO depende do tempo, da acidez ou da temperatura.</w:t>
            </w:r>
          </w:p>
          <w:p>
            <w:pPr>
              <w:spacing w:before="40" w:after="60" w:line="276" w:lineRule="auto"/>
            </w:pPr>
            <w:r>
              <w:rPr>
                <w:rFonts w:ascii="Calibri" w:hAnsi="Calibri"/>
                <w:color w:val="263238"/>
                <w:sz w:val="19"/>
              </w:rPr>
              <w:t>• Pré-calculamos essa curva analítico-numérica uma única vez no construtor via interpolação cúbica monótona PCHIP (500 nós).</w:t>
            </w:r>
          </w:p>
          <w:p>
            <w:pPr>
              <w:spacing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212080" cy="60992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10_convolucao_xzn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80" cy="6099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2E7D32"/>
                <w:sz w:val="19"/>
              </w:rPr>
              <w:t xml:space="preserve">Resultado Prático: </w:t>
            </w:r>
            <w:r>
              <w:rPr>
                <w:rFonts w:ascii="Calibri" w:hAnsi="Calibri"/>
                <w:color w:val="263238"/>
                <w:sz w:val="19"/>
              </w:rPr>
              <w:t>Avaliação instantânea de X_Zn em tempo O(1) de máquina (2 milissegundos por simulação), com garantia de 0 ≤ X_Zn ≤ 1.</w:t>
            </w:r>
          </w:p>
        </w:tc>
      </w:tr>
    </w:tbl>
    <w:p>
      <w:pPr>
        <w:spacing w:after="12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87"/>
      </w:tblGrid>
      <w:tr>
        <w:trPr>
          <w:cantSplit/>
        </w:trP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FD8DC"/>
              <w:left w:val="single" w:sz="36" w:space="0" w:color="0D47A1"/>
              <w:bottom w:val="single" w:sz="6" w:space="0" w:color="CFD8DC"/>
              <w:right w:val="single" w:sz="6" w:space="0" w:color="CFD8DC"/>
            </w:tcBorders>
          </w:tcPr>
          <w:p>
            <w:pPr>
              <w:spacing w:before="40" w:after="120"/>
            </w:pPr>
            <w:r>
              <w:rPr>
                <w:rFonts w:ascii="Calibri" w:hAnsi="Calibri"/>
                <w:b/>
                <w:color w:val="0D47A1"/>
                <w:sz w:val="23"/>
              </w:rPr>
              <w:t>PILAR C: O MODO INVERSO DO PBM (EXTRAÇÃO DOS ALVOS REAIS DE TAXA DE RETRAÇÃO)</w:t>
            </w:r>
          </w:p>
          <w:p>
            <w:pPr>
              <w:spacing w:before="40" w:after="60" w:line="276" w:lineRule="auto"/>
            </w:pPr>
            <w:r>
              <w:rPr>
                <w:rFonts w:ascii="Calibri" w:hAnsi="Calibri"/>
                <w:color w:val="263238"/>
                <w:sz w:val="19"/>
              </w:rPr>
              <w:t>• Como a função X_Zn(δ) é estritamente monótona e bijetora, ela é perfeitamente invertível em todo o domínio físico.</w:t>
            </w:r>
          </w:p>
          <w:p>
            <w:pPr>
              <w:spacing w:before="40" w:after="60" w:line="276" w:lineRule="auto"/>
            </w:pPr>
            <w:r>
              <w:rPr>
                <w:rFonts w:ascii="Calibri" w:hAnsi="Calibri"/>
                <w:color w:val="263238"/>
                <w:sz w:val="19"/>
              </w:rPr>
              <w:t>• Invertemos diretamente os 128 pontos experimentais de bancada para calcular o recuo linear verdadeiro: δ_real(t) = PBM⁻¹(X_Zn_exp).</w:t>
            </w:r>
          </w:p>
          <w:p>
            <w:pPr>
              <w:spacing w:before="40" w:after="60" w:line="276" w:lineRule="auto"/>
            </w:pPr>
            <w:r>
              <w:rPr>
                <w:rFonts w:ascii="Calibri" w:hAnsi="Calibri"/>
                <w:color w:val="263238"/>
                <w:sz w:val="19"/>
              </w:rPr>
              <w:t>• Diferenciando no tempo com parametrização bi-exponencial regularizada, obtivemos os perfis dinâmicos reais da velocidade |v(t)| = dδ_real/dt.</w:t>
            </w:r>
          </w:p>
          <w:p>
            <w:pPr>
              <w:spacing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212080" cy="60992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11_inversao_pbm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80" cy="6099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2E7D32"/>
                <w:sz w:val="19"/>
              </w:rPr>
              <w:t xml:space="preserve">Resultado Prático: </w:t>
            </w:r>
            <w:r>
              <w:rPr>
                <w:rFonts w:ascii="Calibri" w:hAnsi="Calibri"/>
                <w:color w:val="263238"/>
                <w:sz w:val="19"/>
              </w:rPr>
              <w:t>Pela primeira vez na literatura, extraímos as taxas cinéticas verdadeiras da bancada sem chutes ou fórmulas empíricas estáticas.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87"/>
      </w:tblGrid>
      <w:tr>
        <w:trPr>
          <w:cantSplit/>
        </w:trP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FD8DC"/>
              <w:left w:val="single" w:sz="36" w:space="0" w:color="0D47A1"/>
              <w:bottom w:val="single" w:sz="6" w:space="0" w:color="CFD8DC"/>
              <w:right w:val="single" w:sz="6" w:space="0" w:color="CFD8DC"/>
            </w:tcBorders>
          </w:tcPr>
          <w:p>
            <w:pPr>
              <w:spacing w:before="40" w:after="120"/>
            </w:pPr>
            <w:r>
              <w:rPr>
                <w:rFonts w:ascii="Calibri" w:hAnsi="Calibri"/>
                <w:b/>
                <w:color w:val="0D47A1"/>
                <w:sz w:val="23"/>
              </w:rPr>
              <w:t>PILAR D: ARQUITETURA HÍBRIDA SERIAL (DDM ⟶ FPM COM RANDOM FOREST CAMPEÃO)</w:t>
            </w:r>
          </w:p>
          <w:p>
            <w:pPr>
              <w:spacing w:before="40" w:after="60" w:line="276" w:lineRule="auto"/>
            </w:pPr>
            <w:r>
              <w:rPr>
                <w:rFonts w:ascii="Calibri" w:hAnsi="Calibri"/>
                <w:color w:val="263238"/>
                <w:sz w:val="19"/>
              </w:rPr>
              <w:t>• Evolução da proposta da pág. 30 do Relatório: em vez de prever um escalar estático α, o Machine Learning prevê a taxa contínua instantânea |v(t)|.</w:t>
            </w:r>
          </w:p>
          <w:p>
            <w:pPr>
              <w:spacing w:before="40" w:after="60" w:line="276" w:lineRule="auto"/>
            </w:pPr>
            <w:r>
              <w:rPr>
                <w:rFonts w:ascii="Calibri" w:hAnsi="Calibri"/>
                <w:color w:val="263238"/>
                <w:sz w:val="19"/>
              </w:rPr>
              <w:t>• O Random Forest campeão estima |v(t)| frente às condições operacionais (temperatura T, acidez C_A0, razão molar η e tempo t).</w:t>
            </w:r>
          </w:p>
          <w:p>
            <w:pPr>
              <w:spacing w:before="40" w:after="60" w:line="276" w:lineRule="auto"/>
            </w:pPr>
            <w:r>
              <w:rPr>
                <w:rFonts w:ascii="Calibri" w:hAnsi="Calibri"/>
                <w:color w:val="263238"/>
                <w:sz w:val="19"/>
              </w:rPr>
              <w:t>• O solver mecanicista PBM recebe essa taxa e integra a conversão X_Zn e o consumo de ácido C_Af, preservando 100% das leis físicas inegociáveis.</w:t>
            </w:r>
          </w:p>
          <w:p>
            <w:pPr>
              <w:spacing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212080" cy="60992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12_acoplamento_rf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80" cy="6099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2E7D32"/>
                <w:sz w:val="19"/>
              </w:rPr>
              <w:t xml:space="preserve">Resultado Prático: </w:t>
            </w:r>
            <w:r>
              <w:rPr>
                <w:rFonts w:ascii="Calibri" w:hAnsi="Calibri"/>
                <w:color w:val="263238"/>
                <w:sz w:val="19"/>
              </w:rPr>
              <w:t>Elevação do R² global para 0,9990 e redução de 10 vezes no erro médio (RMSE = 1,05%), sem nenhuma violação de conservação de massa.</w:t>
            </w:r>
          </w:p>
        </w:tc>
      </w:tr>
    </w:tbl>
    <w:p>
      <w:pPr>
        <w:spacing w:after="120"/>
      </w:pP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218818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urva_precomputada_e_inversao_pb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88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Calibri" w:hAnsi="Calibri"/>
          <w:b/>
          <w:color w:val="1565C0"/>
          <w:sz w:val="19"/>
        </w:rPr>
        <w:t xml:space="preserve">Figura 2: A dualidade do novo PBM: curva monótona pré-computada X_Zn(δ) e extração de alvos reais no Modo Inverso. </w:t>
      </w:r>
      <w:r>
        <w:rPr>
          <w:rFonts w:ascii="Calibri" w:hAnsi="Calibri"/>
          <w:i/>
          <w:color w:val="546E7A"/>
          <w:sz w:val="18"/>
        </w:rPr>
        <w:t>(a) Mapeamento unívoco e estritamente monótono entre o encolhimento acumulado δ e a conversão X_Zn calculado uma única vez em 2 ms; (b) Modo Inverso do PBM: inversão analítica dos dados reais de bancada para obtenção da taxa de retração interfacial |v(t)| = dδ/dt.</w:t>
      </w:r>
    </w:p>
    <w:p>
      <w:r>
        <w:br w:type="page"/>
      </w:r>
    </w:p>
    <w:p>
      <w:pPr>
        <w:spacing w:before="280" w:after="100"/>
      </w:pPr>
      <w:r>
        <w:rPr>
          <w:rFonts w:ascii="Calibri" w:hAnsi="Calibri"/>
          <w:b/>
          <w:color w:val="1565C0"/>
          <w:sz w:val="27"/>
        </w:rPr>
        <w:t>5. Diagrama Arquitetural: Comparação Passo a Passo dos Dois Modelos</w:t>
      </w:r>
    </w:p>
    <w:p>
      <w:r>
        <w:t>A Figura 3 sintetiza a evolução metodológica e de software alcançada no projeto, contrastando a modelagem mecanicista clássica com a nova arquitetura híbrida serial permanente: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5575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iagrama_conceitual_pbm_fabricio_vs_nov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5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Calibri" w:hAnsi="Calibri"/>
          <w:b/>
          <w:color w:val="1565C0"/>
          <w:sz w:val="19"/>
        </w:rPr>
        <w:t xml:space="preserve">Figura 3: Diagrama de blocos comparativo entre o Modelo Mecanístico de Referência e o Novo PBM Híbrido Serial (LOP). </w:t>
      </w:r>
      <w:r>
        <w:rPr>
          <w:rFonts w:ascii="Calibri" w:hAnsi="Calibri"/>
          <w:i/>
          <w:color w:val="546E7A"/>
          <w:sz w:val="18"/>
        </w:rPr>
        <w:t>Contraste detalhado das 4 etapas de modelagem: formulação da EDP vs. EDO ordinária; parametrização estática com α vs. Random Forest dinâmico; cálculo de momentos no Mathematica vs. pré-computação PCHIP em Python; e resolução dos impasses estequiométricos de patamar.</w:t>
      </w:r>
    </w:p>
    <w:p>
      <w:r>
        <w:br w:type="page"/>
      </w:r>
    </w:p>
    <w:p>
      <w:pPr>
        <w:spacing w:before="280" w:after="100"/>
      </w:pPr>
      <w:r>
        <w:rPr>
          <w:rFonts w:ascii="Calibri" w:hAnsi="Calibri"/>
          <w:b/>
          <w:color w:val="1565C0"/>
          <w:sz w:val="27"/>
        </w:rPr>
        <w:t>6. Evidências Experimentais e Galeria Comparativa (300 DPI)</w:t>
      </w:r>
    </w:p>
    <w:p>
      <w:r>
        <w:t>A avaliação quantitativa consolidada sobre os 16 ensaios de bancada de Bortot Coelho (2017) (128 pontos experimentais em triplicata analítica) comprova a superioridade estatística da nova formulação (Tabela 1):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2"/>
        <w:gridCol w:w="2272"/>
        <w:gridCol w:w="2272"/>
        <w:gridCol w:w="2272"/>
      </w:tblGrid>
      <w:tr>
        <w:trPr>
          <w:cantSplit/>
          <w:tblHeader/>
        </w:trPr>
        <w:tc>
          <w:tcPr>
            <w:tcW w:type="dxa" w:w="3600"/>
            <w:shd w:fill="1565C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Métrica Estatística Global (128 pontos amostrais)</w:t>
            </w:r>
          </w:p>
        </w:tc>
        <w:tc>
          <w:tcPr>
            <w:tcW w:type="dxa" w:w="2160"/>
            <w:shd w:fill="1565C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Modelo Nominal de Referência (Bortot Coelho, 2017; α = 5500)</w:t>
            </w:r>
          </w:p>
        </w:tc>
        <w:tc>
          <w:tcPr>
            <w:tcW w:type="dxa" w:w="2160"/>
            <w:shd w:fill="1565C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Nova Abordagem Híbrida LOP (PBM Adaptativo / RF)</w:t>
            </w:r>
          </w:p>
        </w:tc>
        <w:tc>
          <w:tcPr>
            <w:tcW w:type="dxa" w:w="1872"/>
            <w:shd w:fill="1565C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Ganho Quantitativo Obtido</w:t>
            </w:r>
          </w:p>
        </w:tc>
      </w:tr>
      <w:tr>
        <w:trPr>
          <w:cantSplit/>
        </w:trPr>
        <w:tc>
          <w:tcPr>
            <w:tcW w:type="dxa" w:w="36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121"/>
                <w:sz w:val="18"/>
              </w:rPr>
              <w:t>Coeficiente de Determinação Global (R²)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B71C1C"/>
                <w:sz w:val="18"/>
              </w:rPr>
              <w:t>0,9030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0,9990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12121"/>
                <w:sz w:val="18"/>
              </w:rPr>
              <w:t>+0,0960 no R² global</w:t>
            </w:r>
          </w:p>
        </w:tc>
      </w:tr>
      <w:tr>
        <w:trPr>
          <w:cantSplit/>
        </w:trPr>
        <w:tc>
          <w:tcPr>
            <w:tcW w:type="dxa" w:w="3600"/>
            <w:shd w:fill="F5F7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121"/>
                <w:sz w:val="18"/>
              </w:rPr>
              <w:t>Raiz do Erro Quadrático Médio (RMSE)</w:t>
            </w:r>
          </w:p>
        </w:tc>
        <w:tc>
          <w:tcPr>
            <w:tcW w:type="dxa" w:w="2160"/>
            <w:shd w:fill="F5F7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B71C1C"/>
                <w:sz w:val="18"/>
              </w:rPr>
              <w:t>10,10% (0,1010)</w:t>
            </w:r>
          </w:p>
        </w:tc>
        <w:tc>
          <w:tcPr>
            <w:tcW w:type="dxa" w:w="2160"/>
            <w:shd w:fill="F5F7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1,05% (0,0105)</w:t>
            </w:r>
          </w:p>
        </w:tc>
        <w:tc>
          <w:tcPr>
            <w:tcW w:type="dxa" w:w="1872"/>
            <w:shd w:fill="F5F7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12121"/>
                <w:sz w:val="18"/>
              </w:rPr>
              <w:t>Redução de ~10 vezes no erro médio</w:t>
            </w:r>
          </w:p>
        </w:tc>
      </w:tr>
      <w:tr>
        <w:trPr>
          <w:cantSplit/>
        </w:trPr>
        <w:tc>
          <w:tcPr>
            <w:tcW w:type="dxa" w:w="36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121"/>
                <w:sz w:val="18"/>
              </w:rPr>
              <w:t>Erro Médio Absoluto (MAE)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B71C1C"/>
                <w:sz w:val="18"/>
              </w:rPr>
              <w:t>7,60% (0,0760)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0,71% (0,0071)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12121"/>
                <w:sz w:val="18"/>
              </w:rPr>
              <w:t>Aumento de 10x na precisão</w:t>
            </w:r>
          </w:p>
        </w:tc>
      </w:tr>
      <w:tr>
        <w:trPr>
          <w:cantSplit/>
        </w:trPr>
        <w:tc>
          <w:tcPr>
            <w:tcW w:type="dxa" w:w="3600"/>
            <w:shd w:fill="F5F7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121"/>
                <w:sz w:val="18"/>
              </w:rPr>
              <w:t>Desvio no Patamar Assintótico (t = 15 min)</w:t>
            </w:r>
          </w:p>
        </w:tc>
        <w:tc>
          <w:tcPr>
            <w:tcW w:type="dxa" w:w="2160"/>
            <w:shd w:fill="F5F7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B71C1C"/>
                <w:sz w:val="18"/>
              </w:rPr>
              <w:t>5,90% de conversão</w:t>
            </w:r>
          </w:p>
        </w:tc>
        <w:tc>
          <w:tcPr>
            <w:tcW w:type="dxa" w:w="2160"/>
            <w:shd w:fill="F5F7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0,61% de conversão</w:t>
            </w:r>
          </w:p>
        </w:tc>
        <w:tc>
          <w:tcPr>
            <w:tcW w:type="dxa" w:w="1872"/>
            <w:shd w:fill="F5F7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12121"/>
                <w:sz w:val="18"/>
              </w:rPr>
              <w:t>Eliminação de erros termodinâmicos</w:t>
            </w:r>
          </w:p>
        </w:tc>
      </w:tr>
      <w:tr>
        <w:trPr>
          <w:cantSplit/>
        </w:trPr>
        <w:tc>
          <w:tcPr>
            <w:tcW w:type="dxa" w:w="36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121"/>
                <w:sz w:val="18"/>
              </w:rPr>
              <w:t>Menor R² Obtido em Ensaio Individual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B71C1C"/>
                <w:sz w:val="18"/>
              </w:rPr>
              <w:t>0,5317 (Ensaio 06)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0,9873 (Ensaio 04)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12121"/>
                <w:sz w:val="18"/>
              </w:rPr>
              <w:t>Consistência universal em todos os regimes</w:t>
            </w:r>
          </w:p>
        </w:tc>
      </w:tr>
    </w:tbl>
    <w:p>
      <w:pPr>
        <w:spacing w:before="80" w:after="200"/>
      </w:pP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460599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mp_01_cinetica_16_ensaio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5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Calibri" w:hAnsi="Calibri"/>
          <w:b/>
          <w:color w:val="1565C0"/>
          <w:sz w:val="19"/>
        </w:rPr>
        <w:t xml:space="preserve">Figura 4: Trajetórias cinéticas completas nos 16 ensaios experimentais agrupados por razão molar η. </w:t>
      </w:r>
      <w:r>
        <w:rPr>
          <w:rFonts w:ascii="Calibri" w:hAnsi="Calibri"/>
          <w:i/>
          <w:color w:val="546E7A"/>
          <w:sz w:val="18"/>
        </w:rPr>
        <w:t>Comparação direta entre os dados de laboratório (marcadores discretos), o modelo mecanicista clássico (linha tracejada vermelha) e o novo PBM adaptativo LOP (linha contínua azul). Nota-se o perfeito colapso nos patamares de 50% (η = 0,5) e 87% (η = 1,0).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265007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mp_03_paridade_e_residuo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0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Calibri" w:hAnsi="Calibri"/>
          <w:b/>
          <w:color w:val="1565C0"/>
          <w:sz w:val="19"/>
        </w:rPr>
        <w:t xml:space="preserve">Figura 5: Diagnóstico estatístico global de paridade e dispersão de resíduos. </w:t>
      </w:r>
      <w:r>
        <w:rPr>
          <w:rFonts w:ascii="Calibri" w:hAnsi="Calibri"/>
          <w:i/>
          <w:color w:val="546E7A"/>
          <w:sz w:val="18"/>
        </w:rPr>
        <w:t>(a) Gráfico de paridade 1:1 para o Modelo Nominal com dispersão acentuada; (b) Gráfico de paridade 1:1 para a Nova Abordagem LOP com colapso na bissetriz ideal; (c) e (d) Resíduos temporais pontuais com limites de tolerância analítica de ±5%.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230428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8h_superficie_resposta_2d_3d_rf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4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Calibri" w:hAnsi="Calibri"/>
          <w:b/>
          <w:color w:val="1565C0"/>
          <w:sz w:val="19"/>
        </w:rPr>
        <w:t xml:space="preserve">Figura 7: Superfície de resposta contínua 2D e 3D da taxa de retração interfacial predita pelo Random Forest campeão. </w:t>
      </w:r>
      <w:r>
        <w:rPr>
          <w:rFonts w:ascii="Calibri" w:hAnsi="Calibri"/>
          <w:i/>
          <w:color w:val="546E7A"/>
          <w:sz w:val="18"/>
        </w:rPr>
        <w:t>(a) Mapa de contorno 2D de |v| em função do tempo t e da concentração de ácido C_A0; (b) Superfície de resposta tridimensional 3D evidenciando estrita monotonicidade física e suavidade sem bolsões espúrios.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432054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8e_malha_fina_interpolação_rf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Calibri" w:hAnsi="Calibri"/>
          <w:b/>
          <w:color w:val="1565C0"/>
          <w:sz w:val="19"/>
        </w:rPr>
        <w:t xml:space="preserve">Figura 8: Diagnóstico de interpolação em malha contínua ultra-fina (500 nós temporais) para o modelo campeão Random Forest. </w:t>
      </w:r>
      <w:r>
        <w:rPr>
          <w:rFonts w:ascii="Calibri" w:hAnsi="Calibri"/>
          <w:i/>
          <w:color w:val="546E7A"/>
          <w:sz w:val="18"/>
        </w:rPr>
        <w:t>Curvas contínuas preditas a cada 1,8 segundos comprovando ausência de oscilações locais, degraus ou dentes de serra, atestando excelente capacidade de regularização ensemble.</w:t>
      </w:r>
    </w:p>
    <w:p>
      <w:r>
        <w:t>A Figura 9 detalha a resolução pontual dos dois maiores desvios da literatura clássica através dos ensaios individuais: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10308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mp_ensaio_01_eta_0_5_ca0_0_10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3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Calibri" w:hAnsi="Calibri"/>
          <w:b/>
          <w:color w:val="1565C0"/>
          <w:sz w:val="19"/>
        </w:rPr>
        <w:t xml:space="preserve">Figura 9A: Ensaio Emblemático 01 (Déficit Estequiométrico: η = 0,5; C_A0 = 0,10 mol/L). </w:t>
      </w:r>
      <w:r>
        <w:rPr>
          <w:rFonts w:ascii="Calibri" w:hAnsi="Calibri"/>
          <w:i/>
          <w:color w:val="546E7A"/>
          <w:sz w:val="18"/>
        </w:rPr>
        <w:t>Demonstração visual da superação da trava artificial clássica de 38,3%, convergindo perfeitamente para o patamar termodinâmico real de 50,1% com R² = 0,9967 e resíduos dentro de ±2%.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09402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mp_ensaio_08_eta_1_0_ca0_0_50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4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Calibri" w:hAnsi="Calibri"/>
          <w:b/>
          <w:color w:val="1565C0"/>
          <w:sz w:val="19"/>
        </w:rPr>
        <w:t xml:space="preserve">Figura 9B: Ensaio Emblemático 08 (Estequiometria Nominal: η = 1,0; C_A0 = 0,50 mol/L). </w:t>
      </w:r>
      <w:r>
        <w:rPr>
          <w:rFonts w:ascii="Calibri" w:hAnsi="Calibri"/>
          <w:i/>
          <w:color w:val="546E7A"/>
          <w:sz w:val="18"/>
        </w:rPr>
        <w:t>Superação do congelamento clássico em 76,6%, acompanhando a curvatura real de laboratório até o patamar de 87,3% com R² = 0,9986 e erro assintótico de apenas 0,31%.</w:t>
      </w:r>
    </w:p>
    <w:p>
      <w:r>
        <w:br w:type="page"/>
      </w:r>
    </w:p>
    <w:p>
      <w:pPr>
        <w:spacing w:before="280" w:after="100"/>
      </w:pPr>
      <w:r>
        <w:rPr>
          <w:rFonts w:ascii="Calibri" w:hAnsi="Calibri"/>
          <w:b/>
          <w:color w:val="1565C0"/>
          <w:sz w:val="27"/>
        </w:rPr>
        <w:t>7. Quadro Sinótico de Atribuição: Literatura Clássica vs. Proposta do Relatório vs. Inovações Inéditas LOP</w:t>
      </w:r>
    </w:p>
    <w:p>
      <w:r>
        <w:t>A Tabela 2 sintetiza de maneira inequívoca a atribuição de cada conceito, equação e metodologia, oferecendo clareza para a escrita da dissertação e para a defesa perante a banca examinadora: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9"/>
        <w:gridCol w:w="3029"/>
        <w:gridCol w:w="3029"/>
      </w:tblGrid>
      <w:tr>
        <w:trPr>
          <w:cantSplit/>
          <w:tblHeader/>
        </w:trPr>
        <w:tc>
          <w:tcPr>
            <w:tcW w:type="dxa" w:w="2880"/>
            <w:shd w:fill="0D47A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Dimensão Conceitual / Equacionamento</w:t>
            </w:r>
          </w:p>
        </w:tc>
        <w:tc>
          <w:tcPr>
            <w:tcW w:type="dxa" w:w="3312"/>
            <w:shd w:fill="0D47A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Origem na Literatura / Relatório Parcial LOP</w:t>
            </w:r>
          </w:p>
        </w:tc>
        <w:tc>
          <w:tcPr>
            <w:tcW w:type="dxa" w:w="3600"/>
            <w:shd w:fill="0D47A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Desenvolvimento Original e Inédito do Projeto LOP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12121"/>
                <w:sz w:val="17"/>
              </w:rPr>
              <w:t>Independência de D na taxa linear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121"/>
                <w:sz w:val="17"/>
              </w:rPr>
              <w:t>Dedução clássica em Bortot Coelho (2017) e Balarini (2009); cancelamento de área no Relatório (pág. 26-27).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D47A1"/>
                <w:sz w:val="17"/>
              </w:rPr>
              <w:t>Mantida integralmente como premissa física fundamental inviolável.</w:t>
            </w:r>
          </w:p>
        </w:tc>
      </w:tr>
      <w:tr>
        <w:trPr>
          <w:cantSplit/>
        </w:trPr>
        <w:tc>
          <w:tcPr>
            <w:tcW w:type="dxa" w:w="2880"/>
            <w:shd w:fill="F5F7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12121"/>
                <w:sz w:val="17"/>
              </w:rPr>
              <w:t>Balanço Populacional e Consumo de Ácido</w:t>
            </w:r>
          </w:p>
        </w:tc>
        <w:tc>
          <w:tcPr>
            <w:tcW w:type="dxa" w:w="3312"/>
            <w:shd w:fill="F5F7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121"/>
                <w:sz w:val="17"/>
              </w:rPr>
              <w:t>Equações clássicas do PBM e balanço de Herbst (1979); citadas no Relatório (pág. 27-28).</w:t>
            </w:r>
          </w:p>
        </w:tc>
        <w:tc>
          <w:tcPr>
            <w:tcW w:type="dxa" w:w="3600"/>
            <w:shd w:fill="F5F7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D47A1"/>
                <w:sz w:val="17"/>
              </w:rPr>
              <w:t>Preservadas como componente mecanicista determinístico ('White-Box').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12121"/>
                <w:sz w:val="17"/>
              </w:rPr>
              <w:t>Resolução Matemática do PBM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121"/>
                <w:sz w:val="17"/>
              </w:rPr>
              <w:t>Resolução via EDP por NDSolve no software Wolfram Mathematica®.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D47A1"/>
                <w:sz w:val="17"/>
              </w:rPr>
              <w:t>INÉDITO: Redução analítica exata a 1 EDO ordinária (MOC) e pré-computação monótona O(1) em Python aberto.</w:t>
            </w:r>
          </w:p>
        </w:tc>
      </w:tr>
      <w:tr>
        <w:trPr>
          <w:cantSplit/>
        </w:trPr>
        <w:tc>
          <w:tcPr>
            <w:tcW w:type="dxa" w:w="2880"/>
            <w:shd w:fill="F5F7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12121"/>
                <w:sz w:val="17"/>
              </w:rPr>
              <w:t>Diagnóstico das Limitações de α</w:t>
            </w:r>
          </w:p>
        </w:tc>
        <w:tc>
          <w:tcPr>
            <w:tcW w:type="dxa" w:w="3312"/>
            <w:shd w:fill="F5F7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121"/>
                <w:sz w:val="17"/>
              </w:rPr>
              <w:t>Formulado pelo aluno no Relatório Parcial (pág. 29-30, Seção 3.1.4.1).</w:t>
            </w:r>
          </w:p>
        </w:tc>
        <w:tc>
          <w:tcPr>
            <w:tcW w:type="dxa" w:w="3600"/>
            <w:shd w:fill="F5F7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D47A1"/>
                <w:sz w:val="17"/>
              </w:rPr>
              <w:t>Comprovado matematicamente com mapeamento dos desvios termodinâmicos em η = 0,5 e 1,0.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12121"/>
                <w:sz w:val="17"/>
              </w:rPr>
              <w:t>Hipótese Preliminar de IA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121"/>
                <w:sz w:val="17"/>
              </w:rPr>
              <w:t>Proposta preliminar no Relatório (pág. 30): estimar α = f(T, Ca0, η).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D47A1"/>
                <w:sz w:val="17"/>
              </w:rPr>
              <w:t>SUPERADA: Demonstrou-se que α estático ainda falha; evoluiu-se para prever a taxa dinâmica contínua |v(t)|.</w:t>
            </w:r>
          </w:p>
        </w:tc>
      </w:tr>
      <w:tr>
        <w:trPr>
          <w:cantSplit/>
        </w:trPr>
        <w:tc>
          <w:tcPr>
            <w:tcW w:type="dxa" w:w="2880"/>
            <w:shd w:fill="F5F7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12121"/>
                <w:sz w:val="17"/>
              </w:rPr>
              <w:t>Inversão do Balanço Populacional</w:t>
            </w:r>
          </w:p>
        </w:tc>
        <w:tc>
          <w:tcPr>
            <w:tcW w:type="dxa" w:w="3312"/>
            <w:shd w:fill="F5F7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121"/>
                <w:sz w:val="17"/>
              </w:rPr>
              <w:t>Ausente na literatura clássica e no relatório inicial.</w:t>
            </w:r>
          </w:p>
        </w:tc>
        <w:tc>
          <w:tcPr>
            <w:tcW w:type="dxa" w:w="3600"/>
            <w:shd w:fill="F5F7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D47A1"/>
                <w:sz w:val="17"/>
              </w:rPr>
              <w:t>INÉDITO: Inversão analítica δ_real = PBM⁻¹(XZn) extraindo alvos reais de v(t) diretamente da bancada.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12121"/>
                <w:sz w:val="17"/>
              </w:rPr>
              <w:t>Arquitetura Híbrida Serial (DDM ⟶ FPM)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121"/>
                <w:sz w:val="17"/>
              </w:rPr>
              <w:t>Conceito geral caixa-cinza mencionado no Relatório.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D47A1"/>
                <w:sz w:val="17"/>
              </w:rPr>
              <w:t>INÉDITO: Random Forest campeão prevendo |v(t)| acoplado ao solver PBM em batelada e cascata, com R² = 0,9990.</w:t>
            </w:r>
          </w:p>
        </w:tc>
      </w:tr>
    </w:tbl>
    <w:p>
      <w:pPr>
        <w:spacing w:before="120" w:after="200"/>
      </w:pPr>
    </w:p>
    <w:p>
      <w:r>
        <w:br w:type="page"/>
      </w:r>
    </w:p>
    <w:p>
      <w:pPr>
        <w:spacing w:before="280" w:after="100"/>
      </w:pPr>
      <w:r>
        <w:rPr>
          <w:rFonts w:ascii="Calibri" w:hAnsi="Calibri"/>
          <w:b/>
          <w:color w:val="1565C0"/>
          <w:sz w:val="27"/>
        </w:rPr>
        <w:t>8. Conclusões e Recomendações para a Redação da Dissertação / TCC</w:t>
      </w:r>
    </w:p>
    <w:p>
      <w:r>
        <w:t>Para a apresentação do trabalho perante o orientador e a banca de examinadores da UFMG, recomendam-se as seguintes diretrizes narrativas:</w:t>
        <w:br/>
        <w:br/>
        <w:t>1. Valorização da Base da Escola de Engenharia da UFMG:</w:t>
        <w:br/>
        <w:t xml:space="preserve">   Destaque que o seu trabalho apoia-se sobre os alicerces sólidos construídos por Bortot Coelho (2017) e Balarini (2009, 2025). A comprovação experimental de controle por reação química superficial heterogênea e a caracterização granulométrica são contribuições pioneiras que você manteve com absoluto rigor físico.</w:t>
        <w:br/>
        <w:br/>
        <w:t>2. Posicionamento da Fragilidade como Oportunidade Científica:</w:t>
        <w:br/>
        <w:t xml:space="preserve">   Aponte que as limitações do modelo puramente mecanicista com α constante não foram 'inventadas', mas sim observadas e documentadas pelo próprio Fabrício (na Seção 5.2.6 e Tabela 5.10 de sua dissertação). O seu projeto cumpre o papel de dar continuidade ao conhecimento científico, resolvendo essas lacunas.</w:t>
        <w:br/>
        <w:br/>
        <w:t>3. Clareza sobre a Contribuição Inédita do seu Projeto:</w:t>
        <w:br/>
        <w:t xml:space="preserve">   A sua contribuição original reside na reformulação matemática do PBM (eliminando o Mathematica por uma solução analítica em Python com pré-computação monótona), na inversão inédita do PBM para obtenção das trajetórias reais de retração interfacial e na modelagem híbrida serial DDM ⟶ FPM com Random Forest, que elevou o poder preditivo para níveis de excelência industrial (R² = 0,9990 e erro médio de 1,05%).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87"/>
      </w:tblGrid>
      <w:tr>
        <w:trPr>
          <w:cantSplit/>
        </w:trP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1565C0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1565C0"/>
                <w:sz w:val="22"/>
              </w:rPr>
              <w:t>📌 SÍNTESE EPISTEMOLÓGICA FINAL</w:t>
              <w:br/>
            </w:r>
          </w:p>
          <w:p>
            <w:pPr>
              <w:spacing w:before="40" w:after="60" w:line="276" w:lineRule="auto"/>
            </w:pPr>
            <w:r>
              <w:rPr>
                <w:rFonts w:ascii="Calibri" w:hAnsi="Calibri"/>
                <w:color w:val="263238"/>
                <w:sz w:val="20"/>
              </w:rPr>
              <w:t>O novo PBM não é um substituto da física tradicional, mas sim a sua expressão computacional mais elegante e avançada.</w:t>
            </w:r>
          </w:p>
          <w:p>
            <w:pPr>
              <w:spacing w:before="40" w:after="60" w:line="276" w:lineRule="auto"/>
            </w:pPr>
            <w:r>
              <w:rPr>
                <w:rFonts w:ascii="Calibri" w:hAnsi="Calibri"/>
                <w:color w:val="263238"/>
                <w:sz w:val="20"/>
              </w:rPr>
              <w:t>Ele une a segurança inviolável da conservação de massa e estequiometria (White-Box) à flexibilidade adaptativa da Inteligência Artificial (Black-Box),</w:t>
            </w:r>
          </w:p>
          <w:p>
            <w:pPr>
              <w:spacing w:before="40" w:after="60" w:line="276" w:lineRule="auto"/>
            </w:pPr>
            <w:r>
              <w:rPr>
                <w:rFonts w:ascii="Calibri" w:hAnsi="Calibri"/>
                <w:color w:val="263238"/>
                <w:sz w:val="20"/>
              </w:rPr>
              <w:t>estabelecendo um marco de inovação para a modelagem de reatores hidrometalúrgicos na UFMG.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1411" w:right="1411" w:bottom="1411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78909C"/>
        <w:sz w:val="17"/>
      </w:rPr>
      <w:t>Documento Técnico de Referência Científica — Modelagem Híbrida Serial |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8909C"/>
        <w:sz w:val="17"/>
      </w:rPr>
      <w:t>Projeto LOP (DEQ/UFMG) — Fundamentação Teórico-Computacional do Novo PBM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