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Key Recommendations to improve FAIR Principles adaptation (References listed provide specific details and more extensive discussion on these topics)</w:t>
      </w:r>
    </w:p>
    <w:p w:rsidR="00000000" w:rsidDel="00000000" w:rsidP="00000000" w:rsidRDefault="00000000" w:rsidRPr="00000000" w14:paraId="00000002">
      <w:pPr>
        <w:pStyle w:val="Heading2"/>
        <w:rPr/>
      </w:pPr>
      <w:bookmarkStart w:colFirst="0" w:colLast="0" w:name="_1tdzjz60iswn" w:id="0"/>
      <w:bookmarkEnd w:id="0"/>
      <w:r w:rsidDel="00000000" w:rsidR="00000000" w:rsidRPr="00000000">
        <w:rPr>
          <w:rtl w:val="0"/>
        </w:rPr>
        <w:t xml:space="preserve">Findable</w:t>
      </w:r>
    </w:p>
    <w:p w:rsidR="00000000" w:rsidDel="00000000" w:rsidP="00000000" w:rsidRDefault="00000000" w:rsidRPr="00000000" w14:paraId="00000003">
      <w:pPr>
        <w:pStyle w:val="Heading4"/>
        <w:rPr/>
      </w:pPr>
      <w:bookmarkStart w:colFirst="0" w:colLast="0" w:name="_ezwzqv780x29" w:id="1"/>
      <w:bookmarkEnd w:id="1"/>
      <w:r w:rsidDel="00000000" w:rsidR="00000000" w:rsidRPr="00000000">
        <w:rPr>
          <w:rtl w:val="0"/>
        </w:rPr>
        <w:t xml:space="preserve">F1</w:t>
      </w:r>
    </w:p>
    <w:tbl>
      <w:tblPr>
        <w:tblStyle w:val="Table1"/>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305"/>
        <w:gridCol w:w="3150"/>
        <w:tblGridChange w:id="0">
          <w:tblGrid>
            <w:gridCol w:w="1455"/>
            <w:gridCol w:w="4305"/>
            <w:gridCol w:w="31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05">
            <w:pPr>
              <w:widowControl w:val="0"/>
              <w:spacing w:after="0" w:line="240" w:lineRule="auto"/>
              <w:jc w:val="center"/>
              <w:rPr>
                <w:b w:val="1"/>
              </w:rPr>
            </w:pPr>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before="0" w:line="240" w:lineRule="auto"/>
              <w:ind w:left="0" w:firstLine="0"/>
              <w:jc w:val="center"/>
              <w:rPr>
                <w:b w:val="1"/>
              </w:rPr>
            </w:pPr>
            <w:r w:rsidDel="00000000" w:rsidR="00000000" w:rsidRPr="00000000">
              <w:rPr>
                <w:b w:val="1"/>
                <w:rtl w:val="0"/>
              </w:rPr>
              <w:t xml:space="preserve">References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b w:val="1"/>
                <w:sz w:val="22"/>
                <w:szCs w:val="22"/>
              </w:rPr>
            </w:pPr>
            <w:r w:rsidDel="00000000" w:rsidR="00000000" w:rsidRPr="00000000">
              <w:rPr>
                <w:b w:val="1"/>
                <w:sz w:val="22"/>
                <w:szCs w:val="22"/>
                <w:rtl w:val="0"/>
              </w:rPr>
              <w:t xml:space="preserve">FAIR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sz w:val="22"/>
                <w:szCs w:val="22"/>
              </w:rPr>
            </w:pPr>
            <w:r w:rsidDel="00000000" w:rsidR="00000000" w:rsidRPr="00000000">
              <w:rPr>
                <w:rtl w:val="0"/>
              </w:rPr>
              <w:t xml:space="preserve">A utilização de identificadores globalmente únicos e persistentes pode ser feita por meio da criação de modelos próprios ou pela utilização de modelos e serviços altamente consolidados.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before="0" w:line="240" w:lineRule="auto"/>
              <w:ind w:left="0" w:firstLine="0"/>
              <w:rPr>
                <w:sz w:val="22"/>
                <w:szCs w:val="22"/>
              </w:rPr>
            </w:pPr>
            <w:hyperlink r:id="rId7">
              <w:r w:rsidDel="00000000" w:rsidR="00000000" w:rsidRPr="00000000">
                <w:rPr>
                  <w:color w:val="1155cc"/>
                  <w:sz w:val="22"/>
                  <w:szCs w:val="22"/>
                  <w:u w:val="single"/>
                  <w:rtl w:val="0"/>
                </w:rPr>
                <w:t xml:space="preserve">https://www.go-fair.org/fair-principles/f1-meta-data-assigned-globally-unique-persistent-identifiers/</w:t>
              </w:r>
            </w:hyperlink>
            <w:r w:rsidDel="00000000" w:rsidR="00000000" w:rsidRPr="00000000">
              <w:rPr>
                <w:rtl w:val="0"/>
              </w:rPr>
            </w:r>
          </w:p>
          <w:p w:rsidR="00000000" w:rsidDel="00000000" w:rsidP="00000000" w:rsidRDefault="00000000" w:rsidRPr="00000000" w14:paraId="0000000A">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0B">
            <w:pPr>
              <w:spacing w:after="0" w:before="0" w:line="240" w:lineRule="auto"/>
              <w:ind w:left="0" w:firstLine="0"/>
              <w:rPr>
                <w:sz w:val="22"/>
                <w:szCs w:val="22"/>
              </w:rPr>
            </w:pPr>
            <w:hyperlink r:id="rId8">
              <w:r w:rsidDel="00000000" w:rsidR="00000000" w:rsidRPr="00000000">
                <w:rPr>
                  <w:color w:val="1155cc"/>
                  <w:sz w:val="22"/>
                  <w:szCs w:val="22"/>
                  <w:u w:val="single"/>
                  <w:rtl w:val="0"/>
                </w:rPr>
                <w:t xml:space="preserve">https://journals.plos.org/plosbiology/article?id=10.1371/journal.pbio.2001414</w:t>
              </w:r>
            </w:hyperlink>
            <w:r w:rsidDel="00000000" w:rsidR="00000000" w:rsidRPr="00000000">
              <w:rPr>
                <w:rtl w:val="0"/>
              </w:rPr>
            </w:r>
          </w:p>
          <w:p w:rsidR="00000000" w:rsidDel="00000000" w:rsidP="00000000" w:rsidRDefault="00000000" w:rsidRPr="00000000" w14:paraId="0000000C">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0D">
            <w:pPr>
              <w:spacing w:after="0" w:before="0" w:line="240" w:lineRule="auto"/>
              <w:ind w:left="0" w:firstLine="0"/>
              <w:rPr>
                <w:sz w:val="22"/>
                <w:szCs w:val="22"/>
              </w:rPr>
            </w:pPr>
            <w:hyperlink r:id="rId9">
              <w:r w:rsidDel="00000000" w:rsidR="00000000" w:rsidRPr="00000000">
                <w:rPr>
                  <w:color w:val="1155cc"/>
                  <w:sz w:val="22"/>
                  <w:szCs w:val="22"/>
                  <w:u w:val="single"/>
                  <w:rtl w:val="0"/>
                </w:rPr>
                <w:t xml:space="preserve">https://www.sciencedirect.com/science/article/pii/S2666389920300040</w:t>
              </w:r>
            </w:hyperlink>
            <w:r w:rsidDel="00000000" w:rsidR="00000000" w:rsidRPr="00000000">
              <w:rPr>
                <w:rtl w:val="0"/>
              </w:rPr>
            </w:r>
          </w:p>
          <w:p w:rsidR="00000000" w:rsidDel="00000000" w:rsidP="00000000" w:rsidRDefault="00000000" w:rsidRPr="00000000" w14:paraId="0000000E">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0F">
            <w:pPr>
              <w:spacing w:after="0" w:before="0" w:line="240" w:lineRule="auto"/>
              <w:ind w:left="0" w:firstLine="0"/>
              <w:rPr>
                <w:sz w:val="22"/>
                <w:szCs w:val="22"/>
              </w:rPr>
            </w:pPr>
            <w:hyperlink r:id="rId10">
              <w:r w:rsidDel="00000000" w:rsidR="00000000" w:rsidRPr="00000000">
                <w:rPr>
                  <w:color w:val="1155cc"/>
                  <w:sz w:val="22"/>
                  <w:szCs w:val="22"/>
                  <w:u w:val="single"/>
                  <w:rtl w:val="0"/>
                </w:rPr>
                <w:t xml:space="preserve">https://www.sciencedirect.com/science/article/pii/S1567422311000251</w:t>
              </w:r>
            </w:hyperlink>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b w:val="1"/>
                <w:sz w:val="22"/>
                <w:szCs w:val="22"/>
              </w:rPr>
            </w:pPr>
            <w:r w:rsidDel="00000000" w:rsidR="00000000" w:rsidRPr="00000000">
              <w:rPr>
                <w:b w:val="1"/>
                <w:sz w:val="22"/>
                <w:szCs w:val="22"/>
                <w:rtl w:val="0"/>
              </w:rPr>
              <w:t xml:space="preserve">FMGEN2 - Unique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ind w:left="0" w:firstLine="0"/>
              <w:rPr>
                <w:sz w:val="22"/>
                <w:szCs w:val="22"/>
              </w:rPr>
            </w:pPr>
            <w:r w:rsidDel="00000000" w:rsidR="00000000" w:rsidRPr="00000000">
              <w:rPr>
                <w:sz w:val="22"/>
                <w:szCs w:val="22"/>
                <w:rtl w:val="0"/>
              </w:rPr>
              <w:t xml:space="preserve">Utilização de formatos de identificadores no estilo URI (compactado ou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ind w:left="0" w:firstLine="0"/>
              <w:rPr>
                <w:sz w:val="22"/>
                <w:szCs w:val="22"/>
              </w:rPr>
            </w:pPr>
            <w:hyperlink r:id="rId11">
              <w:r w:rsidDel="00000000" w:rsidR="00000000" w:rsidRPr="00000000">
                <w:rPr>
                  <w:color w:val="1155cc"/>
                  <w:sz w:val="22"/>
                  <w:szCs w:val="22"/>
                  <w:u w:val="single"/>
                  <w:rtl w:val="0"/>
                </w:rPr>
                <w:t xml:space="preserve">https://www.w3.org/Addressing/URL/uri-spec.html</w:t>
              </w:r>
            </w:hyperlink>
            <w:r w:rsidDel="00000000" w:rsidR="00000000" w:rsidRPr="00000000">
              <w:rPr>
                <w:rtl w:val="0"/>
              </w:rPr>
            </w:r>
          </w:p>
          <w:p w:rsidR="00000000" w:rsidDel="00000000" w:rsidP="00000000" w:rsidRDefault="00000000" w:rsidRPr="00000000" w14:paraId="00000013">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14">
            <w:pPr>
              <w:spacing w:after="0" w:before="0" w:line="240" w:lineRule="auto"/>
              <w:ind w:left="0" w:firstLine="0"/>
              <w:rPr>
                <w:sz w:val="22"/>
                <w:szCs w:val="22"/>
              </w:rPr>
            </w:pPr>
            <w:hyperlink r:id="rId12">
              <w:r w:rsidDel="00000000" w:rsidR="00000000" w:rsidRPr="00000000">
                <w:rPr>
                  <w:color w:val="1155cc"/>
                  <w:sz w:val="22"/>
                  <w:szCs w:val="22"/>
                  <w:u w:val="single"/>
                  <w:rtl w:val="0"/>
                </w:rPr>
                <w:t xml:space="preserve">https://www.ietf.org/rfc/rfc3986.txt</w:t>
              </w:r>
            </w:hyperlink>
            <w:r w:rsidDel="00000000" w:rsidR="00000000" w:rsidRPr="00000000">
              <w:rPr>
                <w:rtl w:val="0"/>
              </w:rPr>
            </w:r>
          </w:p>
          <w:p w:rsidR="00000000" w:rsidDel="00000000" w:rsidP="00000000" w:rsidRDefault="00000000" w:rsidRPr="00000000" w14:paraId="00000015">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16">
            <w:pPr>
              <w:spacing w:after="0" w:before="0" w:line="240" w:lineRule="auto"/>
              <w:ind w:left="0" w:firstLine="0"/>
              <w:rPr>
                <w:sz w:val="22"/>
                <w:szCs w:val="22"/>
              </w:rPr>
            </w:pPr>
            <w:hyperlink r:id="rId13">
              <w:r w:rsidDel="00000000" w:rsidR="00000000" w:rsidRPr="00000000">
                <w:rPr>
                  <w:color w:val="1155cc"/>
                  <w:sz w:val="22"/>
                  <w:szCs w:val="22"/>
                  <w:u w:val="single"/>
                  <w:rtl w:val="0"/>
                </w:rPr>
                <w:t xml:space="preserve">https://whatis.techtarget.com/definition/URI-Uniform-Resource-Identifier</w:t>
              </w:r>
            </w:hyperlink>
            <w:r w:rsidDel="00000000" w:rsidR="00000000" w:rsidRPr="00000000">
              <w:rPr>
                <w:rtl w:val="0"/>
              </w:rPr>
            </w:r>
          </w:p>
          <w:p w:rsidR="00000000" w:rsidDel="00000000" w:rsidP="00000000" w:rsidRDefault="00000000" w:rsidRPr="00000000" w14:paraId="00000017">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18">
            <w:pPr>
              <w:spacing w:after="0" w:before="0" w:line="240" w:lineRule="auto"/>
              <w:ind w:left="0" w:firstLine="0"/>
              <w:rPr>
                <w:sz w:val="22"/>
                <w:szCs w:val="22"/>
              </w:rPr>
            </w:pPr>
            <w:hyperlink r:id="rId14">
              <w:r w:rsidDel="00000000" w:rsidR="00000000" w:rsidRPr="00000000">
                <w:rPr>
                  <w:color w:val="1155cc"/>
                  <w:sz w:val="22"/>
                  <w:szCs w:val="22"/>
                  <w:u w:val="single"/>
                  <w:rtl w:val="0"/>
                </w:rPr>
                <w:t xml:space="preserve">https://link.springer.com/referenceworkentry/10.1007%2F978-1-4419-9863-7_1572</w:t>
              </w:r>
            </w:hyperlink>
            <w:r w:rsidDel="00000000" w:rsidR="00000000" w:rsidRPr="00000000">
              <w:rPr>
                <w:rtl w:val="0"/>
              </w:rPr>
            </w:r>
          </w:p>
          <w:p w:rsidR="00000000" w:rsidDel="00000000" w:rsidP="00000000" w:rsidRDefault="00000000" w:rsidRPr="00000000" w14:paraId="00000019">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1A">
            <w:pPr>
              <w:spacing w:after="0" w:before="0" w:line="240" w:lineRule="auto"/>
              <w:ind w:left="0" w:firstLine="0"/>
              <w:rPr>
                <w:sz w:val="22"/>
                <w:szCs w:val="22"/>
              </w:rPr>
            </w:pPr>
            <w:hyperlink r:id="rId15">
              <w:r w:rsidDel="00000000" w:rsidR="00000000" w:rsidRPr="00000000">
                <w:rPr>
                  <w:color w:val="1155cc"/>
                  <w:sz w:val="22"/>
                  <w:szCs w:val="22"/>
                  <w:u w:val="single"/>
                  <w:rtl w:val="0"/>
                </w:rPr>
                <w:t xml:space="preserve">https://www.w3.org/TR/2010/NOTE-curie-20101216/</w:t>
              </w:r>
            </w:hyperlink>
            <w:r w:rsidDel="00000000" w:rsidR="00000000" w:rsidRPr="00000000">
              <w:rPr>
                <w:rtl w:val="0"/>
              </w:rPr>
            </w:r>
          </w:p>
          <w:p w:rsidR="00000000" w:rsidDel="00000000" w:rsidP="00000000" w:rsidRDefault="00000000" w:rsidRPr="00000000" w14:paraId="0000001B">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1C">
            <w:pPr>
              <w:spacing w:after="0" w:before="0" w:line="240" w:lineRule="auto"/>
              <w:ind w:left="0" w:firstLine="0"/>
              <w:rPr>
                <w:sz w:val="22"/>
                <w:szCs w:val="22"/>
              </w:rPr>
            </w:pPr>
            <w:hyperlink r:id="rId16">
              <w:r w:rsidDel="00000000" w:rsidR="00000000" w:rsidRPr="00000000">
                <w:rPr>
                  <w:color w:val="1155cc"/>
                  <w:sz w:val="22"/>
                  <w:szCs w:val="22"/>
                  <w:u w:val="single"/>
                  <w:rtl w:val="0"/>
                </w:rPr>
                <w:t xml:space="preserve">https://www.crossref.org/blog/curies-a-cure-for-uris/</w:t>
              </w:r>
            </w:hyperlink>
            <w:r w:rsidDel="00000000" w:rsidR="00000000" w:rsidRPr="00000000">
              <w:rPr>
                <w:rtl w:val="0"/>
              </w:rPr>
            </w:r>
          </w:p>
          <w:p w:rsidR="00000000" w:rsidDel="00000000" w:rsidP="00000000" w:rsidRDefault="00000000" w:rsidRPr="00000000" w14:paraId="0000001D">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1E">
            <w:pPr>
              <w:spacing w:after="0" w:before="0" w:line="240" w:lineRule="auto"/>
              <w:ind w:left="0" w:firstLine="0"/>
              <w:rPr>
                <w:sz w:val="22"/>
                <w:szCs w:val="22"/>
              </w:rPr>
            </w:pPr>
            <w:hyperlink r:id="rId17">
              <w:r w:rsidDel="00000000" w:rsidR="00000000" w:rsidRPr="00000000">
                <w:rPr>
                  <w:color w:val="1155cc"/>
                  <w:sz w:val="22"/>
                  <w:szCs w:val="22"/>
                  <w:u w:val="single"/>
                  <w:rtl w:val="0"/>
                </w:rPr>
                <w:t xml:space="preserve">https://www.crossref.org/blog/curies-a-cure-for-uris/</w:t>
              </w:r>
            </w:hyperlink>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b w:val="1"/>
                <w:sz w:val="22"/>
                <w:szCs w:val="22"/>
              </w:rPr>
            </w:pPr>
            <w:r w:rsidDel="00000000" w:rsidR="00000000" w:rsidRPr="00000000">
              <w:rPr>
                <w:b w:val="1"/>
                <w:sz w:val="22"/>
                <w:szCs w:val="22"/>
                <w:rtl w:val="0"/>
              </w:rPr>
              <w:t xml:space="preserve">FMGEN2 - Identifier Persistence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pPr>
            <w:r w:rsidDel="00000000" w:rsidR="00000000" w:rsidRPr="00000000">
              <w:rPr>
                <w:rtl w:val="0"/>
              </w:rPr>
              <w:t xml:space="preserve">Foco na adoção de identificadores persistentes para os metadados armazenados, sendo esses identificadores criados pelo próprio repositório (obedecendo regras de persistência) ou utilizando esquemas conhecidos de persistência de identificadores.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ind w:left="0" w:firstLine="0"/>
              <w:rPr>
                <w:sz w:val="22"/>
                <w:szCs w:val="22"/>
              </w:rPr>
            </w:pPr>
            <w:r w:rsidDel="00000000" w:rsidR="00000000" w:rsidRPr="00000000">
              <w:rPr>
                <w:sz w:val="22"/>
                <w:szCs w:val="22"/>
                <w:rtl w:val="0"/>
              </w:rPr>
              <w:t xml:space="preserve">Adicionar todos os links para registro de persistência</w:t>
            </w:r>
          </w:p>
          <w:p w:rsidR="00000000" w:rsidDel="00000000" w:rsidP="00000000" w:rsidRDefault="00000000" w:rsidRPr="00000000" w14:paraId="00000022">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23">
            <w:pPr>
              <w:spacing w:after="0" w:before="0" w:line="240" w:lineRule="auto"/>
              <w:ind w:left="0" w:firstLine="0"/>
              <w:rPr>
                <w:sz w:val="22"/>
                <w:szCs w:val="22"/>
              </w:rPr>
            </w:pPr>
            <w:hyperlink r:id="rId18">
              <w:r w:rsidDel="00000000" w:rsidR="00000000" w:rsidRPr="00000000">
                <w:rPr>
                  <w:color w:val="1155cc"/>
                  <w:sz w:val="22"/>
                  <w:szCs w:val="22"/>
                  <w:u w:val="single"/>
                  <w:rtl w:val="0"/>
                </w:rPr>
                <w:t xml:space="preserve">https://journals.plos.org/plosbiology/article?id=10.1371/journal.pbio.2001414</w:t>
              </w:r>
            </w:hyperlink>
            <w:r w:rsidDel="00000000" w:rsidR="00000000" w:rsidRPr="00000000">
              <w:rPr>
                <w:rtl w:val="0"/>
              </w:rPr>
            </w:r>
          </w:p>
          <w:p w:rsidR="00000000" w:rsidDel="00000000" w:rsidP="00000000" w:rsidRDefault="00000000" w:rsidRPr="00000000" w14:paraId="00000024">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25">
            <w:pPr>
              <w:spacing w:after="0" w:before="0" w:line="240" w:lineRule="auto"/>
              <w:ind w:left="0" w:firstLine="0"/>
              <w:rPr>
                <w:sz w:val="22"/>
                <w:szCs w:val="22"/>
              </w:rPr>
            </w:pPr>
            <w:hyperlink r:id="rId19">
              <w:r w:rsidDel="00000000" w:rsidR="00000000" w:rsidRPr="00000000">
                <w:rPr>
                  <w:color w:val="1155cc"/>
                  <w:sz w:val="22"/>
                  <w:szCs w:val="22"/>
                  <w:u w:val="single"/>
                  <w:rtl w:val="0"/>
                </w:rPr>
                <w:t xml:space="preserve">https://www.sciencedirect.com/science/article/pii/S1567422311000251</w:t>
              </w:r>
            </w:hyperlink>
            <w:r w:rsidDel="00000000" w:rsidR="00000000" w:rsidRPr="00000000">
              <w:rPr>
                <w:rtl w:val="0"/>
              </w:rPr>
            </w:r>
          </w:p>
          <w:p w:rsidR="00000000" w:rsidDel="00000000" w:rsidP="00000000" w:rsidRDefault="00000000" w:rsidRPr="00000000" w14:paraId="00000026">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27">
            <w:pPr>
              <w:spacing w:after="0" w:before="0" w:line="240" w:lineRule="auto"/>
              <w:ind w:left="0" w:firstLine="0"/>
              <w:rPr>
                <w:sz w:val="22"/>
                <w:szCs w:val="22"/>
              </w:rPr>
            </w:pPr>
            <w:hyperlink r:id="rId20">
              <w:r w:rsidDel="00000000" w:rsidR="00000000" w:rsidRPr="00000000">
                <w:rPr>
                  <w:color w:val="1155cc"/>
                  <w:sz w:val="22"/>
                  <w:szCs w:val="22"/>
                  <w:u w:val="single"/>
                  <w:rtl w:val="0"/>
                </w:rPr>
                <w:t xml:space="preserve">https://www.sciencedirect.com/science/article/abs/pii/S1574954116300140</w:t>
              </w:r>
            </w:hyperlink>
            <w:r w:rsidDel="00000000" w:rsidR="00000000" w:rsidRPr="00000000">
              <w:rPr>
                <w:rtl w:val="0"/>
              </w:rPr>
            </w:r>
          </w:p>
          <w:p w:rsidR="00000000" w:rsidDel="00000000" w:rsidP="00000000" w:rsidRDefault="00000000" w:rsidRPr="00000000" w14:paraId="00000028">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29">
            <w:pPr>
              <w:spacing w:after="0" w:before="0" w:line="240" w:lineRule="auto"/>
              <w:ind w:left="0" w:firstLine="0"/>
              <w:rPr>
                <w:sz w:val="22"/>
                <w:szCs w:val="22"/>
              </w:rPr>
            </w:pPr>
            <w:hyperlink r:id="rId21">
              <w:r w:rsidDel="00000000" w:rsidR="00000000" w:rsidRPr="00000000">
                <w:rPr>
                  <w:color w:val="1155cc"/>
                  <w:sz w:val="22"/>
                  <w:szCs w:val="22"/>
                  <w:u w:val="single"/>
                  <w:rtl w:val="0"/>
                </w:rPr>
                <w:t xml:space="preserve">https://www.sciencedirect.com/science/article/pii/S1368837519303021</w:t>
              </w:r>
            </w:hyperlink>
            <w:r w:rsidDel="00000000" w:rsidR="00000000" w:rsidRPr="00000000">
              <w:rPr>
                <w:rtl w:val="0"/>
              </w:rPr>
            </w:r>
          </w:p>
          <w:p w:rsidR="00000000" w:rsidDel="00000000" w:rsidP="00000000" w:rsidRDefault="00000000" w:rsidRPr="00000000" w14:paraId="0000002A">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02B">
            <w:pPr>
              <w:spacing w:after="0" w:before="0" w:line="240" w:lineRule="auto"/>
              <w:ind w:left="0" w:firstLine="0"/>
              <w:rPr>
                <w:sz w:val="22"/>
                <w:szCs w:val="22"/>
              </w:rPr>
            </w:pPr>
            <w:hyperlink r:id="rId22">
              <w:r w:rsidDel="00000000" w:rsidR="00000000" w:rsidRPr="00000000">
                <w:rPr>
                  <w:color w:val="1155cc"/>
                  <w:sz w:val="22"/>
                  <w:szCs w:val="22"/>
                  <w:u w:val="single"/>
                  <w:rtl w:val="0"/>
                </w:rPr>
                <w:t xml:space="preserve">https://www.sciencedirect.com/science/article/abs/pii/S0167739X18314638</w:t>
              </w:r>
            </w:hyperlink>
            <w:r w:rsidDel="00000000" w:rsidR="00000000" w:rsidRPr="00000000">
              <w:rPr>
                <w:rtl w:val="0"/>
              </w:rPr>
            </w:r>
          </w:p>
          <w:p w:rsidR="00000000" w:rsidDel="00000000" w:rsidP="00000000" w:rsidRDefault="00000000" w:rsidRPr="00000000" w14:paraId="0000002C">
            <w:pPr>
              <w:spacing w:after="0" w:before="0" w:line="240" w:lineRule="auto"/>
              <w:ind w:left="0" w:firstLine="0"/>
              <w:rPr>
                <w:sz w:val="22"/>
                <w:szCs w:val="22"/>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b w:val="1"/>
                <w:sz w:val="22"/>
                <w:szCs w:val="22"/>
              </w:rPr>
            </w:pPr>
            <w:r w:rsidDel="00000000" w:rsidR="00000000" w:rsidRPr="00000000">
              <w:rPr>
                <w:b w:val="1"/>
                <w:sz w:val="22"/>
                <w:szCs w:val="22"/>
                <w:rtl w:val="0"/>
              </w:rPr>
              <w:t xml:space="preserve">FMGEN2 - Data Identifier Persistence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Foco na adoção de identificadores persistentes para os dados armazenados, sendo esses identificadores criados pelo próprio repositório (obedecendo regras de persistência) ou utilizando esquemas conhecidos de persistência de identificadores.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rPr>
                <w:sz w:val="22"/>
                <w:szCs w:val="22"/>
              </w:rPr>
            </w:pPr>
            <w:r w:rsidDel="00000000" w:rsidR="00000000" w:rsidRPr="00000000">
              <w:rPr>
                <w:sz w:val="22"/>
                <w:szCs w:val="22"/>
                <w:rtl w:val="0"/>
              </w:rPr>
              <w:t xml:space="preserve">Adicionar todos os links para registro de persistência</w:t>
            </w:r>
          </w:p>
          <w:p w:rsidR="00000000" w:rsidDel="00000000" w:rsidP="00000000" w:rsidRDefault="00000000" w:rsidRPr="00000000" w14:paraId="00000030">
            <w:pPr>
              <w:spacing w:after="0" w:line="240" w:lineRule="auto"/>
              <w:rPr>
                <w:sz w:val="22"/>
                <w:szCs w:val="22"/>
              </w:rPr>
            </w:pPr>
            <w:r w:rsidDel="00000000" w:rsidR="00000000" w:rsidRPr="00000000">
              <w:rPr>
                <w:rtl w:val="0"/>
              </w:rPr>
            </w:r>
          </w:p>
          <w:p w:rsidR="00000000" w:rsidDel="00000000" w:rsidP="00000000" w:rsidRDefault="00000000" w:rsidRPr="00000000" w14:paraId="00000031">
            <w:pPr>
              <w:spacing w:after="0" w:line="240" w:lineRule="auto"/>
              <w:rPr>
                <w:sz w:val="22"/>
                <w:szCs w:val="22"/>
              </w:rPr>
            </w:pPr>
            <w:hyperlink r:id="rId23">
              <w:r w:rsidDel="00000000" w:rsidR="00000000" w:rsidRPr="00000000">
                <w:rPr>
                  <w:color w:val="1155cc"/>
                  <w:sz w:val="22"/>
                  <w:szCs w:val="22"/>
                  <w:u w:val="single"/>
                  <w:rtl w:val="0"/>
                </w:rPr>
                <w:t xml:space="preserve">https://journals.plos.org/plosbiology/article?id=10.1371/journal.pbio.2001414</w:t>
              </w:r>
            </w:hyperlink>
            <w:r w:rsidDel="00000000" w:rsidR="00000000" w:rsidRPr="00000000">
              <w:rPr>
                <w:rtl w:val="0"/>
              </w:rPr>
            </w:r>
          </w:p>
          <w:p w:rsidR="00000000" w:rsidDel="00000000" w:rsidP="00000000" w:rsidRDefault="00000000" w:rsidRPr="00000000" w14:paraId="00000032">
            <w:pPr>
              <w:spacing w:after="0" w:line="240" w:lineRule="auto"/>
              <w:rPr>
                <w:sz w:val="22"/>
                <w:szCs w:val="22"/>
              </w:rPr>
            </w:pPr>
            <w:r w:rsidDel="00000000" w:rsidR="00000000" w:rsidRPr="00000000">
              <w:rPr>
                <w:rtl w:val="0"/>
              </w:rPr>
            </w:r>
          </w:p>
          <w:p w:rsidR="00000000" w:rsidDel="00000000" w:rsidP="00000000" w:rsidRDefault="00000000" w:rsidRPr="00000000" w14:paraId="00000033">
            <w:pPr>
              <w:spacing w:after="0" w:line="240" w:lineRule="auto"/>
              <w:rPr>
                <w:sz w:val="22"/>
                <w:szCs w:val="22"/>
              </w:rPr>
            </w:pPr>
            <w:hyperlink r:id="rId24">
              <w:r w:rsidDel="00000000" w:rsidR="00000000" w:rsidRPr="00000000">
                <w:rPr>
                  <w:color w:val="1155cc"/>
                  <w:sz w:val="22"/>
                  <w:szCs w:val="22"/>
                  <w:u w:val="single"/>
                  <w:rtl w:val="0"/>
                </w:rPr>
                <w:t xml:space="preserve">https://www.sciencedirect.com/science/article/pii/S1567422311000251</w:t>
              </w:r>
            </w:hyperlink>
            <w:r w:rsidDel="00000000" w:rsidR="00000000" w:rsidRPr="00000000">
              <w:rPr>
                <w:rtl w:val="0"/>
              </w:rPr>
            </w:r>
          </w:p>
          <w:p w:rsidR="00000000" w:rsidDel="00000000" w:rsidP="00000000" w:rsidRDefault="00000000" w:rsidRPr="00000000" w14:paraId="00000034">
            <w:pPr>
              <w:spacing w:after="0" w:line="240" w:lineRule="auto"/>
              <w:rPr>
                <w:sz w:val="22"/>
                <w:szCs w:val="22"/>
              </w:rPr>
            </w:pPr>
            <w:r w:rsidDel="00000000" w:rsidR="00000000" w:rsidRPr="00000000">
              <w:rPr>
                <w:rtl w:val="0"/>
              </w:rPr>
            </w:r>
          </w:p>
          <w:p w:rsidR="00000000" w:rsidDel="00000000" w:rsidP="00000000" w:rsidRDefault="00000000" w:rsidRPr="00000000" w14:paraId="00000035">
            <w:pPr>
              <w:spacing w:after="0" w:line="240" w:lineRule="auto"/>
              <w:rPr>
                <w:sz w:val="22"/>
                <w:szCs w:val="22"/>
              </w:rPr>
            </w:pPr>
            <w:hyperlink r:id="rId25">
              <w:r w:rsidDel="00000000" w:rsidR="00000000" w:rsidRPr="00000000">
                <w:rPr>
                  <w:color w:val="1155cc"/>
                  <w:sz w:val="22"/>
                  <w:szCs w:val="22"/>
                  <w:u w:val="single"/>
                  <w:rtl w:val="0"/>
                </w:rPr>
                <w:t xml:space="preserve">https://www.sciencedirect.com/science/article/abs/pii/S1574954116300140</w:t>
              </w:r>
            </w:hyperlink>
            <w:r w:rsidDel="00000000" w:rsidR="00000000" w:rsidRPr="00000000">
              <w:rPr>
                <w:rtl w:val="0"/>
              </w:rPr>
            </w:r>
          </w:p>
          <w:p w:rsidR="00000000" w:rsidDel="00000000" w:rsidP="00000000" w:rsidRDefault="00000000" w:rsidRPr="00000000" w14:paraId="00000036">
            <w:pPr>
              <w:spacing w:after="0" w:line="240" w:lineRule="auto"/>
              <w:rPr>
                <w:sz w:val="22"/>
                <w:szCs w:val="22"/>
              </w:rPr>
            </w:pPr>
            <w:r w:rsidDel="00000000" w:rsidR="00000000" w:rsidRPr="00000000">
              <w:rPr>
                <w:rtl w:val="0"/>
              </w:rPr>
            </w:r>
          </w:p>
          <w:p w:rsidR="00000000" w:rsidDel="00000000" w:rsidP="00000000" w:rsidRDefault="00000000" w:rsidRPr="00000000" w14:paraId="00000037">
            <w:pPr>
              <w:spacing w:after="0" w:line="240" w:lineRule="auto"/>
              <w:rPr>
                <w:sz w:val="22"/>
                <w:szCs w:val="22"/>
              </w:rPr>
            </w:pPr>
            <w:hyperlink r:id="rId26">
              <w:r w:rsidDel="00000000" w:rsidR="00000000" w:rsidRPr="00000000">
                <w:rPr>
                  <w:color w:val="1155cc"/>
                  <w:sz w:val="22"/>
                  <w:szCs w:val="22"/>
                  <w:u w:val="single"/>
                  <w:rtl w:val="0"/>
                </w:rPr>
                <w:t xml:space="preserve">https://www.sciencedirect.com/science/article/pii/S1368837519303021</w:t>
              </w:r>
            </w:hyperlink>
            <w:r w:rsidDel="00000000" w:rsidR="00000000" w:rsidRPr="00000000">
              <w:rPr>
                <w:rtl w:val="0"/>
              </w:rPr>
            </w:r>
          </w:p>
          <w:p w:rsidR="00000000" w:rsidDel="00000000" w:rsidP="00000000" w:rsidRDefault="00000000" w:rsidRPr="00000000" w14:paraId="00000038">
            <w:pPr>
              <w:spacing w:after="0" w:line="240" w:lineRule="auto"/>
              <w:rPr>
                <w:sz w:val="22"/>
                <w:szCs w:val="22"/>
              </w:rPr>
            </w:pPr>
            <w:r w:rsidDel="00000000" w:rsidR="00000000" w:rsidRPr="00000000">
              <w:rPr>
                <w:rtl w:val="0"/>
              </w:rPr>
            </w:r>
          </w:p>
          <w:p w:rsidR="00000000" w:rsidDel="00000000" w:rsidP="00000000" w:rsidRDefault="00000000" w:rsidRPr="00000000" w14:paraId="00000039">
            <w:pPr>
              <w:spacing w:after="0" w:line="240" w:lineRule="auto"/>
              <w:rPr>
                <w:sz w:val="22"/>
                <w:szCs w:val="22"/>
              </w:rPr>
            </w:pPr>
            <w:hyperlink r:id="rId27">
              <w:r w:rsidDel="00000000" w:rsidR="00000000" w:rsidRPr="00000000">
                <w:rPr>
                  <w:color w:val="1155cc"/>
                  <w:sz w:val="22"/>
                  <w:szCs w:val="22"/>
                  <w:u w:val="single"/>
                  <w:rtl w:val="0"/>
                </w:rPr>
                <w:t xml:space="preserve">https://www.sciencedirect.com/science/article/abs/pii/S0167739X18314638</w:t>
              </w:r>
            </w:hyperlink>
            <w:r w:rsidDel="00000000" w:rsidR="00000000" w:rsidRPr="00000000">
              <w:rPr>
                <w:rtl w:val="0"/>
              </w:rPr>
            </w:r>
          </w:p>
          <w:p w:rsidR="00000000" w:rsidDel="00000000" w:rsidP="00000000" w:rsidRDefault="00000000" w:rsidRPr="00000000" w14:paraId="0000003A">
            <w:pPr>
              <w:spacing w:after="0" w:before="0" w:line="240" w:lineRule="auto"/>
              <w:ind w:left="0" w:firstLine="0"/>
              <w:rPr>
                <w:sz w:val="22"/>
                <w:szCs w:val="22"/>
              </w:rPr>
            </w:pPr>
            <w:r w:rsidDel="00000000" w:rsidR="00000000" w:rsidRPr="00000000">
              <w:rPr>
                <w:rtl w:val="0"/>
              </w:rPr>
            </w:r>
          </w:p>
        </w:tc>
      </w:tr>
    </w:tbl>
    <w:p w:rsidR="00000000" w:rsidDel="00000000" w:rsidP="00000000" w:rsidRDefault="00000000" w:rsidRPr="00000000" w14:paraId="0000003B">
      <w:pPr>
        <w:pStyle w:val="Heading4"/>
        <w:widowControl w:val="0"/>
        <w:spacing w:after="0" w:line="240" w:lineRule="auto"/>
        <w:rPr/>
      </w:pPr>
      <w:bookmarkStart w:colFirst="0" w:colLast="0" w:name="_od38pcqfw68r" w:id="2"/>
      <w:bookmarkEnd w:id="2"/>
      <w:r w:rsidDel="00000000" w:rsidR="00000000" w:rsidRPr="00000000">
        <w:rPr>
          <w:rtl w:val="0"/>
        </w:rPr>
        <w:t xml:space="preserve">F2</w:t>
      </w:r>
    </w:p>
    <w:tbl>
      <w:tblPr>
        <w:tblStyle w:val="Table2"/>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4350"/>
        <w:gridCol w:w="3150"/>
        <w:tblGridChange w:id="0">
          <w:tblGrid>
            <w:gridCol w:w="1410"/>
            <w:gridCol w:w="4350"/>
            <w:gridCol w:w="31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3D">
            <w:pPr>
              <w:widowControl w:val="0"/>
              <w:spacing w:after="0" w:line="240" w:lineRule="auto"/>
              <w:jc w:val="center"/>
              <w:rPr>
                <w:b w:val="1"/>
              </w:rPr>
            </w:pPr>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b w:val="1"/>
              </w:rPr>
            </w:pPr>
            <w:r w:rsidDel="00000000" w:rsidR="00000000" w:rsidRPr="00000000">
              <w:rPr>
                <w:b w:val="1"/>
                <w:rtl w:val="0"/>
              </w:rPr>
              <w:t xml:space="preserve">References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b w:val="1"/>
              </w:rPr>
            </w:pPr>
            <w:r w:rsidDel="00000000" w:rsidR="00000000" w:rsidRPr="00000000">
              <w:rPr>
                <w:b w:val="1"/>
                <w:rtl w:val="0"/>
              </w:rPr>
              <w:t xml:space="preserve">FAIR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Os metadados encontrados pelos usuários devem ser os mais completos possíveis. Controle na inserção de metadados deve ser alta principalmente para que não haja metadados perdidos quando o detentor do dado inserir ao repositório, uma política de upload de metadados é fundamental.</w:t>
            </w:r>
          </w:p>
          <w:p w:rsidR="00000000" w:rsidDel="00000000" w:rsidP="00000000" w:rsidRDefault="00000000" w:rsidRPr="00000000" w14:paraId="00000041">
            <w:pPr>
              <w:widowControl w:val="0"/>
              <w:spacing w:after="0" w:line="240" w:lineRule="auto"/>
              <w:rPr/>
            </w:pPr>
            <w:r w:rsidDel="00000000" w:rsidR="00000000" w:rsidRPr="00000000">
              <w:rPr>
                <w:rtl w:val="0"/>
              </w:rPr>
              <w:t xml:space="preserve">Criação de uma padronização de metadados fundamentada é considerada essencial nesta parte, utilização de ontologias, vocabulários, thesaurus já existentes ou a criação de novos auxilia no aumento da riqueza de metadados.</w:t>
            </w:r>
          </w:p>
          <w:p w:rsidR="00000000" w:rsidDel="00000000" w:rsidP="00000000" w:rsidRDefault="00000000" w:rsidRPr="00000000" w14:paraId="00000042">
            <w:pPr>
              <w:widowControl w:val="0"/>
              <w:spacing w:after="0" w:line="240" w:lineRule="auto"/>
              <w:rPr/>
            </w:pPr>
            <w:r w:rsidDel="00000000" w:rsidR="00000000" w:rsidRPr="00000000">
              <w:rPr>
                <w:rtl w:val="0"/>
              </w:rPr>
              <w:t xml:space="preserve">Informações sobre dados, como sua descrição, descrição de colunas, significado de abreviações, unidades de medida, figuras, análises sobre os dados em si, como os dados foram coletados e/ou sugestões em como reutilizar os dados são exemplo de metadados essenciais. Outro fator de recomendação é criação de documentações auxiliar os usuários detentores de dados conhecerem sobre os requisitos para submissão de (meta)dados e além disso, deixar o mais intuitivo possível a partir da utilização de processos já fundamentados na área de IHC (Interação Humano Computador).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240" w:lineRule="auto"/>
              <w:rPr/>
            </w:pPr>
            <w:hyperlink r:id="rId28">
              <w:r w:rsidDel="00000000" w:rsidR="00000000" w:rsidRPr="00000000">
                <w:rPr>
                  <w:color w:val="1155cc"/>
                  <w:u w:val="single"/>
                  <w:rtl w:val="0"/>
                </w:rPr>
                <w:t xml:space="preserve">https://www.go-fair.org/fair-principles/f2-data-described-rich-metadata/</w:t>
              </w:r>
            </w:hyperlink>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hyperlink r:id="rId29">
              <w:r w:rsidDel="00000000" w:rsidR="00000000" w:rsidRPr="00000000">
                <w:rPr>
                  <w:color w:val="1155cc"/>
                  <w:u w:val="single"/>
                  <w:rtl w:val="0"/>
                </w:rPr>
                <w:t xml:space="preserve">https://theodi.org/knowledge-opinion/guides/</w:t>
              </w:r>
            </w:hyperlink>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hyperlink r:id="rId30">
              <w:r w:rsidDel="00000000" w:rsidR="00000000" w:rsidRPr="00000000">
                <w:rPr>
                  <w:color w:val="1155cc"/>
                  <w:u w:val="single"/>
                  <w:rtl w:val="0"/>
                </w:rPr>
                <w:t xml:space="preserve">https://isa-tools.org/</w:t>
              </w:r>
            </w:hyperlink>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hyperlink r:id="rId31">
              <w:r w:rsidDel="00000000" w:rsidR="00000000" w:rsidRPr="00000000">
                <w:rPr>
                  <w:color w:val="1155cc"/>
                  <w:u w:val="single"/>
                  <w:rtl w:val="0"/>
                </w:rPr>
                <w:t xml:space="preserve">https://www.dtls.nl/fair-data/find-fair-data-tools/</w:t>
              </w:r>
            </w:hyperlink>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b w:val="1"/>
              </w:rPr>
            </w:pPr>
            <w:r w:rsidDel="00000000" w:rsidR="00000000" w:rsidRPr="00000000">
              <w:rPr>
                <w:b w:val="1"/>
                <w:rtl w:val="0"/>
              </w:rPr>
              <w:t xml:space="preserve">FMGEN2 - Structured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Usar dados estruturados que sejam compatíveis para execução de aplicações voltadas para o scraping de dados, linguagens como RDFa, json incorporado, json-ld ou metadados estruturados negociados por conteúdo, como RDF Turtle, são exemplos de linguagens que suportam scraping de dados.</w:t>
            </w:r>
          </w:p>
          <w:p w:rsidR="00000000" w:rsidDel="00000000" w:rsidP="00000000" w:rsidRDefault="00000000" w:rsidRPr="00000000" w14:paraId="0000004E">
            <w:pPr>
              <w:widowControl w:val="0"/>
              <w:spacing w:after="0" w:line="240" w:lineRule="auto"/>
              <w:rPr/>
            </w:pPr>
            <w:r w:rsidDel="00000000" w:rsidR="00000000" w:rsidRPr="00000000">
              <w:rPr>
                <w:rtl w:val="0"/>
              </w:rPr>
              <w:t xml:space="preserve">Existem inúmeros meios de padronização de estrutura de metadados, onde os mesmos ficam localizados no código fonte da página, ou por meio de uma extensão e designada para os dados estruturados.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b w:val="1"/>
              </w:rPr>
            </w:pPr>
            <w:r w:rsidDel="00000000" w:rsidR="00000000" w:rsidRPr="00000000">
              <w:rPr>
                <w:b w:val="1"/>
                <w:rtl w:val="0"/>
              </w:rPr>
              <w:t xml:space="preserve">FMGEN2 - Grounded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Grounded metadata refere-se a utilização de padronização de dados por meio de linguagens reconhecidas por computadores para scrapping de dados e etc. Contudo neste caso a fim de aumentar ainda mais a automação destas aplicações é necessário a utilização de named nodes ao invés de blank nodes, ou seja, utilizar identificadores (persistentes) ao invés de caracteres (dbpedia é um bom exemplo onde encontrar identificadores persistentes para nomes </w:t>
            </w:r>
            <w:commentRangeStart w:id="0"/>
            <w:r w:rsidDel="00000000" w:rsidR="00000000" w:rsidRPr="00000000">
              <w:rPr>
                <w:i w:val="1"/>
                <w:rtl w:val="0"/>
              </w:rPr>
              <w:t xml:space="preserve">incluir mais</w:t>
            </w:r>
            <w:commentRangeEnd w:id="0"/>
            <w:r w:rsidDel="00000000" w:rsidR="00000000" w:rsidRPr="00000000">
              <w:commentReference w:id="0"/>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rPr/>
            </w:pPr>
            <w:hyperlink r:id="rId32">
              <w:r w:rsidDel="00000000" w:rsidR="00000000" w:rsidRPr="00000000">
                <w:rPr>
                  <w:color w:val="1155cc"/>
                  <w:u w:val="single"/>
                  <w:rtl w:val="0"/>
                </w:rPr>
                <w:t xml:space="preserve">https://books.google.com.br/books?id=oY1lAgAAQBAJ&amp;pg=PT43&amp;lpg=PT43&amp;dq=grounded+rdf&amp;source=bl&amp;ots=6TMIKsE9_0&amp;sig=ACfU3U1auvNc_TNB1jh78KvbxH9QYkyCWQ&amp;hl=pt-BR&amp;sa=X&amp;ved=2ahUKEwilyLiAr5nqAhVIDrkGHTGzBY0Q6AEwAHoECAYQAQ#v=onepage&amp;q=grounded%20rdf&amp;f=false</w:t>
              </w:r>
            </w:hyperlink>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r>
          </w:p>
          <w:p w:rsidR="00000000" w:rsidDel="00000000" w:rsidP="00000000" w:rsidRDefault="00000000" w:rsidRPr="00000000" w14:paraId="00000054">
            <w:pPr>
              <w:spacing w:after="0" w:line="240" w:lineRule="auto"/>
              <w:rPr/>
            </w:pPr>
            <w:r w:rsidDel="00000000" w:rsidR="00000000" w:rsidRPr="00000000">
              <w:rPr>
                <w:rtl w:val="0"/>
              </w:rPr>
            </w:r>
          </w:p>
        </w:tc>
      </w:tr>
    </w:tbl>
    <w:p w:rsidR="00000000" w:rsidDel="00000000" w:rsidP="00000000" w:rsidRDefault="00000000" w:rsidRPr="00000000" w14:paraId="00000055">
      <w:pPr>
        <w:pStyle w:val="Heading4"/>
        <w:widowControl w:val="0"/>
        <w:spacing w:after="0" w:line="240" w:lineRule="auto"/>
        <w:rPr/>
      </w:pPr>
      <w:bookmarkStart w:colFirst="0" w:colLast="0" w:name="_nti0rasmy1sp" w:id="3"/>
      <w:bookmarkEnd w:id="3"/>
      <w:r w:rsidDel="00000000" w:rsidR="00000000" w:rsidRPr="00000000">
        <w:rPr>
          <w:rtl w:val="0"/>
        </w:rPr>
        <w:t xml:space="preserve">F3</w:t>
      </w:r>
    </w:p>
    <w:tbl>
      <w:tblPr>
        <w:tblStyle w:val="Table3"/>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4290"/>
        <w:gridCol w:w="3150"/>
        <w:tblGridChange w:id="0">
          <w:tblGrid>
            <w:gridCol w:w="1470"/>
            <w:gridCol w:w="4290"/>
            <w:gridCol w:w="31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57">
            <w:pPr>
              <w:widowControl w:val="0"/>
              <w:spacing w:after="0" w:line="240" w:lineRule="auto"/>
              <w:jc w:val="center"/>
              <w:rPr>
                <w:b w:val="1"/>
              </w:rPr>
            </w:pPr>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b w:val="1"/>
              </w:rPr>
            </w:pPr>
            <w:r w:rsidDel="00000000" w:rsidR="00000000" w:rsidRPr="00000000">
              <w:rPr>
                <w:b w:val="1"/>
                <w:rtl w:val="0"/>
              </w:rPr>
              <w:t xml:space="preserve">References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b w:val="1"/>
              </w:rPr>
            </w:pPr>
            <w:r w:rsidDel="00000000" w:rsidR="00000000" w:rsidRPr="00000000">
              <w:rPr>
                <w:b w:val="1"/>
                <w:rtl w:val="0"/>
              </w:rPr>
              <w:t xml:space="preserve">FAIR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É necessário explicitar os identificadores dos datasets (dados) aos metadados para que assim os mesmos possam ser conectados, mesmo de uma forma simples. Utilização de identificadores persistentes e globalmente únicos (F1) auxilia a atingir esse princípio.</w:t>
            </w:r>
          </w:p>
          <w:p w:rsidR="00000000" w:rsidDel="00000000" w:rsidP="00000000" w:rsidRDefault="00000000" w:rsidRPr="00000000" w14:paraId="0000005B">
            <w:pPr>
              <w:widowControl w:val="0"/>
              <w:spacing w:after="0" w:line="240" w:lineRule="auto"/>
              <w:rPr/>
            </w:pPr>
            <w:r w:rsidDel="00000000" w:rsidR="00000000" w:rsidRPr="00000000">
              <w:rPr>
                <w:rtl w:val="0"/>
              </w:rPr>
              <w:t xml:space="preserve">Para aprimorar ainda mais seria essencial adotar meio para que se possa realizar extração de dados via automação.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b w:val="1"/>
              </w:rPr>
            </w:pPr>
            <w:r w:rsidDel="00000000" w:rsidR="00000000" w:rsidRPr="00000000">
              <w:rPr>
                <w:b w:val="1"/>
                <w:rtl w:val="0"/>
              </w:rPr>
              <w:t xml:space="preserve">FMGEN2 - Data Identifier Explicitly in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Necessário possuir algum estruturação de dados que seja reconhecida por máquina (e.g., RDFa, json incorporado, json-ld ou metadados estruturados negociados por conteúdo, como RDF Turtle), além disso, possuir especificações/propriedades/tags com o intuito de localizar o identificador do(s) dado(s) facilmente nos metadados.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b w:val="1"/>
              </w:rPr>
            </w:pPr>
            <w:r w:rsidDel="00000000" w:rsidR="00000000" w:rsidRPr="00000000">
              <w:rPr>
                <w:b w:val="1"/>
                <w:rtl w:val="0"/>
              </w:rPr>
              <w:t xml:space="preserve">FMGEN2 - Metadata Identifier Explicitly in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O quanto mais utilizar metadados resolvíveis (que utilizam URIs) melhor será para aplicações automática de coleta de dados entenderem sobre os (meta)dados presentes naquele repositório. Novamente a utilização de padronização de dados estruturados que seja reconhecida por máquinas melhor será o reuso.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rPr/>
            </w:pPr>
            <w:r w:rsidDel="00000000" w:rsidR="00000000" w:rsidRPr="00000000">
              <w:rPr>
                <w:rtl w:val="0"/>
              </w:rPr>
            </w:r>
          </w:p>
        </w:tc>
      </w:tr>
    </w:tbl>
    <w:p w:rsidR="00000000" w:rsidDel="00000000" w:rsidP="00000000" w:rsidRDefault="00000000" w:rsidRPr="00000000" w14:paraId="00000063">
      <w:pPr>
        <w:pStyle w:val="Heading4"/>
        <w:widowControl w:val="0"/>
        <w:spacing w:after="0" w:line="240" w:lineRule="auto"/>
        <w:rPr/>
      </w:pPr>
      <w:bookmarkStart w:colFirst="0" w:colLast="0" w:name="_7ityombt763" w:id="4"/>
      <w:bookmarkEnd w:id="4"/>
      <w:r w:rsidDel="00000000" w:rsidR="00000000" w:rsidRPr="00000000">
        <w:rPr>
          <w:rtl w:val="0"/>
        </w:rPr>
        <w:t xml:space="preserve">F4</w:t>
      </w:r>
    </w:p>
    <w:tbl>
      <w:tblPr>
        <w:tblStyle w:val="Table4"/>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260"/>
        <w:gridCol w:w="3150"/>
        <w:tblGridChange w:id="0">
          <w:tblGrid>
            <w:gridCol w:w="1500"/>
            <w:gridCol w:w="4260"/>
            <w:gridCol w:w="31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65">
            <w:pPr>
              <w:widowControl w:val="0"/>
              <w:spacing w:after="0" w:line="240" w:lineRule="auto"/>
              <w:jc w:val="center"/>
              <w:rPr>
                <w:b w:val="1"/>
              </w:rPr>
            </w:pPr>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b w:val="1"/>
              </w:rPr>
            </w:pPr>
            <w:r w:rsidDel="00000000" w:rsidR="00000000" w:rsidRPr="00000000">
              <w:rPr>
                <w:b w:val="1"/>
                <w:rtl w:val="0"/>
              </w:rPr>
              <w:t xml:space="preserve">References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b w:val="1"/>
              </w:rPr>
            </w:pPr>
            <w:r w:rsidDel="00000000" w:rsidR="00000000" w:rsidRPr="00000000">
              <w:rPr>
                <w:b w:val="1"/>
                <w:rtl w:val="0"/>
              </w:rPr>
              <w:t xml:space="preserve">FAIR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rPr/>
            </w:pPr>
            <w:r w:rsidDel="00000000" w:rsidR="00000000" w:rsidRPr="00000000">
              <w:rPr>
                <w:rtl w:val="0"/>
              </w:rPr>
              <w:t xml:space="preserve">Uma das possíveis melhorias é a padronização dos identificadores locais que auxiliam em engines de busca, tendo em vista que a partir de seus crawlers eles identificariam os ID Locais bem como os URIs.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b w:val="1"/>
              </w:rPr>
            </w:pPr>
            <w:r w:rsidDel="00000000" w:rsidR="00000000" w:rsidRPr="00000000">
              <w:rPr>
                <w:b w:val="1"/>
                <w:rtl w:val="0"/>
              </w:rPr>
              <w:t xml:space="preserve">FMGEN2 - Searchable in Major Search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rPr/>
            </w:pPr>
            <w:r w:rsidDel="00000000" w:rsidR="00000000" w:rsidRPr="00000000">
              <w:rPr>
                <w:rtl w:val="0"/>
              </w:rPr>
              <w:t xml:space="preserve">Liberar acesso para crawlers, padronização e documentação de ID é essencial para atendimento desta 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rPr/>
            </w:pPr>
            <w:r w:rsidDel="00000000" w:rsidR="00000000" w:rsidRPr="00000000">
              <w:rPr>
                <w:rtl w:val="0"/>
              </w:rPr>
            </w:r>
          </w:p>
        </w:tc>
      </w:tr>
    </w:tbl>
    <w:p w:rsidR="00000000" w:rsidDel="00000000" w:rsidP="00000000" w:rsidRDefault="00000000" w:rsidRPr="00000000" w14:paraId="0000006D">
      <w:pPr>
        <w:pStyle w:val="Heading2"/>
        <w:rPr/>
      </w:pPr>
      <w:bookmarkStart w:colFirst="0" w:colLast="0" w:name="_bnish73vlztj" w:id="5"/>
      <w:bookmarkEnd w:id="5"/>
      <w:r w:rsidDel="00000000" w:rsidR="00000000" w:rsidRPr="00000000">
        <w:rPr>
          <w:rtl w:val="0"/>
        </w:rPr>
        <w:t xml:space="preserve">Accessible</w:t>
      </w:r>
    </w:p>
    <w:p w:rsidR="00000000" w:rsidDel="00000000" w:rsidP="00000000" w:rsidRDefault="00000000" w:rsidRPr="00000000" w14:paraId="0000006E">
      <w:pPr>
        <w:pStyle w:val="Heading4"/>
        <w:widowControl w:val="0"/>
        <w:spacing w:after="0" w:line="240" w:lineRule="auto"/>
        <w:rPr/>
      </w:pPr>
      <w:bookmarkStart w:colFirst="0" w:colLast="0" w:name="_ozegtcxz12pg" w:id="6"/>
      <w:bookmarkEnd w:id="6"/>
      <w:commentRangeStart w:id="1"/>
      <w:r w:rsidDel="00000000" w:rsidR="00000000" w:rsidRPr="00000000">
        <w:rPr>
          <w:rtl w:val="0"/>
        </w:rPr>
        <w:t xml:space="preserve">A1</w:t>
      </w:r>
      <w:commentRangeEnd w:id="1"/>
      <w:r w:rsidDel="00000000" w:rsidR="00000000" w:rsidRPr="00000000">
        <w:commentReference w:id="1"/>
      </w:r>
      <w:r w:rsidDel="00000000" w:rsidR="00000000" w:rsidRPr="00000000">
        <w:rPr>
          <w:rtl w:val="0"/>
        </w:rPr>
      </w:r>
    </w:p>
    <w:tbl>
      <w:tblPr>
        <w:tblStyle w:val="Table5"/>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230"/>
        <w:gridCol w:w="3150"/>
        <w:tblGridChange w:id="0">
          <w:tblGrid>
            <w:gridCol w:w="1530"/>
            <w:gridCol w:w="4230"/>
            <w:gridCol w:w="31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70">
            <w:pPr>
              <w:widowControl w:val="0"/>
              <w:spacing w:after="0" w:line="240" w:lineRule="auto"/>
              <w:jc w:val="center"/>
              <w:rPr>
                <w:b w:val="1"/>
              </w:rPr>
            </w:pPr>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b w:val="1"/>
              </w:rPr>
            </w:pPr>
            <w:r w:rsidDel="00000000" w:rsidR="00000000" w:rsidRPr="00000000">
              <w:rPr>
                <w:b w:val="1"/>
                <w:rtl w:val="0"/>
              </w:rPr>
              <w:t xml:space="preserve">References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b w:val="1"/>
              </w:rPr>
            </w:pPr>
            <w:r w:rsidDel="00000000" w:rsidR="00000000" w:rsidRPr="00000000">
              <w:rPr>
                <w:b w:val="1"/>
                <w:rtl w:val="0"/>
              </w:rPr>
              <w:t xml:space="preserve">FAIR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rPr/>
            </w:pPr>
            <w:r w:rsidDel="00000000" w:rsidR="00000000" w:rsidRPr="00000000">
              <w:rPr>
                <w:rtl w:val="0"/>
              </w:rPr>
              <w:t xml:space="preserve">Criar meios para que os (meta)dados possam ser acessados sem que haja necessidade de softwares e protocolos proprietários. Utilizar protocolos amplamente conhecidos (e.g. http, https, ftp ...) e não utilização de softwares e padrões de arquivos não proprietários (e.g. utilizar csv ao invés de arquivos em excel). Além disso, é visto a necessidade de documentar e demonstrar ao usuário como é processo para realizar o download de dados, bem como deixar o processo o mais intuitivo possível e acessível (IHC - Interação Humano Computador).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rPr/>
            </w:pPr>
            <w:r w:rsidDel="00000000" w:rsidR="00000000" w:rsidRPr="00000000">
              <w:rPr>
                <w:rtl w:val="0"/>
              </w:rPr>
            </w:r>
          </w:p>
        </w:tc>
      </w:tr>
    </w:tbl>
    <w:p w:rsidR="00000000" w:rsidDel="00000000" w:rsidP="00000000" w:rsidRDefault="00000000" w:rsidRPr="00000000" w14:paraId="00000075">
      <w:pPr>
        <w:pStyle w:val="Heading4"/>
        <w:widowControl w:val="0"/>
        <w:spacing w:after="0" w:line="240" w:lineRule="auto"/>
        <w:rPr/>
      </w:pPr>
      <w:bookmarkStart w:colFirst="0" w:colLast="0" w:name="_s7kf54u4hkoo" w:id="7"/>
      <w:bookmarkEnd w:id="7"/>
      <w:r w:rsidDel="00000000" w:rsidR="00000000" w:rsidRPr="00000000">
        <w:rPr>
          <w:rtl w:val="0"/>
        </w:rPr>
        <w:t xml:space="preserve">A1.1</w:t>
      </w:r>
    </w:p>
    <w:tbl>
      <w:tblPr>
        <w:tblStyle w:val="Table6"/>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170"/>
        <w:gridCol w:w="3150"/>
        <w:tblGridChange w:id="0">
          <w:tblGrid>
            <w:gridCol w:w="1590"/>
            <w:gridCol w:w="4170"/>
            <w:gridCol w:w="31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77">
            <w:pPr>
              <w:widowControl w:val="0"/>
              <w:spacing w:after="0" w:line="240" w:lineRule="auto"/>
              <w:jc w:val="center"/>
              <w:rPr>
                <w:b w:val="1"/>
              </w:rPr>
            </w:pPr>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b w:val="1"/>
              </w:rPr>
            </w:pPr>
            <w:r w:rsidDel="00000000" w:rsidR="00000000" w:rsidRPr="00000000">
              <w:rPr>
                <w:b w:val="1"/>
                <w:rtl w:val="0"/>
              </w:rPr>
              <w:t xml:space="preserve">References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b w:val="1"/>
              </w:rPr>
            </w:pPr>
            <w:r w:rsidDel="00000000" w:rsidR="00000000" w:rsidRPr="00000000">
              <w:rPr>
                <w:b w:val="1"/>
                <w:rtl w:val="0"/>
              </w:rPr>
              <w:t xml:space="preserve">FAIR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line="240" w:lineRule="auto"/>
              <w:rPr/>
            </w:pPr>
            <w:r w:rsidDel="00000000" w:rsidR="00000000" w:rsidRPr="00000000">
              <w:rPr>
                <w:rtl w:val="0"/>
              </w:rPr>
              <w:t xml:space="preserve">No caso para acesso a dados que não possuam restrição de acesso é essencial que os mesmos sejam acessados por meio de protocolos não proprietários, não ofereçam nenhum tipo de restrição para acesso aos dados, forneça meios para entendimento de como os dados podem ser acessados sem restrição(e.g. documentos, tutoriais).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b w:val="1"/>
              </w:rPr>
            </w:pPr>
            <w:r w:rsidDel="00000000" w:rsidR="00000000" w:rsidRPr="00000000">
              <w:rPr>
                <w:b w:val="1"/>
                <w:rtl w:val="0"/>
              </w:rPr>
              <w:t xml:space="preserve">FMGEN2 - Uses Open Free Protocol for Data Retrieval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rPr/>
            </w:pPr>
            <w:r w:rsidDel="00000000" w:rsidR="00000000" w:rsidRPr="00000000">
              <w:rPr>
                <w:rtl w:val="0"/>
              </w:rPr>
              <w:t xml:space="preserve">Utilização de URIs (e.g. keys InChI, DOIs, identificadores e URLs) dentro dos metadados e que retornam o dado propriamente dito sem necessidade de autenticação e autorização e uso de protocolos ou softwares proprietários.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rPr>
                <w:b w:val="1"/>
              </w:rPr>
            </w:pPr>
            <w:r w:rsidDel="00000000" w:rsidR="00000000" w:rsidRPr="00000000">
              <w:rPr>
                <w:b w:val="1"/>
                <w:rtl w:val="0"/>
              </w:rPr>
              <w:t xml:space="preserve">FMGEN2 - Uses Open Free Protocol for Metadata Retrieval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rPr/>
            </w:pPr>
            <w:r w:rsidDel="00000000" w:rsidR="00000000" w:rsidRPr="00000000">
              <w:rPr>
                <w:rtl w:val="0"/>
              </w:rPr>
              <w:t xml:space="preserve">Usar URIs (e.g. keys InChI, DOIs, identificadores e URLs) nos metadados que retornem informações a respeito dos metadados sem a necessidade de protocolos restritivos ou uso de softwares proprietários.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pPr>
            <w:r w:rsidDel="00000000" w:rsidR="00000000" w:rsidRPr="00000000">
              <w:rPr>
                <w:rtl w:val="0"/>
              </w:rPr>
            </w:r>
          </w:p>
        </w:tc>
      </w:tr>
    </w:tbl>
    <w:p w:rsidR="00000000" w:rsidDel="00000000" w:rsidP="00000000" w:rsidRDefault="00000000" w:rsidRPr="00000000" w14:paraId="00000082">
      <w:pPr>
        <w:pStyle w:val="Heading4"/>
        <w:widowControl w:val="0"/>
        <w:spacing w:after="0" w:line="240" w:lineRule="auto"/>
        <w:rPr/>
      </w:pPr>
      <w:bookmarkStart w:colFirst="0" w:colLast="0" w:name="_zfmo7zacszx2" w:id="8"/>
      <w:bookmarkEnd w:id="8"/>
      <w:r w:rsidDel="00000000" w:rsidR="00000000" w:rsidRPr="00000000">
        <w:rPr>
          <w:rtl w:val="0"/>
        </w:rPr>
        <w:t xml:space="preserve">A1.2</w:t>
      </w:r>
    </w:p>
    <w:tbl>
      <w:tblPr>
        <w:tblStyle w:val="Table7"/>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990"/>
        <w:gridCol w:w="3150"/>
        <w:tblGridChange w:id="0">
          <w:tblGrid>
            <w:gridCol w:w="1770"/>
            <w:gridCol w:w="3990"/>
            <w:gridCol w:w="31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84">
            <w:pPr>
              <w:widowControl w:val="0"/>
              <w:spacing w:after="0" w:line="240" w:lineRule="auto"/>
              <w:jc w:val="center"/>
              <w:rPr>
                <w:b w:val="1"/>
              </w:rPr>
            </w:pPr>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b w:val="1"/>
              </w:rPr>
            </w:pPr>
            <w:r w:rsidDel="00000000" w:rsidR="00000000" w:rsidRPr="00000000">
              <w:rPr>
                <w:b w:val="1"/>
                <w:rtl w:val="0"/>
              </w:rPr>
              <w:t xml:space="preserve">References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b w:val="1"/>
              </w:rPr>
            </w:pPr>
            <w:r w:rsidDel="00000000" w:rsidR="00000000" w:rsidRPr="00000000">
              <w:rPr>
                <w:b w:val="1"/>
                <w:rtl w:val="0"/>
              </w:rPr>
              <w:t xml:space="preserve">FAIR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rPr/>
            </w:pPr>
            <w:r w:rsidDel="00000000" w:rsidR="00000000" w:rsidRPr="00000000">
              <w:rPr>
                <w:rtl w:val="0"/>
              </w:rPr>
              <w:t xml:space="preserve">Caso haja a necessidade de restrição dos (meta)dados (e.g. dados sensíveis ligados a saúde) é necessário estabelecer meios para que haja restrição dos (meta)dados por meio de autenticação do usuário por meio do repositório e autorização por meio do detentor do dado ou repositório. É de extrema importância que todo o processo para acesso ao dado seja documentado para o entendimento do usuário o qual necessita utilizar o dado em questão.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b w:val="1"/>
              </w:rPr>
            </w:pPr>
            <w:r w:rsidDel="00000000" w:rsidR="00000000" w:rsidRPr="00000000">
              <w:rPr>
                <w:b w:val="1"/>
                <w:rtl w:val="0"/>
              </w:rPr>
              <w:t xml:space="preserve">FMGEN2 - Data Authentication and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Fornecer meios para que seja possível realizar autenticação e autorização de forma automática para o acesso aos dados ou para que seja identificado que o usuário devem passar por etapas de autenticação e/ou autorização para acesso aos dados (e.g. utilizar tags em linguagens reconhecíveis por máquinas que identificam que há essa necessidade).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b w:val="1"/>
              </w:rPr>
            </w:pPr>
            <w:r w:rsidDel="00000000" w:rsidR="00000000" w:rsidRPr="00000000">
              <w:rPr>
                <w:b w:val="1"/>
                <w:rtl w:val="0"/>
              </w:rPr>
              <w:t xml:space="preserve">FMGEN2 - Metadata Authentication and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pPr>
            <w:r w:rsidDel="00000000" w:rsidR="00000000" w:rsidRPr="00000000">
              <w:rPr>
                <w:rtl w:val="0"/>
              </w:rPr>
              <w:t xml:space="preserve">Deve-se levar em consideração a necessidade de fornecer algum tipo de metadado de livre acesso, com intuito de auxiliar o usuário em ter conhecimento no dado que o mesmo terá acesso, com a finalidade do usuário ter certeza de que é o dado que necessita assim podendo otimizar as funções tanto do lado do usuário quanto do lado do detentor do dado e do repositório. As mesmas recomendações aplicadas ao FMGEN2 - Data Authentication and Authorization se aplicam a essa recomendação.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pPr>
            <w:r w:rsidDel="00000000" w:rsidR="00000000" w:rsidRPr="00000000">
              <w:rPr>
                <w:rtl w:val="0"/>
              </w:rPr>
            </w:r>
          </w:p>
        </w:tc>
      </w:tr>
    </w:tbl>
    <w:p w:rsidR="00000000" w:rsidDel="00000000" w:rsidP="00000000" w:rsidRDefault="00000000" w:rsidRPr="00000000" w14:paraId="0000008F">
      <w:pPr>
        <w:pStyle w:val="Heading4"/>
        <w:widowControl w:val="0"/>
        <w:spacing w:after="0" w:line="240" w:lineRule="auto"/>
        <w:rPr/>
      </w:pPr>
      <w:bookmarkStart w:colFirst="0" w:colLast="0" w:name="_meg8jqjwwuic" w:id="9"/>
      <w:bookmarkEnd w:id="9"/>
      <w:r w:rsidDel="00000000" w:rsidR="00000000" w:rsidRPr="00000000">
        <w:rPr>
          <w:rtl w:val="0"/>
        </w:rPr>
        <w:t xml:space="preserve">A2</w:t>
      </w:r>
    </w:p>
    <w:tbl>
      <w:tblPr>
        <w:tblStyle w:val="Table8"/>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335"/>
        <w:gridCol w:w="3150"/>
        <w:tblGridChange w:id="0">
          <w:tblGrid>
            <w:gridCol w:w="1425"/>
            <w:gridCol w:w="4335"/>
            <w:gridCol w:w="31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91">
            <w:pPr>
              <w:widowControl w:val="0"/>
              <w:spacing w:after="0" w:line="240" w:lineRule="auto"/>
              <w:jc w:val="center"/>
              <w:rPr>
                <w:b w:val="1"/>
              </w:rPr>
            </w:pPr>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b w:val="1"/>
              </w:rPr>
            </w:pPr>
            <w:r w:rsidDel="00000000" w:rsidR="00000000" w:rsidRPr="00000000">
              <w:rPr>
                <w:b w:val="1"/>
                <w:rtl w:val="0"/>
              </w:rPr>
              <w:t xml:space="preserve">References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b w:val="1"/>
              </w:rPr>
            </w:pPr>
            <w:r w:rsidDel="00000000" w:rsidR="00000000" w:rsidRPr="00000000">
              <w:rPr>
                <w:b w:val="1"/>
                <w:rtl w:val="0"/>
              </w:rPr>
              <w:t xml:space="preserve">FAIR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Criação de políticas de versionamentos (</w:t>
            </w:r>
            <w:commentRangeStart w:id="2"/>
            <w:r w:rsidDel="00000000" w:rsidR="00000000" w:rsidRPr="00000000">
              <w:rPr>
                <w:rtl w:val="0"/>
              </w:rPr>
              <w:t xml:space="preserve">citar algumas existentes</w:t>
            </w:r>
            <w:commentRangeEnd w:id="2"/>
            <w:r w:rsidDel="00000000" w:rsidR="00000000" w:rsidRPr="00000000">
              <w:commentReference w:id="2"/>
            </w:r>
            <w:r w:rsidDel="00000000" w:rsidR="00000000" w:rsidRPr="00000000">
              <w:rPr>
                <w:rtl w:val="0"/>
              </w:rPr>
              <w:t xml:space="preserve">), utilização de identificadores globalmente únicos e persistentes com o armazenamento de versões antigas do metadados (fracas - as mais básicas, fortes - mais completas).</w:t>
            </w:r>
          </w:p>
          <w:p w:rsidR="00000000" w:rsidDel="00000000" w:rsidP="00000000" w:rsidRDefault="00000000" w:rsidRPr="00000000" w14:paraId="00000095">
            <w:pPr>
              <w:widowControl w:val="0"/>
              <w:spacing w:after="0" w:line="240" w:lineRule="auto"/>
              <w:rPr/>
            </w:pPr>
            <w:r w:rsidDel="00000000" w:rsidR="00000000" w:rsidRPr="00000000">
              <w:rPr>
                <w:rtl w:val="0"/>
              </w:rPr>
              <w:t xml:space="preserve">Metadados no tipo texto, link para o dado mais atualizado, metadados sobre o detentor do dado, link para repositório de versionamento contendo metadados antigos, são exemplo de melhoria.</w:t>
            </w:r>
          </w:p>
          <w:p w:rsidR="00000000" w:rsidDel="00000000" w:rsidP="00000000" w:rsidRDefault="00000000" w:rsidRPr="00000000" w14:paraId="00000096">
            <w:pPr>
              <w:widowControl w:val="0"/>
              <w:spacing w:after="0" w:line="240" w:lineRule="auto"/>
              <w:rPr/>
            </w:pPr>
            <w:r w:rsidDel="00000000" w:rsidR="00000000" w:rsidRPr="00000000">
              <w:rPr>
                <w:rtl w:val="0"/>
              </w:rPr>
              <w:t xml:space="preserve">Resolução de possíveis URIs anteriores aos (meta)dados para que o usuário não seja levado a erros no acesso (resolução para o retorno ao URI mais novo).</w:t>
            </w:r>
          </w:p>
          <w:p w:rsidR="00000000" w:rsidDel="00000000" w:rsidP="00000000" w:rsidRDefault="00000000" w:rsidRPr="00000000" w14:paraId="00000097">
            <w:pPr>
              <w:widowControl w:val="0"/>
              <w:spacing w:after="0" w:line="240" w:lineRule="auto"/>
              <w:rPr/>
            </w:pPr>
            <w:r w:rsidDel="00000000" w:rsidR="00000000" w:rsidRPr="00000000">
              <w:rPr>
                <w:rtl w:val="0"/>
              </w:rPr>
              <w:t xml:space="preserve">Ter atenção a este princípio principalmente por conta do F4 onde o URI antigo pode estar indexado com maior valor que o URI novo.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b w:val="1"/>
              </w:rPr>
            </w:pPr>
            <w:r w:rsidDel="00000000" w:rsidR="00000000" w:rsidRPr="00000000">
              <w:rPr>
                <w:b w:val="1"/>
                <w:rtl w:val="0"/>
              </w:rPr>
              <w:t xml:space="preserve">FMGEN2 - Metadata Persistence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Utilização de políticas de persistência e versionamento são essenciais para não gerar problemas ao (meta)dado (e.g. inconsistência), ao usar políticas neste nível é necessário que as mesmas sejam vistas por máquinas, para assim auxiliar no entendimento de onde encontrar o (meta)dado mais novo caso sejam acessadas versões antigas, ou que o mesmo não está mais disponível.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pPr>
            <w:r w:rsidDel="00000000" w:rsidR="00000000" w:rsidRPr="00000000">
              <w:rPr>
                <w:rtl w:val="0"/>
              </w:rPr>
            </w:r>
          </w:p>
        </w:tc>
      </w:tr>
    </w:tbl>
    <w:p w:rsidR="00000000" w:rsidDel="00000000" w:rsidP="00000000" w:rsidRDefault="00000000" w:rsidRPr="00000000" w14:paraId="0000009C">
      <w:pPr>
        <w:pStyle w:val="Heading2"/>
        <w:rPr/>
      </w:pPr>
      <w:bookmarkStart w:colFirst="0" w:colLast="0" w:name="_hewkyvhrw0ep" w:id="10"/>
      <w:bookmarkEnd w:id="10"/>
      <w:r w:rsidDel="00000000" w:rsidR="00000000" w:rsidRPr="00000000">
        <w:rPr>
          <w:rtl w:val="0"/>
        </w:rPr>
        <w:t xml:space="preserve">Interoperable</w:t>
      </w:r>
    </w:p>
    <w:p w:rsidR="00000000" w:rsidDel="00000000" w:rsidP="00000000" w:rsidRDefault="00000000" w:rsidRPr="00000000" w14:paraId="0000009D">
      <w:pPr>
        <w:pStyle w:val="Heading4"/>
        <w:widowControl w:val="0"/>
        <w:spacing w:after="0" w:line="240" w:lineRule="auto"/>
        <w:rPr/>
      </w:pPr>
      <w:bookmarkStart w:colFirst="0" w:colLast="0" w:name="_z06d5mncbs5b" w:id="11"/>
      <w:bookmarkEnd w:id="11"/>
      <w:r w:rsidDel="00000000" w:rsidR="00000000" w:rsidRPr="00000000">
        <w:rPr>
          <w:rtl w:val="0"/>
        </w:rPr>
        <w:t xml:space="preserve">I1</w:t>
      </w:r>
    </w:p>
    <w:tbl>
      <w:tblPr>
        <w:tblStyle w:val="Table9"/>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260"/>
        <w:gridCol w:w="3150"/>
        <w:tblGridChange w:id="0">
          <w:tblGrid>
            <w:gridCol w:w="1500"/>
            <w:gridCol w:w="4260"/>
            <w:gridCol w:w="31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9F">
            <w:pPr>
              <w:widowControl w:val="0"/>
              <w:spacing w:after="0" w:line="240" w:lineRule="auto"/>
              <w:jc w:val="center"/>
              <w:rPr>
                <w:b w:val="1"/>
              </w:rPr>
            </w:pPr>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center"/>
              <w:rPr>
                <w:b w:val="1"/>
              </w:rPr>
            </w:pPr>
            <w:r w:rsidDel="00000000" w:rsidR="00000000" w:rsidRPr="00000000">
              <w:rPr>
                <w:b w:val="1"/>
                <w:rtl w:val="0"/>
              </w:rPr>
              <w:t xml:space="preserve">References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b w:val="1"/>
              </w:rPr>
            </w:pPr>
            <w:r w:rsidDel="00000000" w:rsidR="00000000" w:rsidRPr="00000000">
              <w:rPr>
                <w:b w:val="1"/>
                <w:rtl w:val="0"/>
              </w:rPr>
              <w:t xml:space="preserve">FAIR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Prover meios para que os (meta)dados sejam detalhados ao máximo no que tange a utilização de linguagens de representação do conhecimento (e.g. RDF, OWL, DAML-OIL, JSON LD, são exemplos altamente utilizados) e utilização de tesauros, ontologias, vocabulários controlados, onde os mesmos atendam ao requisito F1. O atendimento a essas recomendações auxilia no aumento da interoperabilidade entre diferentes (meta)dados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b w:val="1"/>
              </w:rPr>
            </w:pPr>
            <w:r w:rsidDel="00000000" w:rsidR="00000000" w:rsidRPr="00000000">
              <w:rPr>
                <w:b w:val="1"/>
                <w:rtl w:val="0"/>
              </w:rPr>
              <w:t xml:space="preserve">FMGEN2 - Metadata Knowledge Representation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rPr/>
            </w:pPr>
            <w:r w:rsidDel="00000000" w:rsidR="00000000" w:rsidRPr="00000000">
              <w:rPr>
                <w:rtl w:val="0"/>
              </w:rPr>
              <w:t xml:space="preserve">Utilização de linguagens de representação do conhecimento e fundamentar (meta)dados baseado em ontologias, thesauros, dicionários controlados onde os mesmos atendem aos princípios FAIR.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rPr/>
            </w:pPr>
            <w:r w:rsidDel="00000000" w:rsidR="00000000" w:rsidRPr="00000000">
              <w:rPr>
                <w:rtl w:val="0"/>
              </w:rPr>
            </w:r>
          </w:p>
        </w:tc>
      </w:tr>
    </w:tbl>
    <w:p w:rsidR="00000000" w:rsidDel="00000000" w:rsidP="00000000" w:rsidRDefault="00000000" w:rsidRPr="00000000" w14:paraId="000000A7">
      <w:pPr>
        <w:pStyle w:val="Heading4"/>
        <w:widowControl w:val="0"/>
        <w:spacing w:after="0" w:line="240" w:lineRule="auto"/>
        <w:rPr/>
      </w:pPr>
      <w:bookmarkStart w:colFirst="0" w:colLast="0" w:name="_yrse2qb2653b" w:id="12"/>
      <w:bookmarkEnd w:id="12"/>
      <w:r w:rsidDel="00000000" w:rsidR="00000000" w:rsidRPr="00000000">
        <w:rPr>
          <w:rtl w:val="0"/>
        </w:rPr>
        <w:t xml:space="preserve">I2</w:t>
      </w:r>
    </w:p>
    <w:tbl>
      <w:tblPr>
        <w:tblStyle w:val="Table10"/>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4200"/>
        <w:gridCol w:w="3150"/>
        <w:tblGridChange w:id="0">
          <w:tblGrid>
            <w:gridCol w:w="1560"/>
            <w:gridCol w:w="4200"/>
            <w:gridCol w:w="31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A9">
            <w:pPr>
              <w:widowControl w:val="0"/>
              <w:spacing w:after="0" w:line="240" w:lineRule="auto"/>
              <w:jc w:val="center"/>
              <w:rPr>
                <w:b w:val="1"/>
              </w:rPr>
            </w:pPr>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center"/>
              <w:rPr>
                <w:b w:val="1"/>
              </w:rPr>
            </w:pPr>
            <w:r w:rsidDel="00000000" w:rsidR="00000000" w:rsidRPr="00000000">
              <w:rPr>
                <w:b w:val="1"/>
                <w:rtl w:val="0"/>
              </w:rPr>
              <w:t xml:space="preserve">References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b w:val="1"/>
              </w:rPr>
            </w:pPr>
            <w:r w:rsidDel="00000000" w:rsidR="00000000" w:rsidRPr="00000000">
              <w:rPr>
                <w:b w:val="1"/>
                <w:rtl w:val="0"/>
              </w:rPr>
              <w:t xml:space="preserve">FAIR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Essa recomendação é atendida a partir da adaptação ou desenvolvimento de vocabulários utilizados pelos repositórios aos princípios FAIR, a padronização pode se dar por meio da adoção do FAIRification Process e adoção do FAIR Data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b w:val="1"/>
              </w:rPr>
            </w:pPr>
            <w:r w:rsidDel="00000000" w:rsidR="00000000" w:rsidRPr="00000000">
              <w:rPr>
                <w:b w:val="1"/>
                <w:rtl w:val="0"/>
              </w:rPr>
              <w:t xml:space="preserve">FMGEN2 - Metadata Uses Fair Vocabularies</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Essa recomendação é atendida a partir da adaptação ou desenvolvimento de vocabulários utilizados pelos repositórios aos princípios FAIR, a padronização pode se dar por meio da adoção do FAIRification Process e adoção do FAIR Data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rPr/>
            </w:pPr>
            <w:r w:rsidDel="00000000" w:rsidR="00000000" w:rsidRPr="00000000">
              <w:rPr>
                <w:rtl w:val="0"/>
              </w:rPr>
            </w:r>
          </w:p>
        </w:tc>
      </w:tr>
    </w:tbl>
    <w:p w:rsidR="00000000" w:rsidDel="00000000" w:rsidP="00000000" w:rsidRDefault="00000000" w:rsidRPr="00000000" w14:paraId="000000B1">
      <w:pPr>
        <w:pStyle w:val="Heading4"/>
        <w:widowControl w:val="0"/>
        <w:spacing w:after="0" w:line="240" w:lineRule="auto"/>
        <w:rPr/>
      </w:pPr>
      <w:bookmarkStart w:colFirst="0" w:colLast="0" w:name="_ue3rxugyw7ph" w:id="13"/>
      <w:bookmarkEnd w:id="13"/>
      <w:r w:rsidDel="00000000" w:rsidR="00000000" w:rsidRPr="00000000">
        <w:rPr>
          <w:rtl w:val="0"/>
        </w:rPr>
        <w:t xml:space="preserve">I3</w:t>
      </w:r>
    </w:p>
    <w:tbl>
      <w:tblPr>
        <w:tblStyle w:val="Table11"/>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3195"/>
        <w:gridCol w:w="3150"/>
        <w:tblGridChange w:id="0">
          <w:tblGrid>
            <w:gridCol w:w="2565"/>
            <w:gridCol w:w="3195"/>
            <w:gridCol w:w="31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B3">
            <w:pPr>
              <w:widowControl w:val="0"/>
              <w:spacing w:after="0" w:line="240" w:lineRule="auto"/>
              <w:jc w:val="center"/>
              <w:rPr>
                <w:b w:val="1"/>
              </w:rPr>
            </w:pPr>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b w:val="1"/>
              </w:rPr>
            </w:pPr>
            <w:r w:rsidDel="00000000" w:rsidR="00000000" w:rsidRPr="00000000">
              <w:rPr>
                <w:b w:val="1"/>
                <w:rtl w:val="0"/>
              </w:rPr>
              <w:t xml:space="preserve">References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b w:val="1"/>
              </w:rPr>
            </w:pPr>
            <w:r w:rsidDel="00000000" w:rsidR="00000000" w:rsidRPr="00000000">
              <w:rPr>
                <w:b w:val="1"/>
                <w:rtl w:val="0"/>
              </w:rPr>
              <w:t xml:space="preserve">FAIR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line="240" w:lineRule="auto"/>
              <w:rPr/>
            </w:pPr>
            <w:r w:rsidDel="00000000" w:rsidR="00000000" w:rsidRPr="00000000">
              <w:rPr>
                <w:rtl w:val="0"/>
              </w:rPr>
              <w:t xml:space="preserve">Referências qualificadas são atingidas a partir da utilização de linguagens de representação do conhecimento e utilização de identificadores globalmente únicos e persistentes, sendo assim baseando em padronizações para obter grounded (meta)data e consequentemente qualificações entre as possíveis relações entre os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b w:val="1"/>
              </w:rPr>
            </w:pPr>
            <w:r w:rsidDel="00000000" w:rsidR="00000000" w:rsidRPr="00000000">
              <w:rPr>
                <w:b w:val="1"/>
                <w:rtl w:val="0"/>
              </w:rPr>
              <w:t xml:space="preserve">FMGEN2 - Metadata Contains Qualified Outward 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Utilização de URIs externos em linguagens de representação do conhecimento com tags de qualificação.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line="240" w:lineRule="auto"/>
              <w:rPr/>
            </w:pPr>
            <w:r w:rsidDel="00000000" w:rsidR="00000000" w:rsidRPr="00000000">
              <w:rPr>
                <w:rtl w:val="0"/>
              </w:rPr>
            </w:r>
          </w:p>
        </w:tc>
      </w:tr>
    </w:tbl>
    <w:p w:rsidR="00000000" w:rsidDel="00000000" w:rsidP="00000000" w:rsidRDefault="00000000" w:rsidRPr="00000000" w14:paraId="000000BB">
      <w:pPr>
        <w:pStyle w:val="Heading2"/>
        <w:rPr/>
      </w:pPr>
      <w:bookmarkStart w:colFirst="0" w:colLast="0" w:name="_x1eboi76li7q" w:id="14"/>
      <w:bookmarkEnd w:id="14"/>
      <w:r w:rsidDel="00000000" w:rsidR="00000000" w:rsidRPr="00000000">
        <w:rPr>
          <w:rtl w:val="0"/>
        </w:rPr>
        <w:t xml:space="preserve">Reusable</w:t>
      </w:r>
    </w:p>
    <w:p w:rsidR="00000000" w:rsidDel="00000000" w:rsidP="00000000" w:rsidRDefault="00000000" w:rsidRPr="00000000" w14:paraId="000000BC">
      <w:pPr>
        <w:pStyle w:val="Heading4"/>
        <w:widowControl w:val="0"/>
        <w:spacing w:after="0" w:line="240" w:lineRule="auto"/>
        <w:rPr/>
      </w:pPr>
      <w:bookmarkStart w:colFirst="0" w:colLast="0" w:name="_j4boynwrrt7d" w:id="15"/>
      <w:bookmarkEnd w:id="15"/>
      <w:r w:rsidDel="00000000" w:rsidR="00000000" w:rsidRPr="00000000">
        <w:rPr>
          <w:rtl w:val="0"/>
        </w:rPr>
        <w:t xml:space="preserve">R1</w:t>
      </w:r>
    </w:p>
    <w:tbl>
      <w:tblPr>
        <w:tblStyle w:val="Table12"/>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3195"/>
        <w:gridCol w:w="3150"/>
        <w:tblGridChange w:id="0">
          <w:tblGrid>
            <w:gridCol w:w="2565"/>
            <w:gridCol w:w="3195"/>
            <w:gridCol w:w="31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BE">
            <w:pPr>
              <w:widowControl w:val="0"/>
              <w:spacing w:after="0" w:line="240" w:lineRule="auto"/>
              <w:jc w:val="center"/>
              <w:rPr>
                <w:b w:val="1"/>
              </w:rPr>
            </w:pPr>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b w:val="1"/>
              </w:rPr>
            </w:pPr>
            <w:r w:rsidDel="00000000" w:rsidR="00000000" w:rsidRPr="00000000">
              <w:rPr>
                <w:b w:val="1"/>
                <w:rtl w:val="0"/>
              </w:rPr>
              <w:t xml:space="preserve">References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b w:val="1"/>
              </w:rPr>
            </w:pPr>
            <w:r w:rsidDel="00000000" w:rsidR="00000000" w:rsidRPr="00000000">
              <w:rPr>
                <w:b w:val="1"/>
                <w:rtl w:val="0"/>
              </w:rPr>
              <w:t xml:space="preserve">FAIR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rPr/>
            </w:pPr>
            <w:r w:rsidDel="00000000" w:rsidR="00000000" w:rsidRPr="00000000">
              <w:rPr>
                <w:rtl w:val="0"/>
              </w:rPr>
              <w:t xml:space="preserve">Completude dos (meta)dados facilitam o seu reuso. Quanto mais diversificação de (meta)dados melhor para seu reuso. (Meta)dados envolvendo o captura, análise, refinamento, instruções de uso, processamento, softwares e hardwares utilizados são essenciais para o entendimento dos dados armazenados. Essencial haver discussões entre as partes interessadas sobre quais (meta)dados devem ser essenciais para que o dado seja publicado/armazenado.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line="240" w:lineRule="auto"/>
              <w:rPr/>
            </w:pPr>
            <w:r w:rsidDel="00000000" w:rsidR="00000000" w:rsidRPr="00000000">
              <w:rPr>
                <w:rtl w:val="0"/>
              </w:rPr>
            </w:r>
          </w:p>
        </w:tc>
      </w:tr>
    </w:tbl>
    <w:p w:rsidR="00000000" w:rsidDel="00000000" w:rsidP="00000000" w:rsidRDefault="00000000" w:rsidRPr="00000000" w14:paraId="000000C3">
      <w:pPr>
        <w:pStyle w:val="Heading4"/>
        <w:widowControl w:val="0"/>
        <w:spacing w:after="0" w:line="240" w:lineRule="auto"/>
        <w:rPr/>
      </w:pPr>
      <w:bookmarkStart w:colFirst="0" w:colLast="0" w:name="_lssaq0sj4l3i" w:id="16"/>
      <w:bookmarkEnd w:id="16"/>
      <w:r w:rsidDel="00000000" w:rsidR="00000000" w:rsidRPr="00000000">
        <w:rPr>
          <w:rtl w:val="0"/>
        </w:rPr>
        <w:t xml:space="preserve">R1.1</w:t>
      </w:r>
    </w:p>
    <w:tbl>
      <w:tblPr>
        <w:tblStyle w:val="Table13"/>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3195"/>
        <w:gridCol w:w="3150"/>
        <w:tblGridChange w:id="0">
          <w:tblGrid>
            <w:gridCol w:w="2565"/>
            <w:gridCol w:w="3195"/>
            <w:gridCol w:w="31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C5">
            <w:pPr>
              <w:widowControl w:val="0"/>
              <w:spacing w:after="0" w:line="240" w:lineRule="auto"/>
              <w:jc w:val="center"/>
              <w:rPr>
                <w:b w:val="1"/>
              </w:rPr>
            </w:pPr>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center"/>
              <w:rPr>
                <w:b w:val="1"/>
              </w:rPr>
            </w:pPr>
            <w:r w:rsidDel="00000000" w:rsidR="00000000" w:rsidRPr="00000000">
              <w:rPr>
                <w:b w:val="1"/>
                <w:rtl w:val="0"/>
              </w:rPr>
              <w:t xml:space="preserve">References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b w:val="1"/>
              </w:rPr>
            </w:pPr>
            <w:r w:rsidDel="00000000" w:rsidR="00000000" w:rsidRPr="00000000">
              <w:rPr>
                <w:b w:val="1"/>
                <w:rtl w:val="0"/>
              </w:rPr>
              <w:t xml:space="preserve">FAIR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Usar e abusar em licenças de uso bem fundamentadas (e.g. Creative Commons Licenses) para determinar as responsabilidades dos reutilizadores de (meta)dados, principalmente para dados sensíveis/restritos. Caso os (meta)dados sejam de livre acesso os mesmos devem estar baseados em licenças de uso livre.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line="240" w:lineRule="auto"/>
              <w:rPr/>
            </w:pPr>
            <w:r w:rsidDel="00000000" w:rsidR="00000000" w:rsidRPr="00000000">
              <w:rPr>
                <w:rtl w:val="0"/>
              </w:rPr>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b w:val="1"/>
              </w:rPr>
            </w:pPr>
            <w:r w:rsidDel="00000000" w:rsidR="00000000" w:rsidRPr="00000000">
              <w:rPr>
                <w:b w:val="1"/>
                <w:rtl w:val="0"/>
              </w:rPr>
              <w:t xml:space="preserve">FMGEN2 - Metadata Includes License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line="240" w:lineRule="auto"/>
              <w:rPr/>
            </w:pPr>
            <w:r w:rsidDel="00000000" w:rsidR="00000000" w:rsidRPr="00000000">
              <w:rPr>
                <w:rtl w:val="0"/>
              </w:rPr>
              <w:t xml:space="preserve">Necessário incluir nos registros meios para que seja possível identificar as licenças de uso. Utilização de licença xhtml, dvia, dcterms, cc, data.gov.au e Schema nos linked data são exemplos para atender esta 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240" w:lineRule="auto"/>
              <w:rPr/>
            </w:pPr>
            <w:r w:rsidDel="00000000" w:rsidR="00000000" w:rsidRPr="00000000">
              <w:rPr>
                <w:rtl w:val="0"/>
              </w:rPr>
            </w:r>
          </w:p>
        </w:tc>
      </w:tr>
    </w:tbl>
    <w:p w:rsidR="00000000" w:rsidDel="00000000" w:rsidP="00000000" w:rsidRDefault="00000000" w:rsidRPr="00000000" w14:paraId="000000CD">
      <w:pPr>
        <w:pStyle w:val="Heading4"/>
        <w:widowControl w:val="0"/>
        <w:spacing w:after="0" w:line="240" w:lineRule="auto"/>
        <w:rPr/>
      </w:pPr>
      <w:bookmarkStart w:colFirst="0" w:colLast="0" w:name="_jk1nrvbuy33z" w:id="17"/>
      <w:bookmarkEnd w:id="17"/>
      <w:r w:rsidDel="00000000" w:rsidR="00000000" w:rsidRPr="00000000">
        <w:rPr>
          <w:rtl w:val="0"/>
        </w:rPr>
        <w:t xml:space="preserve">R1.2</w:t>
      </w:r>
    </w:p>
    <w:tbl>
      <w:tblPr>
        <w:tblStyle w:val="Table14"/>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3195"/>
        <w:gridCol w:w="3150"/>
        <w:tblGridChange w:id="0">
          <w:tblGrid>
            <w:gridCol w:w="2565"/>
            <w:gridCol w:w="3195"/>
            <w:gridCol w:w="31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CF">
            <w:pPr>
              <w:widowControl w:val="0"/>
              <w:spacing w:after="0" w:line="240" w:lineRule="auto"/>
              <w:jc w:val="center"/>
              <w:rPr>
                <w:b w:val="1"/>
              </w:rPr>
            </w:pPr>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center"/>
              <w:rPr>
                <w:b w:val="1"/>
              </w:rPr>
            </w:pPr>
            <w:r w:rsidDel="00000000" w:rsidR="00000000" w:rsidRPr="00000000">
              <w:rPr>
                <w:b w:val="1"/>
                <w:rtl w:val="0"/>
              </w:rPr>
              <w:t xml:space="preserve">References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b w:val="1"/>
              </w:rPr>
            </w:pPr>
            <w:r w:rsidDel="00000000" w:rsidR="00000000" w:rsidRPr="00000000">
              <w:rPr>
                <w:b w:val="1"/>
                <w:rtl w:val="0"/>
              </w:rPr>
              <w:t xml:space="preserve">FAIR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Utilização de proveniência tanto prospectiva quanto retrospectiva com foco na documentação do ciclo de vida de objetos digitais, utilização de modelos de proveniência já fundamentados para extrair quais dados são essenciais para o reutilizador, há sistemas de proveniência que facilitam ao atendimento desta recomendação.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rPr/>
            </w:pPr>
            <w:r w:rsidDel="00000000" w:rsidR="00000000" w:rsidRPr="00000000">
              <w:rPr>
                <w:rtl w:val="0"/>
              </w:rPr>
            </w:r>
          </w:p>
        </w:tc>
      </w:tr>
    </w:tbl>
    <w:p w:rsidR="00000000" w:rsidDel="00000000" w:rsidP="00000000" w:rsidRDefault="00000000" w:rsidRPr="00000000" w14:paraId="000000D4">
      <w:pPr>
        <w:pStyle w:val="Heading4"/>
        <w:widowControl w:val="0"/>
        <w:spacing w:after="0" w:line="240" w:lineRule="auto"/>
        <w:rPr/>
      </w:pPr>
      <w:bookmarkStart w:colFirst="0" w:colLast="0" w:name="_edw7xqsra3yi" w:id="18"/>
      <w:bookmarkEnd w:id="18"/>
      <w:r w:rsidDel="00000000" w:rsidR="00000000" w:rsidRPr="00000000">
        <w:rPr>
          <w:rtl w:val="0"/>
        </w:rPr>
        <w:t xml:space="preserve">R1.3</w:t>
      </w:r>
    </w:p>
    <w:tbl>
      <w:tblPr>
        <w:tblStyle w:val="Table15"/>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3195"/>
        <w:gridCol w:w="3150"/>
        <w:tblGridChange w:id="0">
          <w:tblGrid>
            <w:gridCol w:w="2565"/>
            <w:gridCol w:w="3195"/>
            <w:gridCol w:w="315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D6">
            <w:pPr>
              <w:widowControl w:val="0"/>
              <w:spacing w:after="0" w:line="240" w:lineRule="auto"/>
              <w:jc w:val="center"/>
              <w:rPr>
                <w:b w:val="1"/>
              </w:rPr>
            </w:pPr>
            <w:r w:rsidDel="00000000" w:rsidR="00000000" w:rsidRPr="00000000">
              <w:rPr>
                <w:b w:val="1"/>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center"/>
              <w:rPr>
                <w:b w:val="1"/>
              </w:rPr>
            </w:pPr>
            <w:r w:rsidDel="00000000" w:rsidR="00000000" w:rsidRPr="00000000">
              <w:rPr>
                <w:b w:val="1"/>
                <w:rtl w:val="0"/>
              </w:rPr>
              <w:t xml:space="preserve">References</w:t>
            </w:r>
          </w:p>
        </w:tc>
      </w:tr>
      <w:tr>
        <w:trPr>
          <w:trHeight w:val="4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b w:val="1"/>
              </w:rPr>
            </w:pPr>
            <w:r w:rsidDel="00000000" w:rsidR="00000000" w:rsidRPr="00000000">
              <w:rPr>
                <w:b w:val="1"/>
                <w:rtl w:val="0"/>
              </w:rPr>
              <w:t xml:space="preserve">FAIR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rPr/>
            </w:pPr>
            <w:r w:rsidDel="00000000" w:rsidR="00000000" w:rsidRPr="00000000">
              <w:rPr>
                <w:rtl w:val="0"/>
              </w:rPr>
              <w:t xml:space="preserve">Aceitação por parte de padronização de comunidades relevantes (</w:t>
            </w:r>
            <w:commentRangeStart w:id="3"/>
            <w:r w:rsidDel="00000000" w:rsidR="00000000" w:rsidRPr="00000000">
              <w:rPr>
                <w:rtl w:val="0"/>
              </w:rPr>
              <w:t xml:space="preserve">citar algumas comunidades gerais</w:t>
            </w:r>
            <w:commentRangeEnd w:id="3"/>
            <w:r w:rsidDel="00000000" w:rsidR="00000000" w:rsidRPr="00000000">
              <w:commentReference w:id="3"/>
            </w:r>
            <w:r w:rsidDel="00000000" w:rsidR="00000000" w:rsidRPr="00000000">
              <w:rPr>
                <w:rtl w:val="0"/>
              </w:rPr>
              <w:t xml:space="preserve">) ao tema do (meta)dado acaba por agregar diversos benefícios ao próprio (meta)dado e ao repositório. Necessário pesquisar quais padronizações existentes ao tema, e, possivelmente, implementar ao controle de dados a serem inseridos pelos detentores dos (meta)dados.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rPr/>
            </w:pPr>
            <w:r w:rsidDel="00000000" w:rsidR="00000000" w:rsidRPr="00000000">
              <w:rPr>
                <w:rtl w:val="0"/>
              </w:rPr>
            </w:r>
          </w:p>
        </w:tc>
      </w:tr>
    </w:tbl>
    <w:p w:rsidR="00000000" w:rsidDel="00000000" w:rsidP="00000000" w:rsidRDefault="00000000" w:rsidRPr="00000000" w14:paraId="000000DB">
      <w:pPr>
        <w:pStyle w:val="Heading4"/>
        <w:widowControl w:val="0"/>
        <w:spacing w:after="0" w:line="240" w:lineRule="auto"/>
        <w:rPr/>
      </w:pPr>
      <w:bookmarkStart w:colFirst="0" w:colLast="0" w:name="_jx0tlrcw717z" w:id="19"/>
      <w:bookmarkEnd w:id="19"/>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Title"/>
        <w:ind w:left="0" w:firstLine="0"/>
        <w:rPr/>
      </w:pPr>
      <w:bookmarkStart w:colFirst="0" w:colLast="0" w:name="_w4m5vwtp0bul" w:id="20"/>
      <w:bookmarkEnd w:id="20"/>
      <w:r w:rsidDel="00000000" w:rsidR="00000000" w:rsidRPr="00000000">
        <w:rPr>
          <w:rtl w:val="0"/>
        </w:rPr>
      </w:r>
    </w:p>
    <w:sectPr>
      <w:pgSz w:h="15840" w:w="12240"/>
      <w:pgMar w:bottom="630" w:top="117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heus Puime" w:id="3" w:date="2020-06-25T05:14:53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aqui</w:t>
      </w:r>
    </w:p>
  </w:comment>
  <w:comment w:author="Matheus Puime" w:id="1" w:date="2020-06-25T02:34:43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com anotações feitas no Coursera John Hopkins</w:t>
      </w:r>
    </w:p>
  </w:comment>
  <w:comment w:author="Matheus Puime" w:id="2" w:date="2020-06-25T03:27:40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itens!</w:t>
      </w:r>
    </w:p>
  </w:comment>
  <w:comment w:author="Matheus Puime" w:id="0" w:date="2020-06-24T03:08:30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mais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before="240" w:line="360" w:lineRule="auto"/>
      <w:ind w:left="720" w:hanging="360"/>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abs/pii/S1574954116300140" TargetMode="External"/><Relationship Id="rId22" Type="http://schemas.openxmlformats.org/officeDocument/2006/relationships/hyperlink" Target="https://www.sciencedirect.com/science/article/abs/pii/S0167739X18314638" TargetMode="External"/><Relationship Id="rId21" Type="http://schemas.openxmlformats.org/officeDocument/2006/relationships/hyperlink" Target="https://www.sciencedirect.com/science/article/pii/S1368837519303021" TargetMode="External"/><Relationship Id="rId24" Type="http://schemas.openxmlformats.org/officeDocument/2006/relationships/hyperlink" Target="https://www.sciencedirect.com/science/article/pii/S1567422311000251" TargetMode="External"/><Relationship Id="rId23" Type="http://schemas.openxmlformats.org/officeDocument/2006/relationships/hyperlink" Target="https://journals.plos.org/plosbiology/article?id=10.1371/journal.pbio.200141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ciencedirect.com/science/article/pii/S2666389920300040" TargetMode="External"/><Relationship Id="rId26" Type="http://schemas.openxmlformats.org/officeDocument/2006/relationships/hyperlink" Target="https://www.sciencedirect.com/science/article/pii/S1368837519303021" TargetMode="External"/><Relationship Id="rId25" Type="http://schemas.openxmlformats.org/officeDocument/2006/relationships/hyperlink" Target="https://www.sciencedirect.com/science/article/abs/pii/S1574954116300140" TargetMode="External"/><Relationship Id="rId28" Type="http://schemas.openxmlformats.org/officeDocument/2006/relationships/hyperlink" Target="https://www.go-fair.org/fair-principles/f2-data-described-rich-metadata/" TargetMode="External"/><Relationship Id="rId27" Type="http://schemas.openxmlformats.org/officeDocument/2006/relationships/hyperlink" Target="https://www.sciencedirect.com/science/article/abs/pii/S0167739X18314638"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theodi.org/knowledge-opinion/guides/" TargetMode="External"/><Relationship Id="rId7" Type="http://schemas.openxmlformats.org/officeDocument/2006/relationships/hyperlink" Target="https://www.go-fair.org/fair-principles/f1-meta-data-assigned-globally-unique-persistent-identifiers/" TargetMode="External"/><Relationship Id="rId8" Type="http://schemas.openxmlformats.org/officeDocument/2006/relationships/hyperlink" Target="https://journals.plos.org/plosbiology/article?id=10.1371/journal.pbio.2001414" TargetMode="External"/><Relationship Id="rId31" Type="http://schemas.openxmlformats.org/officeDocument/2006/relationships/hyperlink" Target="https://www.dtls.nl/fair-data/find-fair-data-tools/" TargetMode="External"/><Relationship Id="rId30" Type="http://schemas.openxmlformats.org/officeDocument/2006/relationships/hyperlink" Target="https://isa-tools.org/" TargetMode="External"/><Relationship Id="rId11" Type="http://schemas.openxmlformats.org/officeDocument/2006/relationships/hyperlink" Target="https://www.w3.org/Addressing/URL/uri-spec.html" TargetMode="External"/><Relationship Id="rId10" Type="http://schemas.openxmlformats.org/officeDocument/2006/relationships/hyperlink" Target="https://www.sciencedirect.com/science/article/pii/S1567422311000251" TargetMode="External"/><Relationship Id="rId32" Type="http://schemas.openxmlformats.org/officeDocument/2006/relationships/hyperlink" Target="https://books.google.com.br/books?id=oY1lAgAAQBAJ&amp;pg=PT43&amp;lpg=PT43&amp;dq=grounded+rdf&amp;source=bl&amp;ots=6TMIKsE9_0&amp;sig=ACfU3U1auvNc_TNB1jh78KvbxH9QYkyCWQ&amp;hl=pt-BR&amp;sa=X&amp;ved=2ahUKEwilyLiAr5nqAhVIDrkGHTGzBY0Q6AEwAHoECAYQAQ#v=onepage&amp;q=grounded%20rdf&amp;f=false" TargetMode="External"/><Relationship Id="rId13" Type="http://schemas.openxmlformats.org/officeDocument/2006/relationships/hyperlink" Target="https://whatis.techtarget.com/definition/URI-Uniform-Resource-Identifier" TargetMode="External"/><Relationship Id="rId12" Type="http://schemas.openxmlformats.org/officeDocument/2006/relationships/hyperlink" Target="https://www.ietf.org/rfc/rfc3986.txt" TargetMode="External"/><Relationship Id="rId15" Type="http://schemas.openxmlformats.org/officeDocument/2006/relationships/hyperlink" Target="https://www.w3.org/TR/2010/NOTE-curie-20101216/" TargetMode="External"/><Relationship Id="rId14" Type="http://schemas.openxmlformats.org/officeDocument/2006/relationships/hyperlink" Target="https://link.springer.com/referenceworkentry/10.1007%2F978-1-4419-9863-7_1572" TargetMode="External"/><Relationship Id="rId17" Type="http://schemas.openxmlformats.org/officeDocument/2006/relationships/hyperlink" Target="https://www.crossref.org/blog/curies-a-cure-for-uris/" TargetMode="External"/><Relationship Id="rId16" Type="http://schemas.openxmlformats.org/officeDocument/2006/relationships/hyperlink" Target="https://www.crossref.org/blog/curies-a-cure-for-uris/" TargetMode="External"/><Relationship Id="rId19" Type="http://schemas.openxmlformats.org/officeDocument/2006/relationships/hyperlink" Target="https://www.sciencedirect.com/science/article/pii/S1567422311000251" TargetMode="External"/><Relationship Id="rId18" Type="http://schemas.openxmlformats.org/officeDocument/2006/relationships/hyperlink" Target="https://journals.plos.org/plosbiology/article?id=10.1371/journal.pbio.2001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