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9FAFC" w14:textId="77777777" w:rsidR="00EB2DCE" w:rsidRDefault="00BD084C">
      <w:r>
        <w:t>Key Recommendations to improve FAIR Principles adaptation (References listed provide specific details and more extensive discussion on these topics)</w:t>
      </w:r>
    </w:p>
    <w:p w14:paraId="259E5038" w14:textId="77777777" w:rsidR="00EB2DCE" w:rsidRDefault="00BD084C">
      <w:pPr>
        <w:pStyle w:val="Heading2"/>
      </w:pPr>
      <w:bookmarkStart w:id="0" w:name="_1tdzjz60iswn" w:colFirst="0" w:colLast="0"/>
      <w:bookmarkEnd w:id="0"/>
      <w:r>
        <w:t>Findable</w:t>
      </w:r>
    </w:p>
    <w:p w14:paraId="45783070" w14:textId="77777777" w:rsidR="00EB2DCE" w:rsidRDefault="00BD084C">
      <w:pPr>
        <w:pStyle w:val="Heading4"/>
      </w:pPr>
      <w:bookmarkStart w:id="1" w:name="_ezwzqv780x29" w:colFirst="0" w:colLast="0"/>
      <w:bookmarkEnd w:id="1"/>
      <w:r>
        <w:t>F1</w:t>
      </w:r>
    </w:p>
    <w:tbl>
      <w:tblPr>
        <w:tblStyle w:val="a"/>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4305"/>
        <w:gridCol w:w="3150"/>
      </w:tblGrid>
      <w:tr w:rsidR="00EB2DCE" w14:paraId="3CF30EA7" w14:textId="77777777">
        <w:trPr>
          <w:trHeight w:val="440"/>
        </w:trPr>
        <w:tc>
          <w:tcPr>
            <w:tcW w:w="1455" w:type="dxa"/>
            <w:shd w:val="clear" w:color="auto" w:fill="auto"/>
            <w:tcMar>
              <w:top w:w="100" w:type="dxa"/>
              <w:left w:w="100" w:type="dxa"/>
              <w:bottom w:w="100" w:type="dxa"/>
              <w:right w:w="100" w:type="dxa"/>
            </w:tcMar>
          </w:tcPr>
          <w:p w14:paraId="2EE70617" w14:textId="77777777" w:rsidR="00EB2DCE" w:rsidRDefault="00BD084C">
            <w:pPr>
              <w:widowControl w:val="0"/>
              <w:spacing w:after="0" w:line="240" w:lineRule="auto"/>
              <w:jc w:val="center"/>
              <w:rPr>
                <w:b/>
              </w:rPr>
            </w:pPr>
            <w:r>
              <w:rPr>
                <w:b/>
              </w:rPr>
              <w:t>Field</w:t>
            </w:r>
          </w:p>
        </w:tc>
        <w:tc>
          <w:tcPr>
            <w:tcW w:w="4305" w:type="dxa"/>
          </w:tcPr>
          <w:p w14:paraId="6FE16C2E"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36001A05" w14:textId="77777777" w:rsidR="00EB2DCE" w:rsidRDefault="00BD084C">
            <w:pPr>
              <w:widowControl w:val="0"/>
              <w:spacing w:after="0" w:line="240" w:lineRule="auto"/>
              <w:jc w:val="center"/>
              <w:rPr>
                <w:b/>
              </w:rPr>
            </w:pPr>
            <w:r>
              <w:rPr>
                <w:b/>
              </w:rPr>
              <w:t>References</w:t>
            </w:r>
          </w:p>
        </w:tc>
      </w:tr>
      <w:tr w:rsidR="00C01FA4" w:rsidRPr="00ED6A79" w14:paraId="342972FD" w14:textId="77777777">
        <w:trPr>
          <w:trHeight w:val="440"/>
        </w:trPr>
        <w:tc>
          <w:tcPr>
            <w:tcW w:w="1455" w:type="dxa"/>
            <w:shd w:val="clear" w:color="auto" w:fill="D9D9D9"/>
            <w:tcMar>
              <w:top w:w="100" w:type="dxa"/>
              <w:left w:w="100" w:type="dxa"/>
              <w:bottom w:w="100" w:type="dxa"/>
              <w:right w:w="100" w:type="dxa"/>
            </w:tcMar>
          </w:tcPr>
          <w:p w14:paraId="5385F887" w14:textId="77777777" w:rsidR="00C01FA4" w:rsidRDefault="00C01FA4" w:rsidP="00C01FA4">
            <w:pPr>
              <w:widowControl w:val="0"/>
              <w:spacing w:after="0" w:line="240" w:lineRule="auto"/>
              <w:rPr>
                <w:b/>
                <w:sz w:val="22"/>
                <w:szCs w:val="22"/>
              </w:rPr>
            </w:pPr>
            <w:r>
              <w:rPr>
                <w:b/>
                <w:sz w:val="22"/>
                <w:szCs w:val="22"/>
              </w:rPr>
              <w:t>FAIR Principles</w:t>
            </w:r>
          </w:p>
        </w:tc>
        <w:tc>
          <w:tcPr>
            <w:tcW w:w="4305" w:type="dxa"/>
            <w:shd w:val="clear" w:color="auto" w:fill="auto"/>
            <w:tcMar>
              <w:top w:w="100" w:type="dxa"/>
              <w:left w:w="100" w:type="dxa"/>
              <w:bottom w:w="100" w:type="dxa"/>
              <w:right w:w="100" w:type="dxa"/>
            </w:tcMar>
          </w:tcPr>
          <w:p w14:paraId="13498C17" w14:textId="144DDBE1" w:rsidR="00C01FA4" w:rsidRDefault="008E3959" w:rsidP="00ED6A79">
            <w:pPr>
              <w:widowControl w:val="0"/>
              <w:spacing w:after="0" w:line="240" w:lineRule="auto"/>
              <w:jc w:val="both"/>
            </w:pPr>
            <w:r>
              <w:t xml:space="preserve">- </w:t>
            </w:r>
            <w:r w:rsidR="003C7A65" w:rsidRPr="003C7A65">
              <w:t>Make your (meta)data persist over time. Provide persistent and globally unique identifiers that are standardized, can be done through the creation of own models</w:t>
            </w:r>
            <w:r w:rsidR="00ED6A79">
              <w:t xml:space="preserve"> </w:t>
            </w:r>
            <w:r w:rsidR="00ED6A79" w:rsidRPr="00BF4233">
              <w:t>(obeying persistence rules)</w:t>
            </w:r>
            <w:r w:rsidR="00ED6A79">
              <w:t xml:space="preserve"> </w:t>
            </w:r>
            <w:r w:rsidR="003C7A65" w:rsidRPr="003C7A65">
              <w:t>or the use of highly consolidated models and services</w:t>
            </w:r>
            <w:r w:rsidR="00ED6A79">
              <w:t xml:space="preserve"> </w:t>
            </w:r>
            <w:r w:rsidR="00ED6A79" w:rsidRPr="00BF4233">
              <w:t>using identifier persistence schemes</w:t>
            </w:r>
            <w:r w:rsidR="003C7A65" w:rsidRPr="003C7A65">
              <w:t>.</w:t>
            </w:r>
          </w:p>
          <w:p w14:paraId="0BB4E944" w14:textId="77777777" w:rsidR="00ED6A79" w:rsidRDefault="00ED6A79" w:rsidP="00ED6A79">
            <w:pPr>
              <w:widowControl w:val="0"/>
              <w:spacing w:after="0" w:line="240" w:lineRule="auto"/>
              <w:jc w:val="both"/>
            </w:pPr>
          </w:p>
          <w:p w14:paraId="1C2006E4" w14:textId="699F0B6B" w:rsidR="002F3AF3" w:rsidRDefault="008E3959" w:rsidP="00ED6A79">
            <w:pPr>
              <w:widowControl w:val="0"/>
              <w:spacing w:after="0" w:line="240" w:lineRule="auto"/>
              <w:jc w:val="both"/>
            </w:pPr>
            <w:r>
              <w:t xml:space="preserve">- </w:t>
            </w:r>
            <w:r w:rsidR="002F3AF3" w:rsidRPr="00BF4233">
              <w:t xml:space="preserve">Use </w:t>
            </w:r>
            <w:r w:rsidR="00ED6A79">
              <w:t>existing standards</w:t>
            </w:r>
            <w:r w:rsidR="002F3AF3" w:rsidRPr="00BF4233">
              <w:t xml:space="preserve"> URI-style identifier formats (compressed or normal)</w:t>
            </w:r>
            <w:r w:rsidR="002F3AF3">
              <w:t>.</w:t>
            </w:r>
          </w:p>
          <w:p w14:paraId="559C4768" w14:textId="7BF6497A" w:rsidR="002F3AF3" w:rsidRPr="002F3AF3" w:rsidRDefault="002F3AF3" w:rsidP="00C01FA4">
            <w:pPr>
              <w:widowControl w:val="0"/>
              <w:spacing w:after="0" w:line="240" w:lineRule="auto"/>
            </w:pPr>
          </w:p>
        </w:tc>
        <w:tc>
          <w:tcPr>
            <w:tcW w:w="3150" w:type="dxa"/>
            <w:shd w:val="clear" w:color="auto" w:fill="auto"/>
            <w:tcMar>
              <w:top w:w="100" w:type="dxa"/>
              <w:left w:w="100" w:type="dxa"/>
              <w:bottom w:w="100" w:type="dxa"/>
              <w:right w:w="100" w:type="dxa"/>
            </w:tcMar>
          </w:tcPr>
          <w:p w14:paraId="676C3DFD" w14:textId="77777777" w:rsidR="00C01FA4" w:rsidRPr="003C7A65" w:rsidRDefault="00D81522" w:rsidP="00C01FA4">
            <w:pPr>
              <w:spacing w:after="0" w:line="240" w:lineRule="auto"/>
              <w:rPr>
                <w:sz w:val="22"/>
                <w:szCs w:val="22"/>
                <w:lang w:val="en-GB"/>
              </w:rPr>
            </w:pPr>
            <w:hyperlink r:id="rId5">
              <w:r w:rsidR="00C01FA4" w:rsidRPr="003C7A65">
                <w:rPr>
                  <w:color w:val="1155CC"/>
                  <w:sz w:val="22"/>
                  <w:szCs w:val="22"/>
                  <w:u w:val="single"/>
                  <w:lang w:val="en-GB"/>
                </w:rPr>
                <w:t>https://www.go-fair.org/fair-principles/f1-meta-data-assigned-globally-unique-persistent-identifiers/</w:t>
              </w:r>
            </w:hyperlink>
          </w:p>
          <w:p w14:paraId="3E93119D" w14:textId="77777777" w:rsidR="00C01FA4" w:rsidRPr="003C7A65" w:rsidRDefault="00C01FA4" w:rsidP="00C01FA4">
            <w:pPr>
              <w:spacing w:after="0" w:line="240" w:lineRule="auto"/>
              <w:rPr>
                <w:sz w:val="22"/>
                <w:szCs w:val="22"/>
                <w:lang w:val="en-GB"/>
              </w:rPr>
            </w:pPr>
          </w:p>
          <w:p w14:paraId="2B1793CC" w14:textId="77777777" w:rsidR="00C01FA4" w:rsidRPr="003C7A65" w:rsidRDefault="00D81522" w:rsidP="00C01FA4">
            <w:pPr>
              <w:spacing w:after="0" w:line="240" w:lineRule="auto"/>
              <w:rPr>
                <w:sz w:val="22"/>
                <w:szCs w:val="22"/>
                <w:lang w:val="en-GB"/>
              </w:rPr>
            </w:pPr>
            <w:hyperlink r:id="rId6">
              <w:r w:rsidR="00C01FA4" w:rsidRPr="003C7A65">
                <w:rPr>
                  <w:color w:val="1155CC"/>
                  <w:sz w:val="22"/>
                  <w:szCs w:val="22"/>
                  <w:u w:val="single"/>
                  <w:lang w:val="en-GB"/>
                </w:rPr>
                <w:t>https://journals.plos.org/plosbiology/article?id=10.1371/journal.pbio.2001414</w:t>
              </w:r>
            </w:hyperlink>
          </w:p>
          <w:p w14:paraId="428DB1D5" w14:textId="77777777" w:rsidR="00C01FA4" w:rsidRPr="003C7A65" w:rsidRDefault="00C01FA4" w:rsidP="00C01FA4">
            <w:pPr>
              <w:spacing w:after="0" w:line="240" w:lineRule="auto"/>
              <w:rPr>
                <w:sz w:val="22"/>
                <w:szCs w:val="22"/>
                <w:lang w:val="en-GB"/>
              </w:rPr>
            </w:pPr>
          </w:p>
          <w:p w14:paraId="50EBFF1C" w14:textId="77777777" w:rsidR="00C01FA4" w:rsidRPr="003C7A65" w:rsidRDefault="00D81522" w:rsidP="00C01FA4">
            <w:pPr>
              <w:spacing w:after="0" w:line="240" w:lineRule="auto"/>
              <w:rPr>
                <w:sz w:val="22"/>
                <w:szCs w:val="22"/>
                <w:lang w:val="en-GB"/>
              </w:rPr>
            </w:pPr>
            <w:hyperlink r:id="rId7">
              <w:r w:rsidR="00C01FA4" w:rsidRPr="003C7A65">
                <w:rPr>
                  <w:color w:val="1155CC"/>
                  <w:sz w:val="22"/>
                  <w:szCs w:val="22"/>
                  <w:u w:val="single"/>
                  <w:lang w:val="en-GB"/>
                </w:rPr>
                <w:t>https://www.sciencedirect.com/science/article/pii/S2666389920300040</w:t>
              </w:r>
            </w:hyperlink>
          </w:p>
          <w:p w14:paraId="08A6C0FF" w14:textId="77777777" w:rsidR="00C01FA4" w:rsidRPr="003C7A65" w:rsidRDefault="00C01FA4" w:rsidP="00C01FA4">
            <w:pPr>
              <w:spacing w:after="0" w:line="240" w:lineRule="auto"/>
              <w:rPr>
                <w:sz w:val="22"/>
                <w:szCs w:val="22"/>
                <w:lang w:val="en-GB"/>
              </w:rPr>
            </w:pPr>
          </w:p>
          <w:p w14:paraId="1377907C" w14:textId="77777777" w:rsidR="00C01FA4" w:rsidRPr="00CF33C0" w:rsidRDefault="00D81522" w:rsidP="00C01FA4">
            <w:pPr>
              <w:spacing w:after="0" w:line="240" w:lineRule="auto"/>
              <w:rPr>
                <w:color w:val="1155CC"/>
                <w:sz w:val="22"/>
                <w:szCs w:val="22"/>
                <w:u w:val="single"/>
                <w:lang w:val="en-GB"/>
              </w:rPr>
            </w:pPr>
            <w:hyperlink r:id="rId8">
              <w:r w:rsidR="00C01FA4" w:rsidRPr="003C7A65">
                <w:rPr>
                  <w:color w:val="1155CC"/>
                  <w:sz w:val="22"/>
                  <w:szCs w:val="22"/>
                  <w:u w:val="single"/>
                  <w:lang w:val="en-GB"/>
                </w:rPr>
                <w:t>https://www.sciencedirect.com/science/article/pii/S1567422311000251</w:t>
              </w:r>
            </w:hyperlink>
          </w:p>
          <w:p w14:paraId="18D1192E" w14:textId="77777777" w:rsidR="00ED6A79" w:rsidRPr="00CF33C0" w:rsidRDefault="00ED6A79" w:rsidP="00C01FA4">
            <w:pPr>
              <w:spacing w:after="0" w:line="240" w:lineRule="auto"/>
              <w:rPr>
                <w:color w:val="1155CC"/>
                <w:sz w:val="22"/>
                <w:szCs w:val="22"/>
                <w:u w:val="single"/>
                <w:lang w:val="en-GB"/>
              </w:rPr>
            </w:pPr>
          </w:p>
          <w:p w14:paraId="28BFC7DD" w14:textId="77777777" w:rsidR="00ED6A79" w:rsidRPr="00CF33C0" w:rsidRDefault="00D81522" w:rsidP="00ED6A79">
            <w:pPr>
              <w:spacing w:after="0" w:line="240" w:lineRule="auto"/>
              <w:rPr>
                <w:sz w:val="22"/>
                <w:szCs w:val="22"/>
                <w:lang w:val="en-GB"/>
              </w:rPr>
            </w:pPr>
            <w:hyperlink r:id="rId9">
              <w:r w:rsidR="00ED6A79" w:rsidRPr="00CF33C0">
                <w:rPr>
                  <w:color w:val="1155CC"/>
                  <w:sz w:val="22"/>
                  <w:szCs w:val="22"/>
                  <w:u w:val="single"/>
                  <w:lang w:val="en-GB"/>
                </w:rPr>
                <w:t>https://www.w3.org/Addressing/URL/uri-spec.html</w:t>
              </w:r>
            </w:hyperlink>
          </w:p>
          <w:p w14:paraId="60632E11" w14:textId="77777777" w:rsidR="00ED6A79" w:rsidRPr="00CF33C0" w:rsidRDefault="00ED6A79" w:rsidP="00ED6A79">
            <w:pPr>
              <w:spacing w:after="0" w:line="240" w:lineRule="auto"/>
              <w:rPr>
                <w:sz w:val="22"/>
                <w:szCs w:val="22"/>
                <w:lang w:val="en-GB"/>
              </w:rPr>
            </w:pPr>
          </w:p>
          <w:p w14:paraId="57EB38A3" w14:textId="77777777" w:rsidR="00ED6A79" w:rsidRPr="00CF33C0" w:rsidRDefault="00D81522" w:rsidP="00ED6A79">
            <w:pPr>
              <w:spacing w:after="0" w:line="240" w:lineRule="auto"/>
              <w:rPr>
                <w:sz w:val="22"/>
                <w:szCs w:val="22"/>
                <w:lang w:val="en-GB"/>
              </w:rPr>
            </w:pPr>
            <w:hyperlink r:id="rId10">
              <w:r w:rsidR="00ED6A79" w:rsidRPr="00CF33C0">
                <w:rPr>
                  <w:color w:val="1155CC"/>
                  <w:sz w:val="22"/>
                  <w:szCs w:val="22"/>
                  <w:u w:val="single"/>
                  <w:lang w:val="en-GB"/>
                </w:rPr>
                <w:t>https://www.ietf.org/rfc/rfc3986.txt</w:t>
              </w:r>
            </w:hyperlink>
          </w:p>
          <w:p w14:paraId="75E8A5B8" w14:textId="77777777" w:rsidR="00ED6A79" w:rsidRPr="00CF33C0" w:rsidRDefault="00ED6A79" w:rsidP="00ED6A79">
            <w:pPr>
              <w:spacing w:after="0" w:line="240" w:lineRule="auto"/>
              <w:rPr>
                <w:sz w:val="22"/>
                <w:szCs w:val="22"/>
                <w:lang w:val="en-GB"/>
              </w:rPr>
            </w:pPr>
          </w:p>
          <w:p w14:paraId="792A823F" w14:textId="77777777" w:rsidR="00ED6A79" w:rsidRPr="00CF33C0" w:rsidRDefault="00D81522" w:rsidP="00ED6A79">
            <w:pPr>
              <w:spacing w:after="0" w:line="240" w:lineRule="auto"/>
              <w:rPr>
                <w:sz w:val="22"/>
                <w:szCs w:val="22"/>
                <w:lang w:val="en-GB"/>
              </w:rPr>
            </w:pPr>
            <w:hyperlink r:id="rId11">
              <w:r w:rsidR="00ED6A79" w:rsidRPr="00CF33C0">
                <w:rPr>
                  <w:color w:val="1155CC"/>
                  <w:sz w:val="22"/>
                  <w:szCs w:val="22"/>
                  <w:u w:val="single"/>
                  <w:lang w:val="en-GB"/>
                </w:rPr>
                <w:t>https://whatis.techtarget.com/definition/URI-Uniform-Resource-Identifier</w:t>
              </w:r>
            </w:hyperlink>
          </w:p>
          <w:p w14:paraId="6ED39535" w14:textId="77777777" w:rsidR="00ED6A79" w:rsidRPr="00CF33C0" w:rsidRDefault="00ED6A79" w:rsidP="00ED6A79">
            <w:pPr>
              <w:spacing w:after="0" w:line="240" w:lineRule="auto"/>
              <w:rPr>
                <w:sz w:val="22"/>
                <w:szCs w:val="22"/>
                <w:lang w:val="en-GB"/>
              </w:rPr>
            </w:pPr>
          </w:p>
          <w:p w14:paraId="461008DE" w14:textId="77777777" w:rsidR="00ED6A79" w:rsidRPr="00CF33C0" w:rsidRDefault="00D81522" w:rsidP="00ED6A79">
            <w:pPr>
              <w:spacing w:after="0" w:line="240" w:lineRule="auto"/>
              <w:rPr>
                <w:sz w:val="22"/>
                <w:szCs w:val="22"/>
                <w:lang w:val="en-GB"/>
              </w:rPr>
            </w:pPr>
            <w:hyperlink r:id="rId12">
              <w:r w:rsidR="00ED6A79" w:rsidRPr="00CF33C0">
                <w:rPr>
                  <w:color w:val="1155CC"/>
                  <w:sz w:val="22"/>
                  <w:szCs w:val="22"/>
                  <w:u w:val="single"/>
                  <w:lang w:val="en-GB"/>
                </w:rPr>
                <w:t>https://link.springer.com/referenceworkentry/10.1007%2F978-1-4419-9863-7_1572</w:t>
              </w:r>
            </w:hyperlink>
          </w:p>
          <w:p w14:paraId="7030F4CD" w14:textId="77777777" w:rsidR="00ED6A79" w:rsidRPr="00CF33C0" w:rsidRDefault="00ED6A79" w:rsidP="00ED6A79">
            <w:pPr>
              <w:spacing w:after="0" w:line="240" w:lineRule="auto"/>
              <w:rPr>
                <w:sz w:val="22"/>
                <w:szCs w:val="22"/>
                <w:lang w:val="en-GB"/>
              </w:rPr>
            </w:pPr>
          </w:p>
          <w:p w14:paraId="212C599B" w14:textId="77777777" w:rsidR="00ED6A79" w:rsidRPr="00CF33C0" w:rsidRDefault="00D81522" w:rsidP="00ED6A79">
            <w:pPr>
              <w:spacing w:after="0" w:line="240" w:lineRule="auto"/>
              <w:rPr>
                <w:sz w:val="22"/>
                <w:szCs w:val="22"/>
                <w:lang w:val="en-GB"/>
              </w:rPr>
            </w:pPr>
            <w:hyperlink r:id="rId13">
              <w:r w:rsidR="00ED6A79" w:rsidRPr="00CF33C0">
                <w:rPr>
                  <w:color w:val="1155CC"/>
                  <w:sz w:val="22"/>
                  <w:szCs w:val="22"/>
                  <w:u w:val="single"/>
                  <w:lang w:val="en-GB"/>
                </w:rPr>
                <w:t>https://www.w3.org/TR/2010/NOTE-curie-20101216/</w:t>
              </w:r>
            </w:hyperlink>
          </w:p>
          <w:p w14:paraId="3D764FF9" w14:textId="77777777" w:rsidR="00ED6A79" w:rsidRPr="00CF33C0" w:rsidRDefault="00ED6A79" w:rsidP="00ED6A79">
            <w:pPr>
              <w:spacing w:after="0" w:line="240" w:lineRule="auto"/>
              <w:rPr>
                <w:sz w:val="22"/>
                <w:szCs w:val="22"/>
                <w:lang w:val="en-GB"/>
              </w:rPr>
            </w:pPr>
          </w:p>
          <w:p w14:paraId="7EE6D3ED" w14:textId="77777777" w:rsidR="00ED6A79" w:rsidRPr="00CF33C0" w:rsidRDefault="00D81522" w:rsidP="00ED6A79">
            <w:pPr>
              <w:spacing w:after="0" w:line="240" w:lineRule="auto"/>
              <w:rPr>
                <w:sz w:val="22"/>
                <w:szCs w:val="22"/>
                <w:lang w:val="en-GB"/>
              </w:rPr>
            </w:pPr>
            <w:hyperlink r:id="rId14">
              <w:r w:rsidR="00ED6A79" w:rsidRPr="00CF33C0">
                <w:rPr>
                  <w:color w:val="1155CC"/>
                  <w:sz w:val="22"/>
                  <w:szCs w:val="22"/>
                  <w:u w:val="single"/>
                  <w:lang w:val="en-GB"/>
                </w:rPr>
                <w:t>https://www.crossref.org/blog/curies-a-cure-for-uris/</w:t>
              </w:r>
            </w:hyperlink>
          </w:p>
          <w:p w14:paraId="785D2E72" w14:textId="77777777" w:rsidR="00ED6A79" w:rsidRPr="00CF33C0" w:rsidRDefault="00ED6A79" w:rsidP="00ED6A79">
            <w:pPr>
              <w:spacing w:after="0" w:line="240" w:lineRule="auto"/>
              <w:rPr>
                <w:sz w:val="22"/>
                <w:szCs w:val="22"/>
                <w:lang w:val="en-GB"/>
              </w:rPr>
            </w:pPr>
          </w:p>
          <w:p w14:paraId="209EBFB7" w14:textId="77777777" w:rsidR="00ED6A79" w:rsidRPr="00CF33C0" w:rsidRDefault="00D81522" w:rsidP="00ED6A79">
            <w:pPr>
              <w:spacing w:after="0" w:line="240" w:lineRule="auto"/>
              <w:rPr>
                <w:color w:val="1155CC"/>
                <w:sz w:val="22"/>
                <w:szCs w:val="22"/>
                <w:u w:val="single"/>
                <w:lang w:val="en-GB"/>
              </w:rPr>
            </w:pPr>
            <w:hyperlink r:id="rId15">
              <w:r w:rsidR="00ED6A79" w:rsidRPr="00CF33C0">
                <w:rPr>
                  <w:color w:val="1155CC"/>
                  <w:sz w:val="22"/>
                  <w:szCs w:val="22"/>
                  <w:u w:val="single"/>
                  <w:lang w:val="en-GB"/>
                </w:rPr>
                <w:t>https://www.crossref.org/blog/curies-a-cure-for-uris/</w:t>
              </w:r>
            </w:hyperlink>
          </w:p>
          <w:p w14:paraId="3FE2ED35" w14:textId="77777777" w:rsidR="00ED6A79" w:rsidRPr="00CF33C0" w:rsidRDefault="00ED6A79" w:rsidP="00ED6A79">
            <w:pPr>
              <w:spacing w:after="0" w:line="240" w:lineRule="auto"/>
              <w:rPr>
                <w:color w:val="1155CC"/>
                <w:sz w:val="22"/>
                <w:szCs w:val="22"/>
                <w:u w:val="single"/>
                <w:lang w:val="en-GB"/>
              </w:rPr>
            </w:pPr>
          </w:p>
          <w:p w14:paraId="7FB2EA15" w14:textId="77777777" w:rsidR="00ED6A79" w:rsidRPr="00CF33C0" w:rsidRDefault="00D81522" w:rsidP="00ED6A79">
            <w:pPr>
              <w:spacing w:after="0" w:line="240" w:lineRule="auto"/>
              <w:rPr>
                <w:sz w:val="22"/>
                <w:szCs w:val="22"/>
                <w:lang w:val="en-GB"/>
              </w:rPr>
            </w:pPr>
            <w:hyperlink r:id="rId16">
              <w:r w:rsidR="00ED6A79" w:rsidRPr="00CF33C0">
                <w:rPr>
                  <w:color w:val="1155CC"/>
                  <w:sz w:val="22"/>
                  <w:szCs w:val="22"/>
                  <w:u w:val="single"/>
                  <w:lang w:val="en-GB"/>
                </w:rPr>
                <w:t>https://journals.plos.org/plosbiology/article?id=10.1371/journal.pbio.2001414</w:t>
              </w:r>
            </w:hyperlink>
          </w:p>
          <w:p w14:paraId="0DCB340C" w14:textId="77777777" w:rsidR="00ED6A79" w:rsidRPr="00CF33C0" w:rsidRDefault="00ED6A79" w:rsidP="00ED6A79">
            <w:pPr>
              <w:spacing w:after="0" w:line="240" w:lineRule="auto"/>
              <w:rPr>
                <w:sz w:val="22"/>
                <w:szCs w:val="22"/>
                <w:lang w:val="en-GB"/>
              </w:rPr>
            </w:pPr>
          </w:p>
          <w:p w14:paraId="4798731F" w14:textId="77777777" w:rsidR="00ED6A79" w:rsidRPr="00CF33C0" w:rsidRDefault="00D81522" w:rsidP="00ED6A79">
            <w:pPr>
              <w:spacing w:after="0" w:line="240" w:lineRule="auto"/>
              <w:rPr>
                <w:sz w:val="22"/>
                <w:szCs w:val="22"/>
                <w:lang w:val="en-GB"/>
              </w:rPr>
            </w:pPr>
            <w:hyperlink r:id="rId17">
              <w:r w:rsidR="00ED6A79" w:rsidRPr="00CF33C0">
                <w:rPr>
                  <w:color w:val="1155CC"/>
                  <w:sz w:val="22"/>
                  <w:szCs w:val="22"/>
                  <w:u w:val="single"/>
                  <w:lang w:val="en-GB"/>
                </w:rPr>
                <w:t>https://www.sciencedirect.com/science/article/pii/S1567422311000251</w:t>
              </w:r>
            </w:hyperlink>
          </w:p>
          <w:p w14:paraId="3E854008" w14:textId="77777777" w:rsidR="00ED6A79" w:rsidRPr="00CF33C0" w:rsidRDefault="00ED6A79" w:rsidP="00ED6A79">
            <w:pPr>
              <w:spacing w:after="0" w:line="240" w:lineRule="auto"/>
              <w:rPr>
                <w:sz w:val="22"/>
                <w:szCs w:val="22"/>
                <w:lang w:val="en-GB"/>
              </w:rPr>
            </w:pPr>
          </w:p>
          <w:p w14:paraId="18F64F98" w14:textId="77777777" w:rsidR="00ED6A79" w:rsidRPr="00CF33C0" w:rsidRDefault="00D81522" w:rsidP="00ED6A79">
            <w:pPr>
              <w:spacing w:after="0" w:line="240" w:lineRule="auto"/>
              <w:rPr>
                <w:sz w:val="22"/>
                <w:szCs w:val="22"/>
                <w:lang w:val="en-GB"/>
              </w:rPr>
            </w:pPr>
            <w:hyperlink r:id="rId18">
              <w:r w:rsidR="00ED6A79" w:rsidRPr="00CF33C0">
                <w:rPr>
                  <w:color w:val="1155CC"/>
                  <w:sz w:val="22"/>
                  <w:szCs w:val="22"/>
                  <w:u w:val="single"/>
                  <w:lang w:val="en-GB"/>
                </w:rPr>
                <w:t>https://www.sciencedirect.com/science/article/abs/pii/S1574954116300140</w:t>
              </w:r>
            </w:hyperlink>
          </w:p>
          <w:p w14:paraId="3C584825" w14:textId="77777777" w:rsidR="00ED6A79" w:rsidRPr="00CF33C0" w:rsidRDefault="00ED6A79" w:rsidP="00ED6A79">
            <w:pPr>
              <w:spacing w:after="0" w:line="240" w:lineRule="auto"/>
              <w:rPr>
                <w:sz w:val="22"/>
                <w:szCs w:val="22"/>
                <w:lang w:val="en-GB"/>
              </w:rPr>
            </w:pPr>
          </w:p>
          <w:p w14:paraId="21D489B0" w14:textId="77777777" w:rsidR="00ED6A79" w:rsidRPr="00CF33C0" w:rsidRDefault="00D81522" w:rsidP="00ED6A79">
            <w:pPr>
              <w:spacing w:after="0" w:line="240" w:lineRule="auto"/>
              <w:rPr>
                <w:sz w:val="22"/>
                <w:szCs w:val="22"/>
                <w:lang w:val="en-GB"/>
              </w:rPr>
            </w:pPr>
            <w:hyperlink r:id="rId19">
              <w:r w:rsidR="00ED6A79" w:rsidRPr="00CF33C0">
                <w:rPr>
                  <w:color w:val="1155CC"/>
                  <w:sz w:val="22"/>
                  <w:szCs w:val="22"/>
                  <w:u w:val="single"/>
                  <w:lang w:val="en-GB"/>
                </w:rPr>
                <w:t>https://www.sciencedirect.com/science/article/pii/S1368837519303021</w:t>
              </w:r>
            </w:hyperlink>
          </w:p>
          <w:p w14:paraId="71B2DB08" w14:textId="77777777" w:rsidR="00ED6A79" w:rsidRPr="00CF33C0" w:rsidRDefault="00ED6A79" w:rsidP="00ED6A79">
            <w:pPr>
              <w:spacing w:after="0" w:line="240" w:lineRule="auto"/>
              <w:rPr>
                <w:sz w:val="22"/>
                <w:szCs w:val="22"/>
                <w:lang w:val="en-GB"/>
              </w:rPr>
            </w:pPr>
          </w:p>
          <w:p w14:paraId="7589C7A6" w14:textId="77777777" w:rsidR="00ED6A79" w:rsidRPr="00CF33C0" w:rsidRDefault="00D81522" w:rsidP="00ED6A79">
            <w:pPr>
              <w:spacing w:after="0" w:line="240" w:lineRule="auto"/>
              <w:rPr>
                <w:sz w:val="22"/>
                <w:szCs w:val="22"/>
                <w:lang w:val="en-GB"/>
              </w:rPr>
            </w:pPr>
            <w:hyperlink r:id="rId20">
              <w:r w:rsidR="00ED6A79" w:rsidRPr="00CF33C0">
                <w:rPr>
                  <w:color w:val="1155CC"/>
                  <w:sz w:val="22"/>
                  <w:szCs w:val="22"/>
                  <w:u w:val="single"/>
                  <w:lang w:val="en-GB"/>
                </w:rPr>
                <w:t>https://www.sciencedirect.com/science/article/abs/pii/S0167739X18314638</w:t>
              </w:r>
            </w:hyperlink>
          </w:p>
          <w:p w14:paraId="0046B8BA" w14:textId="052D8F66" w:rsidR="00ED6A79" w:rsidRPr="00CF33C0" w:rsidRDefault="00ED6A79" w:rsidP="00ED6A79">
            <w:pPr>
              <w:spacing w:after="0" w:line="240" w:lineRule="auto"/>
              <w:rPr>
                <w:sz w:val="22"/>
                <w:szCs w:val="22"/>
                <w:lang w:val="en-GB"/>
              </w:rPr>
            </w:pPr>
          </w:p>
        </w:tc>
      </w:tr>
    </w:tbl>
    <w:p w14:paraId="42E931C4" w14:textId="77777777" w:rsidR="00EB2DCE" w:rsidRDefault="00BD084C">
      <w:pPr>
        <w:pStyle w:val="Heading4"/>
        <w:widowControl w:val="0"/>
        <w:spacing w:after="0" w:line="240" w:lineRule="auto"/>
      </w:pPr>
      <w:bookmarkStart w:id="2" w:name="_od38pcqfw68r" w:colFirst="0" w:colLast="0"/>
      <w:bookmarkEnd w:id="2"/>
      <w:r>
        <w:lastRenderedPageBreak/>
        <w:t>F2</w:t>
      </w:r>
    </w:p>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4350"/>
        <w:gridCol w:w="3150"/>
      </w:tblGrid>
      <w:tr w:rsidR="00EB2DCE" w14:paraId="042BA272" w14:textId="77777777">
        <w:trPr>
          <w:trHeight w:val="440"/>
        </w:trPr>
        <w:tc>
          <w:tcPr>
            <w:tcW w:w="1410" w:type="dxa"/>
            <w:shd w:val="clear" w:color="auto" w:fill="auto"/>
            <w:tcMar>
              <w:top w:w="100" w:type="dxa"/>
              <w:left w:w="100" w:type="dxa"/>
              <w:bottom w:w="100" w:type="dxa"/>
              <w:right w:w="100" w:type="dxa"/>
            </w:tcMar>
          </w:tcPr>
          <w:p w14:paraId="07270C31" w14:textId="77777777" w:rsidR="00EB2DCE" w:rsidRDefault="00BD084C">
            <w:pPr>
              <w:widowControl w:val="0"/>
              <w:spacing w:after="0" w:line="240" w:lineRule="auto"/>
              <w:jc w:val="center"/>
              <w:rPr>
                <w:b/>
              </w:rPr>
            </w:pPr>
            <w:r>
              <w:rPr>
                <w:b/>
              </w:rPr>
              <w:t>Field</w:t>
            </w:r>
          </w:p>
        </w:tc>
        <w:tc>
          <w:tcPr>
            <w:tcW w:w="4350" w:type="dxa"/>
          </w:tcPr>
          <w:p w14:paraId="000B5B11"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4EB1558B" w14:textId="77777777" w:rsidR="00EB2DCE" w:rsidRDefault="00BD084C">
            <w:pPr>
              <w:widowControl w:val="0"/>
              <w:spacing w:after="0" w:line="240" w:lineRule="auto"/>
              <w:jc w:val="center"/>
              <w:rPr>
                <w:b/>
              </w:rPr>
            </w:pPr>
            <w:r>
              <w:rPr>
                <w:b/>
              </w:rPr>
              <w:t>References</w:t>
            </w:r>
          </w:p>
        </w:tc>
      </w:tr>
      <w:tr w:rsidR="00EB2DCE" w:rsidRPr="00C01FA4" w14:paraId="645D6B9C" w14:textId="77777777">
        <w:trPr>
          <w:trHeight w:val="440"/>
        </w:trPr>
        <w:tc>
          <w:tcPr>
            <w:tcW w:w="1410" w:type="dxa"/>
            <w:shd w:val="clear" w:color="auto" w:fill="D9D9D9"/>
            <w:tcMar>
              <w:top w:w="100" w:type="dxa"/>
              <w:left w:w="100" w:type="dxa"/>
              <w:bottom w:w="100" w:type="dxa"/>
              <w:right w:w="100" w:type="dxa"/>
            </w:tcMar>
          </w:tcPr>
          <w:p w14:paraId="1903B493" w14:textId="77777777" w:rsidR="00EB2DCE" w:rsidRDefault="00BD084C">
            <w:pPr>
              <w:widowControl w:val="0"/>
              <w:spacing w:after="0" w:line="240" w:lineRule="auto"/>
              <w:rPr>
                <w:b/>
              </w:rPr>
            </w:pPr>
            <w:r>
              <w:rPr>
                <w:b/>
              </w:rPr>
              <w:t>FAIR Principles</w:t>
            </w:r>
          </w:p>
        </w:tc>
        <w:tc>
          <w:tcPr>
            <w:tcW w:w="4350" w:type="dxa"/>
            <w:shd w:val="clear" w:color="auto" w:fill="auto"/>
            <w:tcMar>
              <w:top w:w="100" w:type="dxa"/>
              <w:left w:w="100" w:type="dxa"/>
              <w:bottom w:w="100" w:type="dxa"/>
              <w:right w:w="100" w:type="dxa"/>
            </w:tcMar>
          </w:tcPr>
          <w:p w14:paraId="1658BE73" w14:textId="6BFCA614" w:rsidR="00C01FA4" w:rsidRPr="00C01FA4" w:rsidRDefault="008E3959" w:rsidP="00ED6A79">
            <w:pPr>
              <w:widowControl w:val="0"/>
              <w:spacing w:after="0" w:line="240" w:lineRule="auto"/>
              <w:jc w:val="both"/>
              <w:rPr>
                <w:lang w:val="en-GB"/>
              </w:rPr>
            </w:pPr>
            <w:r>
              <w:rPr>
                <w:lang w:val="en-GB"/>
              </w:rPr>
              <w:t xml:space="preserve">- </w:t>
            </w:r>
            <w:r w:rsidR="00C01FA4" w:rsidRPr="00C01FA4">
              <w:rPr>
                <w:lang w:val="en-GB"/>
              </w:rPr>
              <w:t>The metadata must be as complete as possible. Control on the insertion of metadata must be high mainly so that there</w:t>
            </w:r>
            <w:r w:rsidR="00ED6A79">
              <w:rPr>
                <w:lang w:val="en-GB"/>
              </w:rPr>
              <w:t>’</w:t>
            </w:r>
            <w:r w:rsidR="00C01FA4" w:rsidRPr="00C01FA4">
              <w:rPr>
                <w:lang w:val="en-GB"/>
              </w:rPr>
              <w:t>s no lost metadata when the data holder inserts into the repository, a metadata upload policy is essential</w:t>
            </w:r>
            <w:r>
              <w:rPr>
                <w:lang w:val="en-GB"/>
              </w:rPr>
              <w:t xml:space="preserve">, </w:t>
            </w:r>
            <w:r w:rsidRPr="008E3959">
              <w:rPr>
                <w:lang w:val="en-GB"/>
              </w:rPr>
              <w:t>so that there is no loss, inconsistency, inconsistency of metadata</w:t>
            </w:r>
            <w:r>
              <w:rPr>
                <w:lang w:val="en-GB"/>
              </w:rPr>
              <w:t>.</w:t>
            </w:r>
          </w:p>
          <w:p w14:paraId="3A6CF599" w14:textId="77777777" w:rsidR="00ED6A79" w:rsidRDefault="00ED6A79" w:rsidP="00ED6A79">
            <w:pPr>
              <w:widowControl w:val="0"/>
              <w:spacing w:after="0" w:line="240" w:lineRule="auto"/>
              <w:jc w:val="both"/>
              <w:rPr>
                <w:lang w:val="en-GB"/>
              </w:rPr>
            </w:pPr>
          </w:p>
          <w:p w14:paraId="658EFE51" w14:textId="158A1660" w:rsidR="00C01FA4" w:rsidRPr="00C01FA4" w:rsidRDefault="008E3959" w:rsidP="00ED6A79">
            <w:pPr>
              <w:widowControl w:val="0"/>
              <w:spacing w:after="0" w:line="240" w:lineRule="auto"/>
              <w:jc w:val="both"/>
              <w:rPr>
                <w:lang w:val="en-GB"/>
              </w:rPr>
            </w:pPr>
            <w:r>
              <w:rPr>
                <w:lang w:val="en-GB"/>
              </w:rPr>
              <w:t xml:space="preserve">- </w:t>
            </w:r>
            <w:r w:rsidR="00C01FA4" w:rsidRPr="00C01FA4">
              <w:rPr>
                <w:lang w:val="en-GB"/>
              </w:rPr>
              <w:t>Creating a grounded metadata standardization is considered essential in this part, using existing ontologies, vocabularies, thesaurus or creating new ones helps in increasing the richness of metadata.</w:t>
            </w:r>
          </w:p>
          <w:p w14:paraId="6735FA1F" w14:textId="77777777" w:rsidR="00ED6A79" w:rsidRDefault="00ED6A79" w:rsidP="00ED6A79">
            <w:pPr>
              <w:widowControl w:val="0"/>
              <w:spacing w:after="0" w:line="240" w:lineRule="auto"/>
              <w:jc w:val="both"/>
              <w:rPr>
                <w:lang w:val="en-GB"/>
              </w:rPr>
            </w:pPr>
          </w:p>
          <w:p w14:paraId="1610FD27" w14:textId="104AB7C1" w:rsidR="00EB2DCE" w:rsidRDefault="008E3959" w:rsidP="008E3959">
            <w:pPr>
              <w:widowControl w:val="0"/>
              <w:spacing w:after="0" w:line="240" w:lineRule="auto"/>
              <w:jc w:val="both"/>
              <w:rPr>
                <w:lang w:val="en-GB"/>
              </w:rPr>
            </w:pPr>
            <w:r>
              <w:rPr>
                <w:lang w:val="en-GB"/>
              </w:rPr>
              <w:t xml:space="preserve">- </w:t>
            </w:r>
            <w:r w:rsidR="00C01FA4" w:rsidRPr="00C01FA4">
              <w:rPr>
                <w:lang w:val="en-GB"/>
              </w:rPr>
              <w:t xml:space="preserve">Information about data, such as its description, description of columns, meaning of abbreviations, units of measure, figures, analysis of the data itself, how the data was collected and / or suggestions on how to reuse the data are examples of essential metadata. Another recommendation factor is the creation of documentation to help users with data to know about the requirements for submitting (meta)data and, in addition, to make it as intuitive as possible using processes already grounded in the area of ​​Human </w:t>
            </w:r>
            <w:r w:rsidR="00C01FA4" w:rsidRPr="00C01FA4">
              <w:rPr>
                <w:lang w:val="en-GB"/>
              </w:rPr>
              <w:lastRenderedPageBreak/>
              <w:t>Computer Interaction.</w:t>
            </w:r>
          </w:p>
          <w:p w14:paraId="55E26A3D" w14:textId="77777777" w:rsidR="008E3959" w:rsidRDefault="008E3959" w:rsidP="008E3959">
            <w:pPr>
              <w:widowControl w:val="0"/>
              <w:spacing w:after="0" w:line="240" w:lineRule="auto"/>
              <w:jc w:val="both"/>
              <w:rPr>
                <w:lang w:val="en-GB"/>
              </w:rPr>
            </w:pPr>
          </w:p>
          <w:p w14:paraId="6A127DD3" w14:textId="126F5B18" w:rsidR="008E3959" w:rsidRDefault="008E3959" w:rsidP="008E3959">
            <w:pPr>
              <w:widowControl w:val="0"/>
              <w:spacing w:after="0" w:line="240" w:lineRule="auto"/>
              <w:jc w:val="both"/>
              <w:rPr>
                <w:lang w:val="en-GB"/>
              </w:rPr>
            </w:pPr>
            <w:r>
              <w:rPr>
                <w:lang w:val="en-GB"/>
              </w:rPr>
              <w:t xml:space="preserve">- </w:t>
            </w:r>
            <w:r w:rsidRPr="00C01FA4">
              <w:rPr>
                <w:lang w:val="en-GB"/>
              </w:rPr>
              <w:t>Us</w:t>
            </w:r>
            <w:r>
              <w:rPr>
                <w:lang w:val="en-GB"/>
              </w:rPr>
              <w:t>e</w:t>
            </w:r>
            <w:r w:rsidRPr="00C01FA4">
              <w:rPr>
                <w:lang w:val="en-GB"/>
              </w:rPr>
              <w:t xml:space="preserve"> structured data that is compatible for running applications focused on data scraping, languages like </w:t>
            </w:r>
            <w:proofErr w:type="spellStart"/>
            <w:r w:rsidRPr="00C01FA4">
              <w:rPr>
                <w:lang w:val="en-GB"/>
              </w:rPr>
              <w:t>RDFa</w:t>
            </w:r>
            <w:proofErr w:type="spellEnd"/>
            <w:r w:rsidRPr="00C01FA4">
              <w:rPr>
                <w:lang w:val="en-GB"/>
              </w:rPr>
              <w:t>, embedded json, json-</w:t>
            </w:r>
            <w:proofErr w:type="spellStart"/>
            <w:r w:rsidRPr="00C01FA4">
              <w:rPr>
                <w:lang w:val="en-GB"/>
              </w:rPr>
              <w:t>ld</w:t>
            </w:r>
            <w:proofErr w:type="spellEnd"/>
            <w:r w:rsidRPr="00C01FA4">
              <w:rPr>
                <w:lang w:val="en-GB"/>
              </w:rPr>
              <w:t xml:space="preserve"> or structured content-negotiated metadata, such as RDF Turtle, are examples of languages that support data scraping.</w:t>
            </w:r>
          </w:p>
          <w:p w14:paraId="7CE4A5B7" w14:textId="77777777" w:rsidR="008E3959" w:rsidRPr="00C01FA4" w:rsidRDefault="008E3959" w:rsidP="008E3959">
            <w:pPr>
              <w:widowControl w:val="0"/>
              <w:spacing w:after="0" w:line="240" w:lineRule="auto"/>
              <w:jc w:val="both"/>
              <w:rPr>
                <w:lang w:val="en-GB"/>
              </w:rPr>
            </w:pPr>
          </w:p>
          <w:p w14:paraId="236C17D7" w14:textId="77777777" w:rsidR="008E3959" w:rsidRDefault="008E3959" w:rsidP="008E3959">
            <w:pPr>
              <w:widowControl w:val="0"/>
              <w:spacing w:after="0" w:line="240" w:lineRule="auto"/>
              <w:jc w:val="both"/>
              <w:rPr>
                <w:lang w:val="en-GB"/>
              </w:rPr>
            </w:pPr>
            <w:r>
              <w:rPr>
                <w:lang w:val="en-GB"/>
              </w:rPr>
              <w:t xml:space="preserve">- Use a structured metadata. </w:t>
            </w:r>
            <w:r w:rsidRPr="00C01FA4">
              <w:rPr>
                <w:lang w:val="en-GB"/>
              </w:rPr>
              <w:t>There are numerous means of standardizing metadata structure, where they are located in the source code of the page, or by means of an extension and designated for structured data.</w:t>
            </w:r>
          </w:p>
          <w:p w14:paraId="6ED8A9A3" w14:textId="77777777" w:rsidR="008E3959" w:rsidRDefault="008E3959" w:rsidP="008E3959">
            <w:pPr>
              <w:widowControl w:val="0"/>
              <w:spacing w:after="0" w:line="240" w:lineRule="auto"/>
              <w:jc w:val="both"/>
              <w:rPr>
                <w:lang w:val="en-GB"/>
              </w:rPr>
            </w:pPr>
          </w:p>
          <w:p w14:paraId="26C779E8" w14:textId="3CBE7C0C" w:rsidR="008E3959" w:rsidRPr="00C01FA4" w:rsidRDefault="008E3959" w:rsidP="008E3959">
            <w:pPr>
              <w:widowControl w:val="0"/>
              <w:spacing w:after="0" w:line="240" w:lineRule="auto"/>
              <w:jc w:val="both"/>
              <w:rPr>
                <w:lang w:val="en-GB"/>
              </w:rPr>
            </w:pPr>
            <w:r>
              <w:rPr>
                <w:lang w:val="en-GB"/>
              </w:rPr>
              <w:t>-</w:t>
            </w:r>
            <w:r w:rsidRPr="00C01FA4">
              <w:rPr>
                <w:lang w:val="en-GB"/>
              </w:rPr>
              <w:t xml:space="preserve"> </w:t>
            </w:r>
            <w:r>
              <w:rPr>
                <w:lang w:val="en-GB"/>
              </w:rPr>
              <w:t>Make the use of g</w:t>
            </w:r>
            <w:r w:rsidRPr="00C01FA4">
              <w:rPr>
                <w:lang w:val="en-GB"/>
              </w:rPr>
              <w:t>rounded metadata</w:t>
            </w:r>
            <w:r>
              <w:rPr>
                <w:lang w:val="en-GB"/>
              </w:rPr>
              <w:t>, which</w:t>
            </w:r>
            <w:r w:rsidRPr="00C01FA4">
              <w:rPr>
                <w:lang w:val="en-GB"/>
              </w:rPr>
              <w:t xml:space="preserve"> refers to the use of data standardization through languages recognized by computers for data disposal, etc. However, in this case, the purpose of further increasing the automation of these applications is used to use named nodes and use blank nodes, that is, use identifiers (persistent) to use characters (</w:t>
            </w:r>
            <w:proofErr w:type="spellStart"/>
            <w:r w:rsidRPr="00C01FA4">
              <w:rPr>
                <w:lang w:val="en-GB"/>
              </w:rPr>
              <w:t>dbpedia</w:t>
            </w:r>
            <w:proofErr w:type="spellEnd"/>
            <w:r w:rsidRPr="00C01FA4">
              <w:rPr>
                <w:lang w:val="en-GB"/>
              </w:rPr>
              <w:t xml:space="preserve"> is a good example where to find persistent identifiers for names)</w:t>
            </w:r>
          </w:p>
        </w:tc>
        <w:tc>
          <w:tcPr>
            <w:tcW w:w="3150" w:type="dxa"/>
            <w:shd w:val="clear" w:color="auto" w:fill="auto"/>
            <w:tcMar>
              <w:top w:w="100" w:type="dxa"/>
              <w:left w:w="100" w:type="dxa"/>
              <w:bottom w:w="100" w:type="dxa"/>
              <w:right w:w="100" w:type="dxa"/>
            </w:tcMar>
          </w:tcPr>
          <w:p w14:paraId="4D9C91EC" w14:textId="77777777" w:rsidR="00EB2DCE" w:rsidRPr="00C01FA4" w:rsidRDefault="00D81522">
            <w:pPr>
              <w:spacing w:after="0" w:line="240" w:lineRule="auto"/>
              <w:rPr>
                <w:lang w:val="en-GB"/>
              </w:rPr>
            </w:pPr>
            <w:hyperlink r:id="rId21">
              <w:r w:rsidR="00BD084C" w:rsidRPr="00C01FA4">
                <w:rPr>
                  <w:color w:val="1155CC"/>
                  <w:u w:val="single"/>
                  <w:lang w:val="en-GB"/>
                </w:rPr>
                <w:t>https://www.go-fair.org/fair-principles/f2-data-described-rich-metadata/</w:t>
              </w:r>
            </w:hyperlink>
          </w:p>
          <w:p w14:paraId="0A96E002" w14:textId="77777777" w:rsidR="00EB2DCE" w:rsidRPr="00C01FA4" w:rsidRDefault="00EB2DCE">
            <w:pPr>
              <w:spacing w:after="0" w:line="240" w:lineRule="auto"/>
              <w:rPr>
                <w:lang w:val="en-GB"/>
              </w:rPr>
            </w:pPr>
          </w:p>
          <w:p w14:paraId="591C54F6" w14:textId="77777777" w:rsidR="00EB2DCE" w:rsidRPr="003C7A65" w:rsidRDefault="00D81522">
            <w:pPr>
              <w:spacing w:after="0" w:line="240" w:lineRule="auto"/>
              <w:rPr>
                <w:lang w:val="en-GB"/>
              </w:rPr>
            </w:pPr>
            <w:hyperlink r:id="rId22">
              <w:r w:rsidR="00BD084C" w:rsidRPr="003C7A65">
                <w:rPr>
                  <w:color w:val="1155CC"/>
                  <w:u w:val="single"/>
                  <w:lang w:val="en-GB"/>
                </w:rPr>
                <w:t>https://theodi.org/knowledge-opinion/guides/</w:t>
              </w:r>
            </w:hyperlink>
          </w:p>
          <w:p w14:paraId="2EF44FF6" w14:textId="77777777" w:rsidR="00EB2DCE" w:rsidRPr="003C7A65" w:rsidRDefault="00EB2DCE">
            <w:pPr>
              <w:spacing w:after="0" w:line="240" w:lineRule="auto"/>
              <w:rPr>
                <w:lang w:val="en-GB"/>
              </w:rPr>
            </w:pPr>
          </w:p>
          <w:p w14:paraId="6DAC6E1A" w14:textId="77777777" w:rsidR="00EB2DCE" w:rsidRPr="003C7A65" w:rsidRDefault="00D81522">
            <w:pPr>
              <w:spacing w:after="0" w:line="240" w:lineRule="auto"/>
              <w:rPr>
                <w:lang w:val="en-GB"/>
              </w:rPr>
            </w:pPr>
            <w:hyperlink r:id="rId23">
              <w:r w:rsidR="00BD084C" w:rsidRPr="003C7A65">
                <w:rPr>
                  <w:color w:val="1155CC"/>
                  <w:u w:val="single"/>
                  <w:lang w:val="en-GB"/>
                </w:rPr>
                <w:t>https://isa-tools.org/</w:t>
              </w:r>
            </w:hyperlink>
          </w:p>
          <w:p w14:paraId="0B08BE34" w14:textId="77777777" w:rsidR="00EB2DCE" w:rsidRPr="003C7A65" w:rsidRDefault="00EB2DCE">
            <w:pPr>
              <w:spacing w:after="0" w:line="240" w:lineRule="auto"/>
              <w:rPr>
                <w:lang w:val="en-GB"/>
              </w:rPr>
            </w:pPr>
          </w:p>
          <w:p w14:paraId="697593F3" w14:textId="77777777" w:rsidR="00EB2DCE" w:rsidRPr="003C7A65" w:rsidRDefault="00D81522">
            <w:pPr>
              <w:spacing w:after="0" w:line="240" w:lineRule="auto"/>
              <w:rPr>
                <w:lang w:val="en-GB"/>
              </w:rPr>
            </w:pPr>
            <w:hyperlink r:id="rId24">
              <w:r w:rsidR="00BD084C" w:rsidRPr="003C7A65">
                <w:rPr>
                  <w:color w:val="1155CC"/>
                  <w:u w:val="single"/>
                  <w:lang w:val="en-GB"/>
                </w:rPr>
                <w:t>https://www.dtls.nl/fair-data/find-fair-data-tools/</w:t>
              </w:r>
            </w:hyperlink>
          </w:p>
          <w:p w14:paraId="5EB9C0EB" w14:textId="77777777" w:rsidR="00EB2DCE" w:rsidRPr="003C7A65" w:rsidRDefault="00EB2DCE">
            <w:pPr>
              <w:spacing w:after="0" w:line="240" w:lineRule="auto"/>
              <w:rPr>
                <w:lang w:val="en-GB"/>
              </w:rPr>
            </w:pPr>
          </w:p>
          <w:p w14:paraId="282378A5" w14:textId="77777777" w:rsidR="008E3959" w:rsidRPr="003C7A65" w:rsidRDefault="00D81522" w:rsidP="008E3959">
            <w:pPr>
              <w:spacing w:after="0" w:line="240" w:lineRule="auto"/>
              <w:rPr>
                <w:lang w:val="en-GB"/>
              </w:rPr>
            </w:pPr>
            <w:hyperlink r:id="rId25" w:anchor="v=onepage&amp;q=grounded%20rdf&amp;f=false">
              <w:r w:rsidR="008E3959" w:rsidRPr="003C7A65">
                <w:rPr>
                  <w:color w:val="1155CC"/>
                  <w:u w:val="single"/>
                  <w:lang w:val="en-GB"/>
                </w:rPr>
                <w:t>https://books.google.com.br/books?id=oY1lAgAAQBAJ&amp;pg=PT43&amp;lpg=PT43&amp;dq=grounded+rdf&amp;source=bl&amp;ots=6TMIKsE9_0&amp;sig=ACfU3U1auvNc_TNB1jh78KvbxH9QYkyCWQ&amp;hl=pt-BR&amp;sa=X&amp;ved=2ahUKEwilyLiAr5nqAhVIDrkGHTGzBY0Q6AEwAHoECAYQAQ#v=onepage&amp;q=grounded%20rdf&amp;f=false</w:t>
              </w:r>
            </w:hyperlink>
          </w:p>
          <w:p w14:paraId="172AE9F0" w14:textId="77777777" w:rsidR="00EB2DCE" w:rsidRPr="003C7A65" w:rsidRDefault="00EB2DCE">
            <w:pPr>
              <w:spacing w:after="0" w:line="240" w:lineRule="auto"/>
              <w:rPr>
                <w:lang w:val="en-GB"/>
              </w:rPr>
            </w:pPr>
          </w:p>
        </w:tc>
      </w:tr>
    </w:tbl>
    <w:p w14:paraId="1E94D130" w14:textId="77777777" w:rsidR="00EB2DCE" w:rsidRDefault="00BD084C">
      <w:pPr>
        <w:pStyle w:val="Heading4"/>
        <w:widowControl w:val="0"/>
        <w:spacing w:after="0" w:line="240" w:lineRule="auto"/>
      </w:pPr>
      <w:bookmarkStart w:id="3" w:name="_nti0rasmy1sp" w:colFirst="0" w:colLast="0"/>
      <w:bookmarkEnd w:id="3"/>
      <w:r>
        <w:t>F3</w:t>
      </w:r>
    </w:p>
    <w:tbl>
      <w:tblPr>
        <w:tblStyle w:val="a1"/>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290"/>
        <w:gridCol w:w="3150"/>
      </w:tblGrid>
      <w:tr w:rsidR="00EB2DCE" w14:paraId="1804CE7B" w14:textId="77777777">
        <w:trPr>
          <w:trHeight w:val="440"/>
        </w:trPr>
        <w:tc>
          <w:tcPr>
            <w:tcW w:w="1470" w:type="dxa"/>
            <w:shd w:val="clear" w:color="auto" w:fill="auto"/>
            <w:tcMar>
              <w:top w:w="100" w:type="dxa"/>
              <w:left w:w="100" w:type="dxa"/>
              <w:bottom w:w="100" w:type="dxa"/>
              <w:right w:w="100" w:type="dxa"/>
            </w:tcMar>
          </w:tcPr>
          <w:p w14:paraId="4E29CF71" w14:textId="77777777" w:rsidR="00EB2DCE" w:rsidRDefault="00BD084C">
            <w:pPr>
              <w:widowControl w:val="0"/>
              <w:spacing w:after="0" w:line="240" w:lineRule="auto"/>
              <w:jc w:val="center"/>
              <w:rPr>
                <w:b/>
              </w:rPr>
            </w:pPr>
            <w:r>
              <w:rPr>
                <w:b/>
              </w:rPr>
              <w:t>Field</w:t>
            </w:r>
          </w:p>
        </w:tc>
        <w:tc>
          <w:tcPr>
            <w:tcW w:w="4290" w:type="dxa"/>
          </w:tcPr>
          <w:p w14:paraId="3507F3F3"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0D267936" w14:textId="77777777" w:rsidR="00EB2DCE" w:rsidRDefault="00BD084C">
            <w:pPr>
              <w:widowControl w:val="0"/>
              <w:spacing w:after="0" w:line="240" w:lineRule="auto"/>
              <w:jc w:val="center"/>
              <w:rPr>
                <w:b/>
              </w:rPr>
            </w:pPr>
            <w:r>
              <w:rPr>
                <w:b/>
              </w:rPr>
              <w:t>References</w:t>
            </w:r>
          </w:p>
        </w:tc>
      </w:tr>
      <w:tr w:rsidR="00EB2DCE" w:rsidRPr="008E3959" w14:paraId="0BD59957" w14:textId="77777777">
        <w:trPr>
          <w:trHeight w:val="440"/>
        </w:trPr>
        <w:tc>
          <w:tcPr>
            <w:tcW w:w="1470" w:type="dxa"/>
            <w:shd w:val="clear" w:color="auto" w:fill="D9D9D9"/>
            <w:tcMar>
              <w:top w:w="100" w:type="dxa"/>
              <w:left w:w="100" w:type="dxa"/>
              <w:bottom w:w="100" w:type="dxa"/>
              <w:right w:w="100" w:type="dxa"/>
            </w:tcMar>
          </w:tcPr>
          <w:p w14:paraId="0B721190" w14:textId="77777777" w:rsidR="00EB2DCE" w:rsidRDefault="00BD084C">
            <w:pPr>
              <w:widowControl w:val="0"/>
              <w:spacing w:after="0" w:line="240" w:lineRule="auto"/>
              <w:rPr>
                <w:b/>
              </w:rPr>
            </w:pPr>
            <w:r>
              <w:rPr>
                <w:b/>
              </w:rPr>
              <w:t>FAIR Principles</w:t>
            </w:r>
          </w:p>
        </w:tc>
        <w:tc>
          <w:tcPr>
            <w:tcW w:w="4290" w:type="dxa"/>
            <w:shd w:val="clear" w:color="auto" w:fill="auto"/>
            <w:tcMar>
              <w:top w:w="100" w:type="dxa"/>
              <w:left w:w="100" w:type="dxa"/>
              <w:bottom w:w="100" w:type="dxa"/>
              <w:right w:w="100" w:type="dxa"/>
            </w:tcMar>
          </w:tcPr>
          <w:p w14:paraId="60F560CA" w14:textId="77777777" w:rsidR="008E3959" w:rsidRPr="008E3959" w:rsidRDefault="008E3959" w:rsidP="00CF33C0">
            <w:pPr>
              <w:widowControl w:val="0"/>
              <w:spacing w:after="0" w:line="240" w:lineRule="auto"/>
              <w:jc w:val="both"/>
              <w:rPr>
                <w:lang w:val="en-GB"/>
              </w:rPr>
            </w:pPr>
            <w:r w:rsidRPr="008E3959">
              <w:rPr>
                <w:lang w:val="en-GB"/>
              </w:rPr>
              <w:t>- It is essential to explain the identifiers of the datasets (data) to the metadata so that they can be connected, even in a simple way. Use of persistent and globally unique identifiers (F1) helps to achieve this principle. In order to further improve it, it would be essential to adopt a means to extract data via automation.</w:t>
            </w:r>
          </w:p>
          <w:p w14:paraId="408EFE06" w14:textId="77777777" w:rsidR="008E3959" w:rsidRPr="008E3959" w:rsidRDefault="008E3959" w:rsidP="00CF33C0">
            <w:pPr>
              <w:widowControl w:val="0"/>
              <w:spacing w:after="0" w:line="240" w:lineRule="auto"/>
              <w:jc w:val="both"/>
              <w:rPr>
                <w:lang w:val="en-GB"/>
              </w:rPr>
            </w:pPr>
          </w:p>
          <w:p w14:paraId="48B40173" w14:textId="77777777" w:rsidR="008E3959" w:rsidRPr="008E3959" w:rsidRDefault="008E3959" w:rsidP="00CF33C0">
            <w:pPr>
              <w:widowControl w:val="0"/>
              <w:spacing w:after="0" w:line="240" w:lineRule="auto"/>
              <w:jc w:val="both"/>
              <w:rPr>
                <w:lang w:val="en-GB"/>
              </w:rPr>
            </w:pPr>
            <w:r w:rsidRPr="008E3959">
              <w:rPr>
                <w:lang w:val="en-GB"/>
              </w:rPr>
              <w:t>- It is necessary to have some data structure that is recognized by machine (</w:t>
            </w:r>
            <w:proofErr w:type="spellStart"/>
            <w:r w:rsidRPr="008E3959">
              <w:rPr>
                <w:lang w:val="en-GB"/>
              </w:rPr>
              <w:t>eg</w:t>
            </w:r>
            <w:proofErr w:type="spellEnd"/>
            <w:r w:rsidRPr="008E3959">
              <w:rPr>
                <w:lang w:val="en-GB"/>
              </w:rPr>
              <w:t xml:space="preserve">, </w:t>
            </w:r>
            <w:proofErr w:type="spellStart"/>
            <w:r w:rsidRPr="008E3959">
              <w:rPr>
                <w:lang w:val="en-GB"/>
              </w:rPr>
              <w:t>RDFa</w:t>
            </w:r>
            <w:proofErr w:type="spellEnd"/>
            <w:r w:rsidRPr="008E3959">
              <w:rPr>
                <w:lang w:val="en-GB"/>
              </w:rPr>
              <w:t>, embedded json, json-</w:t>
            </w:r>
            <w:proofErr w:type="spellStart"/>
            <w:r w:rsidRPr="008E3959">
              <w:rPr>
                <w:lang w:val="en-GB"/>
              </w:rPr>
              <w:t>ld</w:t>
            </w:r>
            <w:proofErr w:type="spellEnd"/>
            <w:r w:rsidRPr="008E3959">
              <w:rPr>
                <w:lang w:val="en-GB"/>
              </w:rPr>
              <w:t xml:space="preserve"> or structured metadata negotiated by content, such as RDF Turtle), in addition, to have specifications / properties / tags in order to locate the identifier of the data (s) easily in </w:t>
            </w:r>
            <w:r w:rsidRPr="008E3959">
              <w:rPr>
                <w:lang w:val="en-GB"/>
              </w:rPr>
              <w:lastRenderedPageBreak/>
              <w:t>the metadata.</w:t>
            </w:r>
          </w:p>
          <w:p w14:paraId="3CA86761" w14:textId="77777777" w:rsidR="008E3959" w:rsidRPr="008E3959" w:rsidRDefault="008E3959" w:rsidP="00CF33C0">
            <w:pPr>
              <w:widowControl w:val="0"/>
              <w:spacing w:after="0" w:line="240" w:lineRule="auto"/>
              <w:jc w:val="both"/>
              <w:rPr>
                <w:lang w:val="en-GB"/>
              </w:rPr>
            </w:pPr>
          </w:p>
          <w:p w14:paraId="715BE2FF" w14:textId="2392BC79" w:rsidR="008E3959" w:rsidRPr="008E3959" w:rsidRDefault="008E3959" w:rsidP="00CF33C0">
            <w:pPr>
              <w:widowControl w:val="0"/>
              <w:spacing w:after="0" w:line="240" w:lineRule="auto"/>
              <w:jc w:val="both"/>
              <w:rPr>
                <w:lang w:val="en-GB"/>
              </w:rPr>
            </w:pPr>
            <w:r w:rsidRPr="008E3959">
              <w:rPr>
                <w:lang w:val="en-GB"/>
              </w:rPr>
              <w:t>- The more you use resolvable metadata (using URIs) the better it will be for automatic data collection applications to understand about the (meta) data present in that repository. Again, the use of structured data standardization that is recognized by machines will be better reuse.</w:t>
            </w:r>
          </w:p>
        </w:tc>
        <w:tc>
          <w:tcPr>
            <w:tcW w:w="3150" w:type="dxa"/>
            <w:shd w:val="clear" w:color="auto" w:fill="auto"/>
            <w:tcMar>
              <w:top w:w="100" w:type="dxa"/>
              <w:left w:w="100" w:type="dxa"/>
              <w:bottom w:w="100" w:type="dxa"/>
              <w:right w:w="100" w:type="dxa"/>
            </w:tcMar>
          </w:tcPr>
          <w:p w14:paraId="6D205123" w14:textId="77777777" w:rsidR="00EB2DCE" w:rsidRPr="008E3959" w:rsidRDefault="00EB2DCE">
            <w:pPr>
              <w:spacing w:after="0" w:line="240" w:lineRule="auto"/>
              <w:rPr>
                <w:lang w:val="en-GB"/>
              </w:rPr>
            </w:pPr>
          </w:p>
        </w:tc>
      </w:tr>
    </w:tbl>
    <w:p w14:paraId="554E9E51" w14:textId="77777777" w:rsidR="00EB2DCE" w:rsidRDefault="00BD084C">
      <w:pPr>
        <w:pStyle w:val="Heading4"/>
        <w:widowControl w:val="0"/>
        <w:spacing w:after="0" w:line="240" w:lineRule="auto"/>
      </w:pPr>
      <w:bookmarkStart w:id="4" w:name="_7ityombt763" w:colFirst="0" w:colLast="0"/>
      <w:bookmarkEnd w:id="4"/>
      <w:r>
        <w:t>F4</w:t>
      </w:r>
    </w:p>
    <w:tbl>
      <w:tblPr>
        <w:tblStyle w:val="a2"/>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260"/>
        <w:gridCol w:w="3150"/>
      </w:tblGrid>
      <w:tr w:rsidR="00EB2DCE" w14:paraId="69A6A447" w14:textId="77777777">
        <w:trPr>
          <w:trHeight w:val="440"/>
        </w:trPr>
        <w:tc>
          <w:tcPr>
            <w:tcW w:w="1500" w:type="dxa"/>
            <w:shd w:val="clear" w:color="auto" w:fill="auto"/>
            <w:tcMar>
              <w:top w:w="100" w:type="dxa"/>
              <w:left w:w="100" w:type="dxa"/>
              <w:bottom w:w="100" w:type="dxa"/>
              <w:right w:w="100" w:type="dxa"/>
            </w:tcMar>
          </w:tcPr>
          <w:p w14:paraId="441C722D" w14:textId="77777777" w:rsidR="00EB2DCE" w:rsidRDefault="00BD084C">
            <w:pPr>
              <w:widowControl w:val="0"/>
              <w:spacing w:after="0" w:line="240" w:lineRule="auto"/>
              <w:jc w:val="center"/>
              <w:rPr>
                <w:b/>
              </w:rPr>
            </w:pPr>
            <w:r>
              <w:rPr>
                <w:b/>
              </w:rPr>
              <w:t>Field</w:t>
            </w:r>
          </w:p>
        </w:tc>
        <w:tc>
          <w:tcPr>
            <w:tcW w:w="4260" w:type="dxa"/>
          </w:tcPr>
          <w:p w14:paraId="1254FFA4"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61E00181" w14:textId="77777777" w:rsidR="00EB2DCE" w:rsidRDefault="00BD084C">
            <w:pPr>
              <w:widowControl w:val="0"/>
              <w:spacing w:after="0" w:line="240" w:lineRule="auto"/>
              <w:jc w:val="center"/>
              <w:rPr>
                <w:b/>
              </w:rPr>
            </w:pPr>
            <w:r>
              <w:rPr>
                <w:b/>
              </w:rPr>
              <w:t>References</w:t>
            </w:r>
          </w:p>
        </w:tc>
      </w:tr>
      <w:tr w:rsidR="00EB2DCE" w:rsidRPr="008E3959" w14:paraId="1215B9AF" w14:textId="77777777">
        <w:trPr>
          <w:trHeight w:val="440"/>
        </w:trPr>
        <w:tc>
          <w:tcPr>
            <w:tcW w:w="1500" w:type="dxa"/>
            <w:shd w:val="clear" w:color="auto" w:fill="D9D9D9"/>
            <w:tcMar>
              <w:top w:w="100" w:type="dxa"/>
              <w:left w:w="100" w:type="dxa"/>
              <w:bottom w:w="100" w:type="dxa"/>
              <w:right w:w="100" w:type="dxa"/>
            </w:tcMar>
          </w:tcPr>
          <w:p w14:paraId="38F91FA5" w14:textId="77777777" w:rsidR="00EB2DCE" w:rsidRDefault="00BD084C">
            <w:pPr>
              <w:widowControl w:val="0"/>
              <w:spacing w:after="0" w:line="240" w:lineRule="auto"/>
              <w:rPr>
                <w:b/>
              </w:rPr>
            </w:pPr>
            <w:r>
              <w:rPr>
                <w:b/>
              </w:rPr>
              <w:t>FAIR Principles</w:t>
            </w:r>
          </w:p>
        </w:tc>
        <w:tc>
          <w:tcPr>
            <w:tcW w:w="4260" w:type="dxa"/>
            <w:shd w:val="clear" w:color="auto" w:fill="auto"/>
            <w:tcMar>
              <w:top w:w="100" w:type="dxa"/>
              <w:left w:w="100" w:type="dxa"/>
              <w:bottom w:w="100" w:type="dxa"/>
              <w:right w:w="100" w:type="dxa"/>
            </w:tcMar>
          </w:tcPr>
          <w:p w14:paraId="61ECC2E2" w14:textId="4F23D855" w:rsidR="008E3959" w:rsidRDefault="008E3959" w:rsidP="00CF33C0">
            <w:pPr>
              <w:spacing w:after="0" w:line="240" w:lineRule="auto"/>
              <w:jc w:val="both"/>
              <w:rPr>
                <w:lang w:val="en-GB"/>
              </w:rPr>
            </w:pPr>
            <w:r>
              <w:rPr>
                <w:lang w:val="en-GB"/>
              </w:rPr>
              <w:t xml:space="preserve">- </w:t>
            </w:r>
            <w:r w:rsidRPr="008E3959">
              <w:rPr>
                <w:lang w:val="en-GB"/>
              </w:rPr>
              <w:t>One of the possible improvements is the standardization of local identifiers that assist in search engines, considering that from their crawlers they would identify Local IDs as well as URIs.</w:t>
            </w:r>
          </w:p>
          <w:p w14:paraId="2D2F231A" w14:textId="77777777" w:rsidR="00CF33C0" w:rsidRPr="008E3959" w:rsidRDefault="00CF33C0" w:rsidP="00CF33C0">
            <w:pPr>
              <w:spacing w:after="0" w:line="240" w:lineRule="auto"/>
              <w:jc w:val="both"/>
              <w:rPr>
                <w:lang w:val="en-GB"/>
              </w:rPr>
            </w:pPr>
          </w:p>
          <w:p w14:paraId="483FCD57" w14:textId="0F470D43" w:rsidR="00EB2DCE" w:rsidRPr="008E3959" w:rsidRDefault="008E3959" w:rsidP="00CF33C0">
            <w:pPr>
              <w:spacing w:after="0" w:line="240" w:lineRule="auto"/>
              <w:jc w:val="both"/>
              <w:rPr>
                <w:lang w:val="en-GB"/>
              </w:rPr>
            </w:pPr>
            <w:r>
              <w:rPr>
                <w:lang w:val="en-GB"/>
              </w:rPr>
              <w:t xml:space="preserve">- </w:t>
            </w:r>
            <w:r w:rsidRPr="008E3959">
              <w:rPr>
                <w:lang w:val="en-GB"/>
              </w:rPr>
              <w:t>Free access to crawlers, standardization and ID documentation is essential to meet this metric.</w:t>
            </w:r>
          </w:p>
        </w:tc>
        <w:tc>
          <w:tcPr>
            <w:tcW w:w="3150" w:type="dxa"/>
            <w:shd w:val="clear" w:color="auto" w:fill="auto"/>
            <w:tcMar>
              <w:top w:w="100" w:type="dxa"/>
              <w:left w:w="100" w:type="dxa"/>
              <w:bottom w:w="100" w:type="dxa"/>
              <w:right w:w="100" w:type="dxa"/>
            </w:tcMar>
          </w:tcPr>
          <w:p w14:paraId="52B5589F" w14:textId="77777777" w:rsidR="00EB2DCE" w:rsidRPr="008E3959" w:rsidRDefault="00EB2DCE">
            <w:pPr>
              <w:spacing w:after="0" w:line="240" w:lineRule="auto"/>
              <w:rPr>
                <w:lang w:val="en-GB"/>
              </w:rPr>
            </w:pPr>
          </w:p>
        </w:tc>
      </w:tr>
    </w:tbl>
    <w:p w14:paraId="74BD6780" w14:textId="077E51C6" w:rsidR="00EB2DCE" w:rsidRDefault="00BD084C">
      <w:pPr>
        <w:pStyle w:val="Heading2"/>
      </w:pPr>
      <w:bookmarkStart w:id="5" w:name="_bnish73vlztj" w:colFirst="0" w:colLast="0"/>
      <w:bookmarkEnd w:id="5"/>
      <w:r>
        <w:t>Accessible</w:t>
      </w:r>
    </w:p>
    <w:p w14:paraId="21387DD5" w14:textId="620FC35D" w:rsidR="00EB2DCE" w:rsidRDefault="008E3959">
      <w:pPr>
        <w:pStyle w:val="Heading4"/>
        <w:widowControl w:val="0"/>
        <w:spacing w:after="0" w:line="240" w:lineRule="auto"/>
      </w:pPr>
      <w:bookmarkStart w:id="6" w:name="_ozegtcxz12pg" w:colFirst="0" w:colLast="0"/>
      <w:bookmarkEnd w:id="6"/>
      <w:r>
        <w:t>A1</w:t>
      </w:r>
    </w:p>
    <w:tbl>
      <w:tblPr>
        <w:tblStyle w:val="a3"/>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230"/>
        <w:gridCol w:w="3150"/>
      </w:tblGrid>
      <w:tr w:rsidR="00EB2DCE" w14:paraId="57749196" w14:textId="77777777">
        <w:trPr>
          <w:trHeight w:val="440"/>
        </w:trPr>
        <w:tc>
          <w:tcPr>
            <w:tcW w:w="1530" w:type="dxa"/>
            <w:shd w:val="clear" w:color="auto" w:fill="auto"/>
            <w:tcMar>
              <w:top w:w="100" w:type="dxa"/>
              <w:left w:w="100" w:type="dxa"/>
              <w:bottom w:w="100" w:type="dxa"/>
              <w:right w:w="100" w:type="dxa"/>
            </w:tcMar>
          </w:tcPr>
          <w:p w14:paraId="0F401040" w14:textId="77777777" w:rsidR="00EB2DCE" w:rsidRDefault="00BD084C">
            <w:pPr>
              <w:widowControl w:val="0"/>
              <w:spacing w:after="0" w:line="240" w:lineRule="auto"/>
              <w:jc w:val="center"/>
              <w:rPr>
                <w:b/>
              </w:rPr>
            </w:pPr>
            <w:r>
              <w:rPr>
                <w:b/>
              </w:rPr>
              <w:t>Field</w:t>
            </w:r>
          </w:p>
        </w:tc>
        <w:tc>
          <w:tcPr>
            <w:tcW w:w="4230" w:type="dxa"/>
          </w:tcPr>
          <w:p w14:paraId="27BC1FBF"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771ABA93" w14:textId="77777777" w:rsidR="00EB2DCE" w:rsidRDefault="00BD084C">
            <w:pPr>
              <w:widowControl w:val="0"/>
              <w:spacing w:after="0" w:line="240" w:lineRule="auto"/>
              <w:jc w:val="center"/>
              <w:rPr>
                <w:b/>
              </w:rPr>
            </w:pPr>
            <w:r>
              <w:rPr>
                <w:b/>
              </w:rPr>
              <w:t>References</w:t>
            </w:r>
          </w:p>
        </w:tc>
      </w:tr>
      <w:tr w:rsidR="00EB2DCE" w:rsidRPr="008E3959" w14:paraId="33F90EC2" w14:textId="77777777">
        <w:trPr>
          <w:trHeight w:val="440"/>
        </w:trPr>
        <w:tc>
          <w:tcPr>
            <w:tcW w:w="1530" w:type="dxa"/>
            <w:shd w:val="clear" w:color="auto" w:fill="D9D9D9"/>
            <w:tcMar>
              <w:top w:w="100" w:type="dxa"/>
              <w:left w:w="100" w:type="dxa"/>
              <w:bottom w:w="100" w:type="dxa"/>
              <w:right w:w="100" w:type="dxa"/>
            </w:tcMar>
          </w:tcPr>
          <w:p w14:paraId="2E020ED2" w14:textId="77777777" w:rsidR="00EB2DCE" w:rsidRDefault="00BD084C">
            <w:pPr>
              <w:widowControl w:val="0"/>
              <w:spacing w:after="0" w:line="240" w:lineRule="auto"/>
              <w:rPr>
                <w:b/>
              </w:rPr>
            </w:pPr>
            <w:r>
              <w:rPr>
                <w:b/>
              </w:rPr>
              <w:t>FAIR Principles</w:t>
            </w:r>
          </w:p>
        </w:tc>
        <w:tc>
          <w:tcPr>
            <w:tcW w:w="4230" w:type="dxa"/>
            <w:shd w:val="clear" w:color="auto" w:fill="auto"/>
            <w:tcMar>
              <w:top w:w="100" w:type="dxa"/>
              <w:left w:w="100" w:type="dxa"/>
              <w:bottom w:w="100" w:type="dxa"/>
              <w:right w:w="100" w:type="dxa"/>
            </w:tcMar>
          </w:tcPr>
          <w:p w14:paraId="1FFF5446" w14:textId="33E2E538" w:rsidR="00EB2DCE" w:rsidRPr="008E3959" w:rsidRDefault="000621AC" w:rsidP="000621AC">
            <w:pPr>
              <w:spacing w:after="0" w:line="240" w:lineRule="auto"/>
              <w:jc w:val="both"/>
              <w:rPr>
                <w:lang w:val="en-GB"/>
              </w:rPr>
            </w:pPr>
            <w:r>
              <w:rPr>
                <w:lang w:val="en-GB"/>
              </w:rPr>
              <w:t>- Provide</w:t>
            </w:r>
            <w:r w:rsidR="008E3959" w:rsidRPr="008E3959">
              <w:rPr>
                <w:lang w:val="en-GB"/>
              </w:rPr>
              <w:t xml:space="preserve"> means so that (meta)data can be accessed without the need for proprietary software and protocols. Use widely known protocols (e.g. http, https, ftp ...) and not use software and standards for non-proprietary files (e.g. use csv instead of excel files). In addition, it is seen the need to document and demonstrate to the user what the process is for downloading data, as well as making the process as intuitive and accessible as possible (Human Computer Interaction).</w:t>
            </w:r>
          </w:p>
        </w:tc>
        <w:tc>
          <w:tcPr>
            <w:tcW w:w="3150" w:type="dxa"/>
            <w:shd w:val="clear" w:color="auto" w:fill="auto"/>
            <w:tcMar>
              <w:top w:w="100" w:type="dxa"/>
              <w:left w:w="100" w:type="dxa"/>
              <w:bottom w:w="100" w:type="dxa"/>
              <w:right w:w="100" w:type="dxa"/>
            </w:tcMar>
          </w:tcPr>
          <w:p w14:paraId="2150CDEF" w14:textId="77777777" w:rsidR="00EB2DCE" w:rsidRPr="008E3959" w:rsidRDefault="00EB2DCE">
            <w:pPr>
              <w:spacing w:after="0" w:line="240" w:lineRule="auto"/>
              <w:rPr>
                <w:lang w:val="en-GB"/>
              </w:rPr>
            </w:pPr>
          </w:p>
        </w:tc>
      </w:tr>
    </w:tbl>
    <w:p w14:paraId="74B80682" w14:textId="77777777" w:rsidR="00EB2DCE" w:rsidRDefault="00BD084C">
      <w:pPr>
        <w:pStyle w:val="Heading4"/>
        <w:widowControl w:val="0"/>
        <w:spacing w:after="0" w:line="240" w:lineRule="auto"/>
      </w:pPr>
      <w:bookmarkStart w:id="7" w:name="_s7kf54u4hkoo" w:colFirst="0" w:colLast="0"/>
      <w:bookmarkEnd w:id="7"/>
      <w:r>
        <w:t>A1.1</w:t>
      </w:r>
    </w:p>
    <w:tbl>
      <w:tblPr>
        <w:tblStyle w:val="a4"/>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4170"/>
        <w:gridCol w:w="3150"/>
      </w:tblGrid>
      <w:tr w:rsidR="00EB2DCE" w14:paraId="4DD8BA45" w14:textId="77777777">
        <w:trPr>
          <w:trHeight w:val="440"/>
        </w:trPr>
        <w:tc>
          <w:tcPr>
            <w:tcW w:w="1590" w:type="dxa"/>
            <w:shd w:val="clear" w:color="auto" w:fill="auto"/>
            <w:tcMar>
              <w:top w:w="100" w:type="dxa"/>
              <w:left w:w="100" w:type="dxa"/>
              <w:bottom w:w="100" w:type="dxa"/>
              <w:right w:w="100" w:type="dxa"/>
            </w:tcMar>
          </w:tcPr>
          <w:p w14:paraId="52DEA7DB" w14:textId="77777777" w:rsidR="00EB2DCE" w:rsidRDefault="00BD084C">
            <w:pPr>
              <w:widowControl w:val="0"/>
              <w:spacing w:after="0" w:line="240" w:lineRule="auto"/>
              <w:jc w:val="center"/>
              <w:rPr>
                <w:b/>
              </w:rPr>
            </w:pPr>
            <w:r>
              <w:rPr>
                <w:b/>
              </w:rPr>
              <w:t>Field</w:t>
            </w:r>
          </w:p>
        </w:tc>
        <w:tc>
          <w:tcPr>
            <w:tcW w:w="4170" w:type="dxa"/>
          </w:tcPr>
          <w:p w14:paraId="42DA5580"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4D0EDA47" w14:textId="77777777" w:rsidR="00EB2DCE" w:rsidRDefault="00BD084C">
            <w:pPr>
              <w:widowControl w:val="0"/>
              <w:spacing w:after="0" w:line="240" w:lineRule="auto"/>
              <w:jc w:val="center"/>
              <w:rPr>
                <w:b/>
              </w:rPr>
            </w:pPr>
            <w:r>
              <w:rPr>
                <w:b/>
              </w:rPr>
              <w:t>References</w:t>
            </w:r>
          </w:p>
        </w:tc>
      </w:tr>
      <w:tr w:rsidR="00EB2DCE" w:rsidRPr="00E85FCB" w14:paraId="7F5D5659" w14:textId="77777777">
        <w:trPr>
          <w:trHeight w:val="440"/>
        </w:trPr>
        <w:tc>
          <w:tcPr>
            <w:tcW w:w="1590" w:type="dxa"/>
            <w:shd w:val="clear" w:color="auto" w:fill="D9D9D9"/>
            <w:tcMar>
              <w:top w:w="100" w:type="dxa"/>
              <w:left w:w="100" w:type="dxa"/>
              <w:bottom w:w="100" w:type="dxa"/>
              <w:right w:w="100" w:type="dxa"/>
            </w:tcMar>
          </w:tcPr>
          <w:p w14:paraId="0E6ED92A" w14:textId="77777777" w:rsidR="00EB2DCE" w:rsidRDefault="00BD084C">
            <w:pPr>
              <w:widowControl w:val="0"/>
              <w:spacing w:after="0" w:line="240" w:lineRule="auto"/>
              <w:rPr>
                <w:b/>
              </w:rPr>
            </w:pPr>
            <w:r>
              <w:rPr>
                <w:b/>
              </w:rPr>
              <w:lastRenderedPageBreak/>
              <w:t>FAIR Principles</w:t>
            </w:r>
          </w:p>
        </w:tc>
        <w:tc>
          <w:tcPr>
            <w:tcW w:w="4170" w:type="dxa"/>
            <w:shd w:val="clear" w:color="auto" w:fill="auto"/>
            <w:tcMar>
              <w:top w:w="100" w:type="dxa"/>
              <w:left w:w="100" w:type="dxa"/>
              <w:bottom w:w="100" w:type="dxa"/>
              <w:right w:w="100" w:type="dxa"/>
            </w:tcMar>
          </w:tcPr>
          <w:p w14:paraId="60D44E52" w14:textId="77777777" w:rsidR="00E85FCB" w:rsidRPr="00E85FCB" w:rsidRDefault="00E85FCB" w:rsidP="00CF33C0">
            <w:pPr>
              <w:spacing w:after="0" w:line="240" w:lineRule="auto"/>
              <w:jc w:val="both"/>
              <w:rPr>
                <w:lang w:val="en-GB"/>
              </w:rPr>
            </w:pPr>
            <w:r w:rsidRPr="00E85FCB">
              <w:rPr>
                <w:lang w:val="en-GB"/>
              </w:rPr>
              <w:t>- In the case of accessing data that do not have access restrictions, it is essential that they are accessed through non-proprietary protocols, do not offer any type of restriction for accessing the data, provide means for understanding how the data can be accessed without restriction (</w:t>
            </w:r>
            <w:proofErr w:type="spellStart"/>
            <w:r w:rsidRPr="00E85FCB">
              <w:rPr>
                <w:lang w:val="en-GB"/>
              </w:rPr>
              <w:t>eg</w:t>
            </w:r>
            <w:proofErr w:type="spellEnd"/>
            <w:r w:rsidRPr="00E85FCB">
              <w:rPr>
                <w:lang w:val="en-GB"/>
              </w:rPr>
              <w:t xml:space="preserve"> documents, tutorials).</w:t>
            </w:r>
          </w:p>
          <w:p w14:paraId="4BCD7BBA" w14:textId="77777777" w:rsidR="00E85FCB" w:rsidRPr="00E85FCB" w:rsidRDefault="00E85FCB" w:rsidP="00CF33C0">
            <w:pPr>
              <w:spacing w:after="0" w:line="240" w:lineRule="auto"/>
              <w:jc w:val="both"/>
              <w:rPr>
                <w:lang w:val="en-GB"/>
              </w:rPr>
            </w:pPr>
          </w:p>
          <w:p w14:paraId="4D8DC98B" w14:textId="2510638A" w:rsidR="00E85FCB" w:rsidRPr="00E85FCB" w:rsidRDefault="00E85FCB" w:rsidP="00CF33C0">
            <w:pPr>
              <w:spacing w:after="0" w:line="240" w:lineRule="auto"/>
              <w:jc w:val="both"/>
              <w:rPr>
                <w:lang w:val="en-GB"/>
              </w:rPr>
            </w:pPr>
            <w:r w:rsidRPr="00E85FCB">
              <w:rPr>
                <w:lang w:val="en-GB"/>
              </w:rPr>
              <w:t>- Use of URIs (e.g. InChI keys, DOIs, identifiers and URLs) within the metadata that return the data itself and information about the metadata without the need for authentication and authorization and the use of proprietary protocols or software.</w:t>
            </w:r>
          </w:p>
        </w:tc>
        <w:tc>
          <w:tcPr>
            <w:tcW w:w="3150" w:type="dxa"/>
            <w:shd w:val="clear" w:color="auto" w:fill="auto"/>
            <w:tcMar>
              <w:top w:w="100" w:type="dxa"/>
              <w:left w:w="100" w:type="dxa"/>
              <w:bottom w:w="100" w:type="dxa"/>
              <w:right w:w="100" w:type="dxa"/>
            </w:tcMar>
          </w:tcPr>
          <w:p w14:paraId="5379B68E" w14:textId="77777777" w:rsidR="00EB2DCE" w:rsidRPr="00E85FCB" w:rsidRDefault="00EB2DCE">
            <w:pPr>
              <w:spacing w:after="0" w:line="240" w:lineRule="auto"/>
              <w:rPr>
                <w:lang w:val="en-GB"/>
              </w:rPr>
            </w:pPr>
          </w:p>
        </w:tc>
      </w:tr>
    </w:tbl>
    <w:p w14:paraId="32E0E336" w14:textId="77777777" w:rsidR="00EB2DCE" w:rsidRDefault="00BD084C">
      <w:pPr>
        <w:pStyle w:val="Heading4"/>
        <w:widowControl w:val="0"/>
        <w:spacing w:after="0" w:line="240" w:lineRule="auto"/>
      </w:pPr>
      <w:bookmarkStart w:id="8" w:name="_zfmo7zacszx2" w:colFirst="0" w:colLast="0"/>
      <w:bookmarkEnd w:id="8"/>
      <w:r>
        <w:t>A1.2</w:t>
      </w:r>
    </w:p>
    <w:tbl>
      <w:tblPr>
        <w:tblStyle w:val="a5"/>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3990"/>
        <w:gridCol w:w="3150"/>
      </w:tblGrid>
      <w:tr w:rsidR="00EB2DCE" w14:paraId="5EAF2A16" w14:textId="77777777">
        <w:trPr>
          <w:trHeight w:val="440"/>
        </w:trPr>
        <w:tc>
          <w:tcPr>
            <w:tcW w:w="1770" w:type="dxa"/>
            <w:shd w:val="clear" w:color="auto" w:fill="auto"/>
            <w:tcMar>
              <w:top w:w="100" w:type="dxa"/>
              <w:left w:w="100" w:type="dxa"/>
              <w:bottom w:w="100" w:type="dxa"/>
              <w:right w:w="100" w:type="dxa"/>
            </w:tcMar>
          </w:tcPr>
          <w:p w14:paraId="7879612F" w14:textId="77777777" w:rsidR="00EB2DCE" w:rsidRDefault="00BD084C">
            <w:pPr>
              <w:widowControl w:val="0"/>
              <w:spacing w:after="0" w:line="240" w:lineRule="auto"/>
              <w:jc w:val="center"/>
              <w:rPr>
                <w:b/>
              </w:rPr>
            </w:pPr>
            <w:r>
              <w:rPr>
                <w:b/>
              </w:rPr>
              <w:t>Field</w:t>
            </w:r>
          </w:p>
        </w:tc>
        <w:tc>
          <w:tcPr>
            <w:tcW w:w="3990" w:type="dxa"/>
          </w:tcPr>
          <w:p w14:paraId="63924EB8"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7EE2D26A" w14:textId="77777777" w:rsidR="00EB2DCE" w:rsidRDefault="00BD084C">
            <w:pPr>
              <w:widowControl w:val="0"/>
              <w:spacing w:after="0" w:line="240" w:lineRule="auto"/>
              <w:jc w:val="center"/>
              <w:rPr>
                <w:b/>
              </w:rPr>
            </w:pPr>
            <w:r>
              <w:rPr>
                <w:b/>
              </w:rPr>
              <w:t>References</w:t>
            </w:r>
          </w:p>
        </w:tc>
      </w:tr>
      <w:tr w:rsidR="00EB2DCE" w:rsidRPr="00CF33C0" w14:paraId="0217A2D6" w14:textId="77777777">
        <w:trPr>
          <w:trHeight w:val="440"/>
        </w:trPr>
        <w:tc>
          <w:tcPr>
            <w:tcW w:w="1770" w:type="dxa"/>
            <w:shd w:val="clear" w:color="auto" w:fill="D9D9D9"/>
            <w:tcMar>
              <w:top w:w="100" w:type="dxa"/>
              <w:left w:w="100" w:type="dxa"/>
              <w:bottom w:w="100" w:type="dxa"/>
              <w:right w:w="100" w:type="dxa"/>
            </w:tcMar>
          </w:tcPr>
          <w:p w14:paraId="00EE7852" w14:textId="77777777" w:rsidR="00EB2DCE" w:rsidRDefault="00BD084C">
            <w:pPr>
              <w:widowControl w:val="0"/>
              <w:spacing w:after="0" w:line="240" w:lineRule="auto"/>
              <w:rPr>
                <w:b/>
              </w:rPr>
            </w:pPr>
            <w:r>
              <w:rPr>
                <w:b/>
              </w:rPr>
              <w:t>FAIR Principles</w:t>
            </w:r>
          </w:p>
        </w:tc>
        <w:tc>
          <w:tcPr>
            <w:tcW w:w="3990" w:type="dxa"/>
            <w:shd w:val="clear" w:color="auto" w:fill="auto"/>
            <w:tcMar>
              <w:top w:w="100" w:type="dxa"/>
              <w:left w:w="100" w:type="dxa"/>
              <w:bottom w:w="100" w:type="dxa"/>
              <w:right w:w="100" w:type="dxa"/>
            </w:tcMar>
          </w:tcPr>
          <w:p w14:paraId="30FFC88D" w14:textId="2A2CBB7A" w:rsidR="00CF33C0" w:rsidRPr="00CF33C0" w:rsidRDefault="00CF33C0" w:rsidP="00CF33C0">
            <w:pPr>
              <w:spacing w:after="0" w:line="240" w:lineRule="auto"/>
              <w:jc w:val="both"/>
              <w:rPr>
                <w:lang w:val="en-GB"/>
              </w:rPr>
            </w:pPr>
            <w:r>
              <w:rPr>
                <w:lang w:val="en-GB"/>
              </w:rPr>
              <w:t xml:space="preserve">- </w:t>
            </w:r>
            <w:r w:rsidRPr="00CF33C0">
              <w:rPr>
                <w:lang w:val="en-GB"/>
              </w:rPr>
              <w:t>If there is a need to restrict the (meta)data (e.g. sensitive data related to health) it is necessary to establish means for there to be restriction through user authentication and authorization through the data holder or repository. It is extremely important that the entire process for accessing the data is documented for the understanding of the user who needs to use the data in question.</w:t>
            </w:r>
          </w:p>
          <w:p w14:paraId="5FBDA515" w14:textId="77777777" w:rsidR="00CF33C0" w:rsidRPr="00CF33C0" w:rsidRDefault="00CF33C0" w:rsidP="00CF33C0">
            <w:pPr>
              <w:spacing w:after="0" w:line="240" w:lineRule="auto"/>
              <w:jc w:val="both"/>
              <w:rPr>
                <w:lang w:val="en-GB"/>
              </w:rPr>
            </w:pPr>
          </w:p>
          <w:p w14:paraId="09730AFF" w14:textId="3B62D1AA" w:rsidR="00CF33C0" w:rsidRPr="00CF33C0" w:rsidRDefault="00CF33C0" w:rsidP="00CF33C0">
            <w:pPr>
              <w:spacing w:after="0" w:line="240" w:lineRule="auto"/>
              <w:jc w:val="both"/>
              <w:rPr>
                <w:lang w:val="en-GB"/>
              </w:rPr>
            </w:pPr>
            <w:r>
              <w:rPr>
                <w:lang w:val="en-GB"/>
              </w:rPr>
              <w:t xml:space="preserve">- </w:t>
            </w:r>
            <w:r w:rsidRPr="00CF33C0">
              <w:rPr>
                <w:lang w:val="en-GB"/>
              </w:rPr>
              <w:t>Provide means to make it possible to carry out authentication and authorization automatically for data access or to identify that users must go through previous authentication and / or authorization steps to access data (</w:t>
            </w:r>
            <w:proofErr w:type="spellStart"/>
            <w:r w:rsidRPr="00CF33C0">
              <w:rPr>
                <w:lang w:val="en-GB"/>
              </w:rPr>
              <w:t>eg</w:t>
            </w:r>
            <w:proofErr w:type="spellEnd"/>
            <w:r w:rsidRPr="00CF33C0">
              <w:rPr>
                <w:lang w:val="en-GB"/>
              </w:rPr>
              <w:t xml:space="preserve"> use tags in languages ​​recognizable by machines that identify this need).</w:t>
            </w:r>
          </w:p>
          <w:p w14:paraId="1D798F7D" w14:textId="77777777" w:rsidR="00CF33C0" w:rsidRPr="00CF33C0" w:rsidRDefault="00CF33C0" w:rsidP="00CF33C0">
            <w:pPr>
              <w:spacing w:after="0" w:line="240" w:lineRule="auto"/>
              <w:jc w:val="both"/>
              <w:rPr>
                <w:lang w:val="en-GB"/>
              </w:rPr>
            </w:pPr>
          </w:p>
          <w:p w14:paraId="578A8B99" w14:textId="7A7F10E7" w:rsidR="00EB2DCE" w:rsidRPr="00CF33C0" w:rsidRDefault="00CF33C0" w:rsidP="00CF33C0">
            <w:pPr>
              <w:spacing w:after="0" w:line="240" w:lineRule="auto"/>
              <w:jc w:val="both"/>
              <w:rPr>
                <w:lang w:val="en-GB"/>
              </w:rPr>
            </w:pPr>
            <w:r>
              <w:rPr>
                <w:lang w:val="en-GB"/>
              </w:rPr>
              <w:t xml:space="preserve">- </w:t>
            </w:r>
            <w:r w:rsidRPr="00CF33C0">
              <w:rPr>
                <w:lang w:val="en-GB"/>
              </w:rPr>
              <w:t xml:space="preserve">One must take into account the need to provide some type of free access metadata, in order to assist the user in having knowledge of the data that he will have access to, in order for the user to be sure that it is the data he needs, thus being able to optimize the </w:t>
            </w:r>
            <w:r w:rsidRPr="00CF33C0">
              <w:rPr>
                <w:lang w:val="en-GB"/>
              </w:rPr>
              <w:lastRenderedPageBreak/>
              <w:t>functions both on the user side and on the data holder and repository side. The same recommendations applied to FMGEN2 - Data Authentication and Authorization apply to this recommendation.</w:t>
            </w:r>
          </w:p>
        </w:tc>
        <w:tc>
          <w:tcPr>
            <w:tcW w:w="3150" w:type="dxa"/>
            <w:shd w:val="clear" w:color="auto" w:fill="auto"/>
            <w:tcMar>
              <w:top w:w="100" w:type="dxa"/>
              <w:left w:w="100" w:type="dxa"/>
              <w:bottom w:w="100" w:type="dxa"/>
              <w:right w:w="100" w:type="dxa"/>
            </w:tcMar>
          </w:tcPr>
          <w:p w14:paraId="791A540E" w14:textId="77777777" w:rsidR="00EB2DCE" w:rsidRPr="00CF33C0" w:rsidRDefault="00EB2DCE">
            <w:pPr>
              <w:spacing w:after="0" w:line="240" w:lineRule="auto"/>
              <w:rPr>
                <w:lang w:val="en-GB"/>
              </w:rPr>
            </w:pPr>
          </w:p>
        </w:tc>
      </w:tr>
    </w:tbl>
    <w:p w14:paraId="7C808247" w14:textId="77777777" w:rsidR="00EB2DCE" w:rsidRDefault="00BD084C">
      <w:pPr>
        <w:pStyle w:val="Heading4"/>
        <w:widowControl w:val="0"/>
        <w:spacing w:after="0" w:line="240" w:lineRule="auto"/>
      </w:pPr>
      <w:bookmarkStart w:id="9" w:name="_meg8jqjwwuic" w:colFirst="0" w:colLast="0"/>
      <w:bookmarkEnd w:id="9"/>
      <w:r>
        <w:t>A2</w:t>
      </w:r>
    </w:p>
    <w:tbl>
      <w:tblPr>
        <w:tblStyle w:val="a6"/>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4335"/>
        <w:gridCol w:w="3150"/>
      </w:tblGrid>
      <w:tr w:rsidR="00EB2DCE" w14:paraId="0085F440" w14:textId="77777777">
        <w:trPr>
          <w:trHeight w:val="440"/>
        </w:trPr>
        <w:tc>
          <w:tcPr>
            <w:tcW w:w="1425" w:type="dxa"/>
            <w:shd w:val="clear" w:color="auto" w:fill="auto"/>
            <w:tcMar>
              <w:top w:w="100" w:type="dxa"/>
              <w:left w:w="100" w:type="dxa"/>
              <w:bottom w:w="100" w:type="dxa"/>
              <w:right w:w="100" w:type="dxa"/>
            </w:tcMar>
          </w:tcPr>
          <w:p w14:paraId="6912D274" w14:textId="77777777" w:rsidR="00EB2DCE" w:rsidRDefault="00BD084C">
            <w:pPr>
              <w:widowControl w:val="0"/>
              <w:spacing w:after="0" w:line="240" w:lineRule="auto"/>
              <w:jc w:val="center"/>
              <w:rPr>
                <w:b/>
              </w:rPr>
            </w:pPr>
            <w:r>
              <w:rPr>
                <w:b/>
              </w:rPr>
              <w:t>Field</w:t>
            </w:r>
          </w:p>
        </w:tc>
        <w:tc>
          <w:tcPr>
            <w:tcW w:w="4335" w:type="dxa"/>
          </w:tcPr>
          <w:p w14:paraId="1220A54E"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097249CD" w14:textId="77777777" w:rsidR="00EB2DCE" w:rsidRDefault="00BD084C">
            <w:pPr>
              <w:widowControl w:val="0"/>
              <w:spacing w:after="0" w:line="240" w:lineRule="auto"/>
              <w:jc w:val="center"/>
              <w:rPr>
                <w:b/>
              </w:rPr>
            </w:pPr>
            <w:r>
              <w:rPr>
                <w:b/>
              </w:rPr>
              <w:t>References</w:t>
            </w:r>
          </w:p>
        </w:tc>
      </w:tr>
      <w:tr w:rsidR="00CF33C0" w:rsidRPr="00CF33C0" w14:paraId="7EEC3A07" w14:textId="77777777">
        <w:trPr>
          <w:trHeight w:val="440"/>
        </w:trPr>
        <w:tc>
          <w:tcPr>
            <w:tcW w:w="1425" w:type="dxa"/>
            <w:shd w:val="clear" w:color="auto" w:fill="D9D9D9"/>
            <w:tcMar>
              <w:top w:w="100" w:type="dxa"/>
              <w:left w:w="100" w:type="dxa"/>
              <w:bottom w:w="100" w:type="dxa"/>
              <w:right w:w="100" w:type="dxa"/>
            </w:tcMar>
          </w:tcPr>
          <w:p w14:paraId="2DF7E643" w14:textId="77777777" w:rsidR="00CF33C0" w:rsidRDefault="00CF33C0" w:rsidP="00CF33C0">
            <w:pPr>
              <w:widowControl w:val="0"/>
              <w:spacing w:after="0" w:line="240" w:lineRule="auto"/>
              <w:rPr>
                <w:b/>
              </w:rPr>
            </w:pPr>
            <w:r>
              <w:rPr>
                <w:b/>
              </w:rPr>
              <w:t>FAIR Principles</w:t>
            </w:r>
          </w:p>
        </w:tc>
        <w:tc>
          <w:tcPr>
            <w:tcW w:w="4335" w:type="dxa"/>
            <w:shd w:val="clear" w:color="auto" w:fill="auto"/>
            <w:tcMar>
              <w:top w:w="100" w:type="dxa"/>
              <w:left w:w="100" w:type="dxa"/>
              <w:bottom w:w="100" w:type="dxa"/>
              <w:right w:w="100" w:type="dxa"/>
            </w:tcMar>
          </w:tcPr>
          <w:p w14:paraId="05936298" w14:textId="0F96C304" w:rsidR="00CF33C0" w:rsidRDefault="00CF33C0" w:rsidP="00CF33C0">
            <w:pPr>
              <w:widowControl w:val="0"/>
              <w:spacing w:after="0" w:line="240" w:lineRule="auto"/>
            </w:pPr>
            <w:r>
              <w:t xml:space="preserve">- </w:t>
            </w:r>
            <w:r>
              <w:t>Creation of versioning policies, use of globally unique and persistent identifiers with the storage of old versions of metadata. Metadata in text type, link to the most up-to-date data, metadata about the data holder, link to versioning repository containing old metadata, are examples of improvement.</w:t>
            </w:r>
          </w:p>
          <w:p w14:paraId="023A20C3" w14:textId="77777777" w:rsidR="00CF33C0" w:rsidRDefault="00CF33C0" w:rsidP="00CF33C0">
            <w:pPr>
              <w:widowControl w:val="0"/>
              <w:spacing w:after="0" w:line="240" w:lineRule="auto"/>
            </w:pPr>
          </w:p>
          <w:p w14:paraId="0B078D85" w14:textId="249DF795" w:rsidR="00CF33C0" w:rsidRDefault="00CF33C0" w:rsidP="00CF33C0">
            <w:pPr>
              <w:widowControl w:val="0"/>
              <w:spacing w:after="0" w:line="240" w:lineRule="auto"/>
            </w:pPr>
            <w:r>
              <w:t xml:space="preserve">- </w:t>
            </w:r>
            <w:r>
              <w:t>Resolution of possible URIs prior to (meta)data so that the user is not led to errors in access (resolution to return to the newest URI). Pay attention to this principle mainly due to the F4 where the old URI may be indexed with a higher value than the new URI.</w:t>
            </w:r>
          </w:p>
          <w:p w14:paraId="3BCCCF08" w14:textId="77777777" w:rsidR="00CF33C0" w:rsidRDefault="00CF33C0" w:rsidP="00CF33C0">
            <w:pPr>
              <w:widowControl w:val="0"/>
              <w:spacing w:after="0" w:line="240" w:lineRule="auto"/>
            </w:pPr>
          </w:p>
          <w:p w14:paraId="3F447812" w14:textId="2CA3D7E3" w:rsidR="00CF33C0" w:rsidRPr="00CF33C0" w:rsidRDefault="00CF33C0" w:rsidP="00CF33C0">
            <w:pPr>
              <w:widowControl w:val="0"/>
              <w:spacing w:after="0" w:line="240" w:lineRule="auto"/>
              <w:rPr>
                <w:lang w:val="en-GB"/>
              </w:rPr>
            </w:pPr>
            <w:r>
              <w:t xml:space="preserve">- </w:t>
            </w:r>
            <w:r>
              <w:t>Use of persistence and versioning policies are essential to not generate problems to the (meta)data (</w:t>
            </w:r>
            <w:r>
              <w:t>e.g.</w:t>
            </w:r>
            <w:r>
              <w:t xml:space="preserve"> inconsistency), when using policies at this level it is necessary that they are seen by machines, in order to assist in understanding where to find the</w:t>
            </w:r>
            <w:r>
              <w:t xml:space="preserve"> newer</w:t>
            </w:r>
            <w:r>
              <w:t xml:space="preserve"> (meta)data if old versions are accessed, or that it is no longer available.</w:t>
            </w:r>
          </w:p>
        </w:tc>
        <w:tc>
          <w:tcPr>
            <w:tcW w:w="3150" w:type="dxa"/>
            <w:shd w:val="clear" w:color="auto" w:fill="auto"/>
            <w:tcMar>
              <w:top w:w="100" w:type="dxa"/>
              <w:left w:w="100" w:type="dxa"/>
              <w:bottom w:w="100" w:type="dxa"/>
              <w:right w:w="100" w:type="dxa"/>
            </w:tcMar>
          </w:tcPr>
          <w:p w14:paraId="40BF1DEF" w14:textId="77777777" w:rsidR="00CF33C0" w:rsidRPr="00CF33C0" w:rsidRDefault="00CF33C0" w:rsidP="00CF33C0">
            <w:pPr>
              <w:spacing w:after="0" w:line="240" w:lineRule="auto"/>
              <w:rPr>
                <w:lang w:val="en-GB"/>
              </w:rPr>
            </w:pPr>
          </w:p>
        </w:tc>
      </w:tr>
    </w:tbl>
    <w:p w14:paraId="28C528B7" w14:textId="77777777" w:rsidR="00EB2DCE" w:rsidRDefault="00BD084C">
      <w:pPr>
        <w:pStyle w:val="Heading2"/>
      </w:pPr>
      <w:bookmarkStart w:id="10" w:name="_hewkyvhrw0ep" w:colFirst="0" w:colLast="0"/>
      <w:bookmarkEnd w:id="10"/>
      <w:r>
        <w:t>Interoperable</w:t>
      </w:r>
    </w:p>
    <w:p w14:paraId="2EB7B838" w14:textId="77777777" w:rsidR="00EB2DCE" w:rsidRDefault="00BD084C">
      <w:pPr>
        <w:pStyle w:val="Heading4"/>
        <w:widowControl w:val="0"/>
        <w:spacing w:after="0" w:line="240" w:lineRule="auto"/>
      </w:pPr>
      <w:bookmarkStart w:id="11" w:name="_z06d5mncbs5b" w:colFirst="0" w:colLast="0"/>
      <w:bookmarkEnd w:id="11"/>
      <w:r>
        <w:t>I1</w:t>
      </w:r>
    </w:p>
    <w:tbl>
      <w:tblPr>
        <w:tblStyle w:val="a7"/>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4260"/>
        <w:gridCol w:w="3150"/>
      </w:tblGrid>
      <w:tr w:rsidR="00EB2DCE" w14:paraId="384E8FCA" w14:textId="77777777">
        <w:trPr>
          <w:trHeight w:val="440"/>
        </w:trPr>
        <w:tc>
          <w:tcPr>
            <w:tcW w:w="1500" w:type="dxa"/>
            <w:shd w:val="clear" w:color="auto" w:fill="auto"/>
            <w:tcMar>
              <w:top w:w="100" w:type="dxa"/>
              <w:left w:w="100" w:type="dxa"/>
              <w:bottom w:w="100" w:type="dxa"/>
              <w:right w:w="100" w:type="dxa"/>
            </w:tcMar>
          </w:tcPr>
          <w:p w14:paraId="5922F79C" w14:textId="77777777" w:rsidR="00EB2DCE" w:rsidRDefault="00BD084C">
            <w:pPr>
              <w:widowControl w:val="0"/>
              <w:spacing w:after="0" w:line="240" w:lineRule="auto"/>
              <w:jc w:val="center"/>
              <w:rPr>
                <w:b/>
              </w:rPr>
            </w:pPr>
            <w:r>
              <w:rPr>
                <w:b/>
              </w:rPr>
              <w:t>Field</w:t>
            </w:r>
          </w:p>
        </w:tc>
        <w:tc>
          <w:tcPr>
            <w:tcW w:w="4260" w:type="dxa"/>
          </w:tcPr>
          <w:p w14:paraId="2D820F83"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7199E762" w14:textId="77777777" w:rsidR="00EB2DCE" w:rsidRDefault="00BD084C">
            <w:pPr>
              <w:widowControl w:val="0"/>
              <w:spacing w:after="0" w:line="240" w:lineRule="auto"/>
              <w:jc w:val="center"/>
              <w:rPr>
                <w:b/>
              </w:rPr>
            </w:pPr>
            <w:r>
              <w:rPr>
                <w:b/>
              </w:rPr>
              <w:t>References</w:t>
            </w:r>
          </w:p>
        </w:tc>
      </w:tr>
      <w:tr w:rsidR="00EB2DCE" w:rsidRPr="00CF33C0" w14:paraId="7B2DE7A2" w14:textId="77777777">
        <w:trPr>
          <w:trHeight w:val="440"/>
        </w:trPr>
        <w:tc>
          <w:tcPr>
            <w:tcW w:w="1500" w:type="dxa"/>
            <w:shd w:val="clear" w:color="auto" w:fill="D9D9D9"/>
            <w:tcMar>
              <w:top w:w="100" w:type="dxa"/>
              <w:left w:w="100" w:type="dxa"/>
              <w:bottom w:w="100" w:type="dxa"/>
              <w:right w:w="100" w:type="dxa"/>
            </w:tcMar>
          </w:tcPr>
          <w:p w14:paraId="38EF1585" w14:textId="77777777" w:rsidR="00EB2DCE" w:rsidRDefault="00BD084C">
            <w:pPr>
              <w:widowControl w:val="0"/>
              <w:spacing w:after="0" w:line="240" w:lineRule="auto"/>
              <w:rPr>
                <w:b/>
              </w:rPr>
            </w:pPr>
            <w:r>
              <w:rPr>
                <w:b/>
              </w:rPr>
              <w:t>FAIR Principles</w:t>
            </w:r>
          </w:p>
        </w:tc>
        <w:tc>
          <w:tcPr>
            <w:tcW w:w="4260" w:type="dxa"/>
            <w:shd w:val="clear" w:color="auto" w:fill="auto"/>
            <w:tcMar>
              <w:top w:w="100" w:type="dxa"/>
              <w:left w:w="100" w:type="dxa"/>
              <w:bottom w:w="100" w:type="dxa"/>
              <w:right w:w="100" w:type="dxa"/>
            </w:tcMar>
          </w:tcPr>
          <w:p w14:paraId="471960B0" w14:textId="17F6A0F7" w:rsidR="00EB2DCE" w:rsidRPr="00CF33C0" w:rsidRDefault="00D81522" w:rsidP="00D81522">
            <w:pPr>
              <w:widowControl w:val="0"/>
              <w:spacing w:after="0" w:line="240" w:lineRule="auto"/>
              <w:jc w:val="both"/>
              <w:rPr>
                <w:lang w:val="en-GB"/>
              </w:rPr>
            </w:pPr>
            <w:r>
              <w:rPr>
                <w:lang w:val="en-GB"/>
              </w:rPr>
              <w:t xml:space="preserve">- </w:t>
            </w:r>
            <w:r w:rsidR="00CF33C0" w:rsidRPr="00CF33C0">
              <w:rPr>
                <w:lang w:val="en-GB"/>
              </w:rPr>
              <w:t>Provide means for the (meta)data to be as detailed as possible regarding the use of knowledge representation languages (</w:t>
            </w:r>
            <w:proofErr w:type="spellStart"/>
            <w:r w:rsidR="00CF33C0" w:rsidRPr="00CF33C0">
              <w:rPr>
                <w:lang w:val="en-GB"/>
              </w:rPr>
              <w:t>eg</w:t>
            </w:r>
            <w:proofErr w:type="spellEnd"/>
            <w:r w:rsidR="00CF33C0" w:rsidRPr="00CF33C0">
              <w:rPr>
                <w:lang w:val="en-GB"/>
              </w:rPr>
              <w:t xml:space="preserve"> RDF, OWL, DAML-OIL, JSON LD, are </w:t>
            </w:r>
            <w:r w:rsidR="00CF33C0" w:rsidRPr="00CF33C0">
              <w:rPr>
                <w:lang w:val="en-GB"/>
              </w:rPr>
              <w:lastRenderedPageBreak/>
              <w:t>highly used examples) and the use of thesaurus, ontologies,</w:t>
            </w:r>
            <w:r w:rsidRPr="00CF33C0">
              <w:rPr>
                <w:lang w:val="en-GB"/>
              </w:rPr>
              <w:t xml:space="preserve"> </w:t>
            </w:r>
            <w:r w:rsidRPr="00CF33C0">
              <w:rPr>
                <w:lang w:val="en-GB"/>
              </w:rPr>
              <w:t>controlled</w:t>
            </w:r>
            <w:r w:rsidR="00CF33C0" w:rsidRPr="00CF33C0">
              <w:rPr>
                <w:lang w:val="en-GB"/>
              </w:rPr>
              <w:t xml:space="preserve"> vocabularies, where they meet the requirement F1. Compliance with these recommendations helps to increase interoperability between different (meta)data.</w:t>
            </w:r>
          </w:p>
        </w:tc>
        <w:tc>
          <w:tcPr>
            <w:tcW w:w="3150" w:type="dxa"/>
            <w:shd w:val="clear" w:color="auto" w:fill="auto"/>
            <w:tcMar>
              <w:top w:w="100" w:type="dxa"/>
              <w:left w:w="100" w:type="dxa"/>
              <w:bottom w:w="100" w:type="dxa"/>
              <w:right w:w="100" w:type="dxa"/>
            </w:tcMar>
          </w:tcPr>
          <w:p w14:paraId="339F23D1" w14:textId="77777777" w:rsidR="00EB2DCE" w:rsidRPr="00CF33C0" w:rsidRDefault="00EB2DCE">
            <w:pPr>
              <w:spacing w:after="0" w:line="240" w:lineRule="auto"/>
              <w:rPr>
                <w:lang w:val="en-GB"/>
              </w:rPr>
            </w:pPr>
          </w:p>
        </w:tc>
      </w:tr>
    </w:tbl>
    <w:p w14:paraId="63DFE152" w14:textId="77777777" w:rsidR="00EB2DCE" w:rsidRDefault="00BD084C">
      <w:pPr>
        <w:pStyle w:val="Heading4"/>
        <w:widowControl w:val="0"/>
        <w:spacing w:after="0" w:line="240" w:lineRule="auto"/>
      </w:pPr>
      <w:bookmarkStart w:id="12" w:name="_yrse2qb2653b" w:colFirst="0" w:colLast="0"/>
      <w:bookmarkEnd w:id="12"/>
      <w:r>
        <w:t>I2</w:t>
      </w:r>
    </w:p>
    <w:tbl>
      <w:tblPr>
        <w:tblStyle w:val="a8"/>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200"/>
        <w:gridCol w:w="3150"/>
      </w:tblGrid>
      <w:tr w:rsidR="00EB2DCE" w14:paraId="7E418C03" w14:textId="77777777">
        <w:trPr>
          <w:trHeight w:val="440"/>
        </w:trPr>
        <w:tc>
          <w:tcPr>
            <w:tcW w:w="1560" w:type="dxa"/>
            <w:shd w:val="clear" w:color="auto" w:fill="auto"/>
            <w:tcMar>
              <w:top w:w="100" w:type="dxa"/>
              <w:left w:w="100" w:type="dxa"/>
              <w:bottom w:w="100" w:type="dxa"/>
              <w:right w:w="100" w:type="dxa"/>
            </w:tcMar>
          </w:tcPr>
          <w:p w14:paraId="1ED3E294" w14:textId="77777777" w:rsidR="00EB2DCE" w:rsidRDefault="00BD084C">
            <w:pPr>
              <w:widowControl w:val="0"/>
              <w:spacing w:after="0" w:line="240" w:lineRule="auto"/>
              <w:jc w:val="center"/>
              <w:rPr>
                <w:b/>
              </w:rPr>
            </w:pPr>
            <w:r>
              <w:rPr>
                <w:b/>
              </w:rPr>
              <w:t>Field</w:t>
            </w:r>
          </w:p>
        </w:tc>
        <w:tc>
          <w:tcPr>
            <w:tcW w:w="4200" w:type="dxa"/>
          </w:tcPr>
          <w:p w14:paraId="41A80ECC"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674C8970" w14:textId="77777777" w:rsidR="00EB2DCE" w:rsidRDefault="00BD084C">
            <w:pPr>
              <w:widowControl w:val="0"/>
              <w:spacing w:after="0" w:line="240" w:lineRule="auto"/>
              <w:jc w:val="center"/>
              <w:rPr>
                <w:b/>
              </w:rPr>
            </w:pPr>
            <w:r>
              <w:rPr>
                <w:b/>
              </w:rPr>
              <w:t>References</w:t>
            </w:r>
          </w:p>
        </w:tc>
      </w:tr>
      <w:tr w:rsidR="00EB2DCE" w:rsidRPr="00D81522" w14:paraId="6B014380" w14:textId="77777777">
        <w:trPr>
          <w:trHeight w:val="440"/>
        </w:trPr>
        <w:tc>
          <w:tcPr>
            <w:tcW w:w="1560" w:type="dxa"/>
            <w:shd w:val="clear" w:color="auto" w:fill="D9D9D9"/>
            <w:tcMar>
              <w:top w:w="100" w:type="dxa"/>
              <w:left w:w="100" w:type="dxa"/>
              <w:bottom w:w="100" w:type="dxa"/>
              <w:right w:w="100" w:type="dxa"/>
            </w:tcMar>
          </w:tcPr>
          <w:p w14:paraId="33A558BC" w14:textId="77777777" w:rsidR="00EB2DCE" w:rsidRDefault="00BD084C">
            <w:pPr>
              <w:widowControl w:val="0"/>
              <w:spacing w:after="0" w:line="240" w:lineRule="auto"/>
              <w:rPr>
                <w:b/>
              </w:rPr>
            </w:pPr>
            <w:r>
              <w:rPr>
                <w:b/>
              </w:rPr>
              <w:t>FAIR Principles</w:t>
            </w:r>
          </w:p>
        </w:tc>
        <w:tc>
          <w:tcPr>
            <w:tcW w:w="4200" w:type="dxa"/>
            <w:shd w:val="clear" w:color="auto" w:fill="auto"/>
            <w:tcMar>
              <w:top w:w="100" w:type="dxa"/>
              <w:left w:w="100" w:type="dxa"/>
              <w:bottom w:w="100" w:type="dxa"/>
              <w:right w:w="100" w:type="dxa"/>
            </w:tcMar>
          </w:tcPr>
          <w:p w14:paraId="6949F1B2" w14:textId="0A4FCFC0" w:rsidR="00EB2DCE" w:rsidRPr="00D81522" w:rsidRDefault="00D81522" w:rsidP="00D81522">
            <w:pPr>
              <w:widowControl w:val="0"/>
              <w:spacing w:after="0" w:line="240" w:lineRule="auto"/>
              <w:jc w:val="both"/>
              <w:rPr>
                <w:lang w:val="en-GB"/>
              </w:rPr>
            </w:pPr>
            <w:r>
              <w:rPr>
                <w:lang w:val="en-GB"/>
              </w:rPr>
              <w:t xml:space="preserve">- </w:t>
            </w:r>
            <w:r w:rsidRPr="00D81522">
              <w:rPr>
                <w:lang w:val="en-GB"/>
              </w:rPr>
              <w:t xml:space="preserve">This recommendation is fulfilled from the adaptation or development of vocabularies used by the repositories to the FAIR principles, the standardization can take place through the adoption of the </w:t>
            </w:r>
            <w:proofErr w:type="spellStart"/>
            <w:r w:rsidRPr="00D81522">
              <w:rPr>
                <w:lang w:val="en-GB"/>
              </w:rPr>
              <w:t>FAIRification</w:t>
            </w:r>
            <w:proofErr w:type="spellEnd"/>
            <w:r w:rsidRPr="00D81522">
              <w:rPr>
                <w:lang w:val="en-GB"/>
              </w:rPr>
              <w:t xml:space="preserve"> Process and adoption of the FAIR Data Point.</w:t>
            </w:r>
          </w:p>
        </w:tc>
        <w:tc>
          <w:tcPr>
            <w:tcW w:w="3150" w:type="dxa"/>
            <w:shd w:val="clear" w:color="auto" w:fill="auto"/>
            <w:tcMar>
              <w:top w:w="100" w:type="dxa"/>
              <w:left w:w="100" w:type="dxa"/>
              <w:bottom w:w="100" w:type="dxa"/>
              <w:right w:w="100" w:type="dxa"/>
            </w:tcMar>
          </w:tcPr>
          <w:p w14:paraId="54CA2BDB" w14:textId="77777777" w:rsidR="00EB2DCE" w:rsidRPr="00D81522" w:rsidRDefault="00EB2DCE">
            <w:pPr>
              <w:spacing w:after="0" w:line="240" w:lineRule="auto"/>
              <w:rPr>
                <w:lang w:val="en-GB"/>
              </w:rPr>
            </w:pPr>
          </w:p>
        </w:tc>
      </w:tr>
    </w:tbl>
    <w:p w14:paraId="595D5272" w14:textId="77777777" w:rsidR="00EB2DCE" w:rsidRDefault="00BD084C">
      <w:pPr>
        <w:pStyle w:val="Heading4"/>
        <w:widowControl w:val="0"/>
        <w:spacing w:after="0" w:line="240" w:lineRule="auto"/>
      </w:pPr>
      <w:bookmarkStart w:id="13" w:name="_ue3rxugyw7ph" w:colFirst="0" w:colLast="0"/>
      <w:bookmarkEnd w:id="13"/>
      <w:r>
        <w:t>I3</w:t>
      </w:r>
    </w:p>
    <w:tbl>
      <w:tblPr>
        <w:tblStyle w:val="a9"/>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210"/>
        <w:gridCol w:w="3150"/>
      </w:tblGrid>
      <w:tr w:rsidR="00EB2DCE" w14:paraId="19F5D655" w14:textId="77777777" w:rsidTr="00C01FA4">
        <w:trPr>
          <w:trHeight w:val="440"/>
        </w:trPr>
        <w:tc>
          <w:tcPr>
            <w:tcW w:w="1550" w:type="dxa"/>
            <w:shd w:val="clear" w:color="auto" w:fill="auto"/>
            <w:tcMar>
              <w:top w:w="100" w:type="dxa"/>
              <w:left w:w="100" w:type="dxa"/>
              <w:bottom w:w="100" w:type="dxa"/>
              <w:right w:w="100" w:type="dxa"/>
            </w:tcMar>
          </w:tcPr>
          <w:p w14:paraId="6C30CCBB" w14:textId="77777777" w:rsidR="00EB2DCE" w:rsidRDefault="00BD084C">
            <w:pPr>
              <w:widowControl w:val="0"/>
              <w:spacing w:after="0" w:line="240" w:lineRule="auto"/>
              <w:jc w:val="center"/>
              <w:rPr>
                <w:b/>
              </w:rPr>
            </w:pPr>
            <w:r>
              <w:rPr>
                <w:b/>
              </w:rPr>
              <w:t>Field</w:t>
            </w:r>
          </w:p>
        </w:tc>
        <w:tc>
          <w:tcPr>
            <w:tcW w:w="4210" w:type="dxa"/>
          </w:tcPr>
          <w:p w14:paraId="272B22AA"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3CDD89A2" w14:textId="77777777" w:rsidR="00EB2DCE" w:rsidRDefault="00BD084C">
            <w:pPr>
              <w:widowControl w:val="0"/>
              <w:spacing w:after="0" w:line="240" w:lineRule="auto"/>
              <w:jc w:val="center"/>
              <w:rPr>
                <w:b/>
              </w:rPr>
            </w:pPr>
            <w:r>
              <w:rPr>
                <w:b/>
              </w:rPr>
              <w:t>References</w:t>
            </w:r>
          </w:p>
        </w:tc>
      </w:tr>
      <w:tr w:rsidR="00EB2DCE" w:rsidRPr="00D81522" w14:paraId="1952948F" w14:textId="77777777" w:rsidTr="00C01FA4">
        <w:trPr>
          <w:trHeight w:val="440"/>
        </w:trPr>
        <w:tc>
          <w:tcPr>
            <w:tcW w:w="1550" w:type="dxa"/>
            <w:shd w:val="clear" w:color="auto" w:fill="D9D9D9"/>
            <w:tcMar>
              <w:top w:w="100" w:type="dxa"/>
              <w:left w:w="100" w:type="dxa"/>
              <w:bottom w:w="100" w:type="dxa"/>
              <w:right w:w="100" w:type="dxa"/>
            </w:tcMar>
          </w:tcPr>
          <w:p w14:paraId="072C437D" w14:textId="77777777" w:rsidR="00EB2DCE" w:rsidRDefault="00BD084C">
            <w:pPr>
              <w:widowControl w:val="0"/>
              <w:spacing w:after="0" w:line="240" w:lineRule="auto"/>
              <w:rPr>
                <w:b/>
              </w:rPr>
            </w:pPr>
            <w:r>
              <w:rPr>
                <w:b/>
              </w:rPr>
              <w:t>FAIR Principles</w:t>
            </w:r>
          </w:p>
        </w:tc>
        <w:tc>
          <w:tcPr>
            <w:tcW w:w="4210" w:type="dxa"/>
            <w:shd w:val="clear" w:color="auto" w:fill="auto"/>
            <w:tcMar>
              <w:top w:w="100" w:type="dxa"/>
              <w:left w:w="100" w:type="dxa"/>
              <w:bottom w:w="100" w:type="dxa"/>
              <w:right w:w="100" w:type="dxa"/>
            </w:tcMar>
          </w:tcPr>
          <w:p w14:paraId="4825C643" w14:textId="258EF26F" w:rsidR="00EB2DCE" w:rsidRPr="00D81522" w:rsidRDefault="00D81522" w:rsidP="00D81522">
            <w:pPr>
              <w:spacing w:after="0" w:line="240" w:lineRule="auto"/>
              <w:rPr>
                <w:lang w:val="en-GB"/>
              </w:rPr>
            </w:pPr>
            <w:r>
              <w:rPr>
                <w:lang w:val="en-GB"/>
              </w:rPr>
              <w:t xml:space="preserve">- </w:t>
            </w:r>
            <w:r w:rsidRPr="00D81522">
              <w:rPr>
                <w:lang w:val="en-GB"/>
              </w:rPr>
              <w:t>Qualified references do not say about the quality of the data, which may result in different understandings, but in the provision of standardized identifications of their references. Qualified references are achieved through the use of knowledge representation languages and the use of globally unique and persistent identifiers, thus being based on standards to obtain grounded (meta)data and consequently qualifications between the possible relationships between (meta)data.</w:t>
            </w:r>
            <w:r>
              <w:rPr>
                <w:lang w:val="en-GB"/>
              </w:rPr>
              <w:t xml:space="preserve"> </w:t>
            </w:r>
            <w:r w:rsidRPr="00D81522">
              <w:rPr>
                <w:lang w:val="en-GB"/>
              </w:rPr>
              <w:t>Use of external URIs in knowledge representation languages with qualification tags.</w:t>
            </w:r>
          </w:p>
        </w:tc>
        <w:tc>
          <w:tcPr>
            <w:tcW w:w="3150" w:type="dxa"/>
            <w:shd w:val="clear" w:color="auto" w:fill="auto"/>
            <w:tcMar>
              <w:top w:w="100" w:type="dxa"/>
              <w:left w:w="100" w:type="dxa"/>
              <w:bottom w:w="100" w:type="dxa"/>
              <w:right w:w="100" w:type="dxa"/>
            </w:tcMar>
          </w:tcPr>
          <w:p w14:paraId="6C33C67D" w14:textId="77777777" w:rsidR="00EB2DCE" w:rsidRPr="00D81522" w:rsidRDefault="00EB2DCE">
            <w:pPr>
              <w:spacing w:after="0" w:line="240" w:lineRule="auto"/>
              <w:rPr>
                <w:lang w:val="en-GB"/>
              </w:rPr>
            </w:pPr>
          </w:p>
        </w:tc>
      </w:tr>
    </w:tbl>
    <w:p w14:paraId="3E2A8562" w14:textId="77777777" w:rsidR="00EB2DCE" w:rsidRDefault="00BD084C">
      <w:pPr>
        <w:pStyle w:val="Heading2"/>
      </w:pPr>
      <w:bookmarkStart w:id="14" w:name="_x1eboi76li7q" w:colFirst="0" w:colLast="0"/>
      <w:bookmarkEnd w:id="14"/>
      <w:r>
        <w:t>Reusable</w:t>
      </w:r>
    </w:p>
    <w:p w14:paraId="004BC2FE" w14:textId="77777777" w:rsidR="00EB2DCE" w:rsidRDefault="00BD084C">
      <w:pPr>
        <w:pStyle w:val="Heading4"/>
        <w:widowControl w:val="0"/>
        <w:spacing w:after="0" w:line="240" w:lineRule="auto"/>
      </w:pPr>
      <w:bookmarkStart w:id="15" w:name="_j4boynwrrt7d" w:colFirst="0" w:colLast="0"/>
      <w:bookmarkEnd w:id="15"/>
      <w:r>
        <w:t>R1</w:t>
      </w:r>
    </w:p>
    <w:tbl>
      <w:tblPr>
        <w:tblStyle w:val="aa"/>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210"/>
        <w:gridCol w:w="3150"/>
      </w:tblGrid>
      <w:tr w:rsidR="00EB2DCE" w14:paraId="6945B0B3" w14:textId="77777777" w:rsidTr="00C01FA4">
        <w:trPr>
          <w:trHeight w:val="440"/>
        </w:trPr>
        <w:tc>
          <w:tcPr>
            <w:tcW w:w="1550" w:type="dxa"/>
            <w:shd w:val="clear" w:color="auto" w:fill="auto"/>
            <w:tcMar>
              <w:top w:w="100" w:type="dxa"/>
              <w:left w:w="100" w:type="dxa"/>
              <w:bottom w:w="100" w:type="dxa"/>
              <w:right w:w="100" w:type="dxa"/>
            </w:tcMar>
          </w:tcPr>
          <w:p w14:paraId="75843B33" w14:textId="77777777" w:rsidR="00EB2DCE" w:rsidRDefault="00BD084C">
            <w:pPr>
              <w:widowControl w:val="0"/>
              <w:spacing w:after="0" w:line="240" w:lineRule="auto"/>
              <w:jc w:val="center"/>
              <w:rPr>
                <w:b/>
              </w:rPr>
            </w:pPr>
            <w:r>
              <w:rPr>
                <w:b/>
              </w:rPr>
              <w:t>Field</w:t>
            </w:r>
          </w:p>
        </w:tc>
        <w:tc>
          <w:tcPr>
            <w:tcW w:w="4210" w:type="dxa"/>
          </w:tcPr>
          <w:p w14:paraId="6CE004D1"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6925C6BA" w14:textId="77777777" w:rsidR="00EB2DCE" w:rsidRDefault="00BD084C">
            <w:pPr>
              <w:widowControl w:val="0"/>
              <w:spacing w:after="0" w:line="240" w:lineRule="auto"/>
              <w:jc w:val="center"/>
              <w:rPr>
                <w:b/>
              </w:rPr>
            </w:pPr>
            <w:r>
              <w:rPr>
                <w:b/>
              </w:rPr>
              <w:t>References</w:t>
            </w:r>
          </w:p>
        </w:tc>
      </w:tr>
      <w:tr w:rsidR="00EB2DCE" w:rsidRPr="00D81522" w14:paraId="48158C2D" w14:textId="77777777" w:rsidTr="00C01FA4">
        <w:trPr>
          <w:trHeight w:val="440"/>
        </w:trPr>
        <w:tc>
          <w:tcPr>
            <w:tcW w:w="1550" w:type="dxa"/>
            <w:shd w:val="clear" w:color="auto" w:fill="D9D9D9"/>
            <w:tcMar>
              <w:top w:w="100" w:type="dxa"/>
              <w:left w:w="100" w:type="dxa"/>
              <w:bottom w:w="100" w:type="dxa"/>
              <w:right w:w="100" w:type="dxa"/>
            </w:tcMar>
          </w:tcPr>
          <w:p w14:paraId="3198A8C8" w14:textId="77777777" w:rsidR="00EB2DCE" w:rsidRDefault="00BD084C">
            <w:pPr>
              <w:widowControl w:val="0"/>
              <w:spacing w:after="0" w:line="240" w:lineRule="auto"/>
              <w:rPr>
                <w:b/>
              </w:rPr>
            </w:pPr>
            <w:r>
              <w:rPr>
                <w:b/>
              </w:rPr>
              <w:t>FAIR Principles</w:t>
            </w:r>
          </w:p>
        </w:tc>
        <w:tc>
          <w:tcPr>
            <w:tcW w:w="4210" w:type="dxa"/>
            <w:shd w:val="clear" w:color="auto" w:fill="auto"/>
            <w:tcMar>
              <w:top w:w="100" w:type="dxa"/>
              <w:left w:w="100" w:type="dxa"/>
              <w:bottom w:w="100" w:type="dxa"/>
              <w:right w:w="100" w:type="dxa"/>
            </w:tcMar>
          </w:tcPr>
          <w:p w14:paraId="488FCDC2" w14:textId="1C8C94D5" w:rsidR="00EB2DCE" w:rsidRPr="00D81522" w:rsidRDefault="00D81522" w:rsidP="00D81522">
            <w:pPr>
              <w:spacing w:after="0" w:line="240" w:lineRule="auto"/>
              <w:jc w:val="both"/>
              <w:rPr>
                <w:lang w:val="en-GB"/>
              </w:rPr>
            </w:pPr>
            <w:r>
              <w:rPr>
                <w:lang w:val="en-GB"/>
              </w:rPr>
              <w:t xml:space="preserve">- </w:t>
            </w:r>
            <w:r w:rsidRPr="00D81522">
              <w:rPr>
                <w:lang w:val="en-GB"/>
              </w:rPr>
              <w:t xml:space="preserve">Completeness of (meta) data facilitates its reuse. The more diversification of </w:t>
            </w:r>
            <w:r w:rsidRPr="00D81522">
              <w:rPr>
                <w:lang w:val="en-GB"/>
              </w:rPr>
              <w:lastRenderedPageBreak/>
              <w:t>(meta)data the better for its reuse. (Meta)data involving the capture, analysis, refinement, instructions for use, processing, software and hardware used are essential for understanding the stored data. It is essential to have discussions among stakeholders about which (meta)data should be essential for the data to be published / stored.</w:t>
            </w:r>
          </w:p>
        </w:tc>
        <w:tc>
          <w:tcPr>
            <w:tcW w:w="3150" w:type="dxa"/>
            <w:shd w:val="clear" w:color="auto" w:fill="auto"/>
            <w:tcMar>
              <w:top w:w="100" w:type="dxa"/>
              <w:left w:w="100" w:type="dxa"/>
              <w:bottom w:w="100" w:type="dxa"/>
              <w:right w:w="100" w:type="dxa"/>
            </w:tcMar>
          </w:tcPr>
          <w:p w14:paraId="4FD561CB" w14:textId="77777777" w:rsidR="00EB2DCE" w:rsidRPr="00D81522" w:rsidRDefault="00EB2DCE">
            <w:pPr>
              <w:spacing w:after="0" w:line="240" w:lineRule="auto"/>
              <w:rPr>
                <w:lang w:val="en-GB"/>
              </w:rPr>
            </w:pPr>
          </w:p>
        </w:tc>
      </w:tr>
    </w:tbl>
    <w:p w14:paraId="7DAF759B" w14:textId="77777777" w:rsidR="00EB2DCE" w:rsidRDefault="00BD084C">
      <w:pPr>
        <w:pStyle w:val="Heading4"/>
        <w:widowControl w:val="0"/>
        <w:spacing w:after="0" w:line="240" w:lineRule="auto"/>
      </w:pPr>
      <w:bookmarkStart w:id="16" w:name="_lssaq0sj4l3i" w:colFirst="0" w:colLast="0"/>
      <w:bookmarkEnd w:id="16"/>
      <w:r>
        <w:t>R1.1</w:t>
      </w:r>
    </w:p>
    <w:tbl>
      <w:tblPr>
        <w:tblStyle w:val="ab"/>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210"/>
        <w:gridCol w:w="3150"/>
      </w:tblGrid>
      <w:tr w:rsidR="00EB2DCE" w14:paraId="5E87DFC9" w14:textId="77777777" w:rsidTr="00C01FA4">
        <w:trPr>
          <w:trHeight w:val="440"/>
        </w:trPr>
        <w:tc>
          <w:tcPr>
            <w:tcW w:w="1550" w:type="dxa"/>
            <w:shd w:val="clear" w:color="auto" w:fill="auto"/>
            <w:tcMar>
              <w:top w:w="100" w:type="dxa"/>
              <w:left w:w="100" w:type="dxa"/>
              <w:bottom w:w="100" w:type="dxa"/>
              <w:right w:w="100" w:type="dxa"/>
            </w:tcMar>
          </w:tcPr>
          <w:p w14:paraId="4F3FC4A7" w14:textId="77777777" w:rsidR="00EB2DCE" w:rsidRDefault="00BD084C">
            <w:pPr>
              <w:widowControl w:val="0"/>
              <w:spacing w:after="0" w:line="240" w:lineRule="auto"/>
              <w:jc w:val="center"/>
              <w:rPr>
                <w:b/>
              </w:rPr>
            </w:pPr>
            <w:r>
              <w:rPr>
                <w:b/>
              </w:rPr>
              <w:t>Field</w:t>
            </w:r>
          </w:p>
        </w:tc>
        <w:tc>
          <w:tcPr>
            <w:tcW w:w="4210" w:type="dxa"/>
          </w:tcPr>
          <w:p w14:paraId="5C68128F"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1F9CD443" w14:textId="77777777" w:rsidR="00EB2DCE" w:rsidRDefault="00BD084C">
            <w:pPr>
              <w:widowControl w:val="0"/>
              <w:spacing w:after="0" w:line="240" w:lineRule="auto"/>
              <w:jc w:val="center"/>
              <w:rPr>
                <w:b/>
              </w:rPr>
            </w:pPr>
            <w:r>
              <w:rPr>
                <w:b/>
              </w:rPr>
              <w:t>References</w:t>
            </w:r>
          </w:p>
        </w:tc>
      </w:tr>
      <w:tr w:rsidR="00EB2DCE" w:rsidRPr="00D81522" w14:paraId="021524EE" w14:textId="77777777" w:rsidTr="00C01FA4">
        <w:trPr>
          <w:trHeight w:val="440"/>
        </w:trPr>
        <w:tc>
          <w:tcPr>
            <w:tcW w:w="1550" w:type="dxa"/>
            <w:shd w:val="clear" w:color="auto" w:fill="D9D9D9"/>
            <w:tcMar>
              <w:top w:w="100" w:type="dxa"/>
              <w:left w:w="100" w:type="dxa"/>
              <w:bottom w:w="100" w:type="dxa"/>
              <w:right w:w="100" w:type="dxa"/>
            </w:tcMar>
          </w:tcPr>
          <w:p w14:paraId="1DA10CDF" w14:textId="77777777" w:rsidR="00EB2DCE" w:rsidRDefault="00BD084C">
            <w:pPr>
              <w:widowControl w:val="0"/>
              <w:spacing w:after="0" w:line="240" w:lineRule="auto"/>
              <w:rPr>
                <w:b/>
              </w:rPr>
            </w:pPr>
            <w:r>
              <w:rPr>
                <w:b/>
              </w:rPr>
              <w:t>FAIR Principles</w:t>
            </w:r>
          </w:p>
        </w:tc>
        <w:tc>
          <w:tcPr>
            <w:tcW w:w="4210" w:type="dxa"/>
            <w:shd w:val="clear" w:color="auto" w:fill="auto"/>
            <w:tcMar>
              <w:top w:w="100" w:type="dxa"/>
              <w:left w:w="100" w:type="dxa"/>
              <w:bottom w:w="100" w:type="dxa"/>
              <w:right w:w="100" w:type="dxa"/>
            </w:tcMar>
          </w:tcPr>
          <w:p w14:paraId="0CCA7556" w14:textId="29B773D0" w:rsidR="00D81522" w:rsidRPr="00D81522" w:rsidRDefault="00D81522" w:rsidP="00D81522">
            <w:pPr>
              <w:widowControl w:val="0"/>
              <w:spacing w:after="0" w:line="240" w:lineRule="auto"/>
              <w:jc w:val="both"/>
              <w:rPr>
                <w:lang w:val="en-GB"/>
              </w:rPr>
            </w:pPr>
            <w:r>
              <w:rPr>
                <w:lang w:val="en-GB"/>
              </w:rPr>
              <w:t xml:space="preserve">- </w:t>
            </w:r>
            <w:r w:rsidRPr="00D81522">
              <w:rPr>
                <w:lang w:val="en-GB"/>
              </w:rPr>
              <w:t>Use and abuse in well-founded use licenses (e.g. Creative Commons Licenses) to determine the responsibilities of (meta)data reuse, especially for sensitive/restricted data. If the (meta)data are freely accessible, they must be based on free use licenses.</w:t>
            </w:r>
          </w:p>
          <w:p w14:paraId="4E041F36" w14:textId="77777777" w:rsidR="00D81522" w:rsidRPr="00D81522" w:rsidRDefault="00D81522" w:rsidP="00D81522">
            <w:pPr>
              <w:widowControl w:val="0"/>
              <w:spacing w:after="0" w:line="240" w:lineRule="auto"/>
              <w:jc w:val="both"/>
              <w:rPr>
                <w:lang w:val="en-GB"/>
              </w:rPr>
            </w:pPr>
          </w:p>
          <w:p w14:paraId="46777B3D" w14:textId="2F31B213" w:rsidR="00EB2DCE" w:rsidRPr="00D81522" w:rsidRDefault="00D81522" w:rsidP="00D81522">
            <w:pPr>
              <w:widowControl w:val="0"/>
              <w:spacing w:after="0" w:line="240" w:lineRule="auto"/>
              <w:jc w:val="both"/>
              <w:rPr>
                <w:lang w:val="en-GB"/>
              </w:rPr>
            </w:pPr>
            <w:r>
              <w:rPr>
                <w:lang w:val="en-GB"/>
              </w:rPr>
              <w:t xml:space="preserve">- </w:t>
            </w:r>
            <w:r w:rsidRPr="00D81522">
              <w:rPr>
                <w:lang w:val="en-GB"/>
              </w:rPr>
              <w:t xml:space="preserve">It is necessary to include in the records means to be able to identify the use licenses. Use of license </w:t>
            </w:r>
            <w:proofErr w:type="spellStart"/>
            <w:r w:rsidRPr="00D81522">
              <w:rPr>
                <w:lang w:val="en-GB"/>
              </w:rPr>
              <w:t>xhtml</w:t>
            </w:r>
            <w:proofErr w:type="spellEnd"/>
            <w:r w:rsidRPr="00D81522">
              <w:rPr>
                <w:lang w:val="en-GB"/>
              </w:rPr>
              <w:t xml:space="preserve">, </w:t>
            </w:r>
            <w:proofErr w:type="spellStart"/>
            <w:r w:rsidRPr="00D81522">
              <w:rPr>
                <w:lang w:val="en-GB"/>
              </w:rPr>
              <w:t>dvia</w:t>
            </w:r>
            <w:proofErr w:type="spellEnd"/>
            <w:r w:rsidRPr="00D81522">
              <w:rPr>
                <w:lang w:val="en-GB"/>
              </w:rPr>
              <w:t xml:space="preserve">, </w:t>
            </w:r>
            <w:proofErr w:type="spellStart"/>
            <w:r w:rsidRPr="00D81522">
              <w:rPr>
                <w:lang w:val="en-GB"/>
              </w:rPr>
              <w:t>dcterms</w:t>
            </w:r>
            <w:proofErr w:type="spellEnd"/>
            <w:r w:rsidRPr="00D81522">
              <w:rPr>
                <w:lang w:val="en-GB"/>
              </w:rPr>
              <w:t>, cc, data.gov.au and Schema in linked data are examples to meet this metric.</w:t>
            </w:r>
          </w:p>
        </w:tc>
        <w:tc>
          <w:tcPr>
            <w:tcW w:w="3150" w:type="dxa"/>
            <w:shd w:val="clear" w:color="auto" w:fill="auto"/>
            <w:tcMar>
              <w:top w:w="100" w:type="dxa"/>
              <w:left w:w="100" w:type="dxa"/>
              <w:bottom w:w="100" w:type="dxa"/>
              <w:right w:w="100" w:type="dxa"/>
            </w:tcMar>
          </w:tcPr>
          <w:p w14:paraId="70BF9DC9" w14:textId="77777777" w:rsidR="00EB2DCE" w:rsidRPr="00D81522" w:rsidRDefault="00EB2DCE">
            <w:pPr>
              <w:spacing w:after="0" w:line="240" w:lineRule="auto"/>
              <w:rPr>
                <w:lang w:val="en-GB"/>
              </w:rPr>
            </w:pPr>
          </w:p>
        </w:tc>
      </w:tr>
    </w:tbl>
    <w:p w14:paraId="6F88DFF8" w14:textId="77777777" w:rsidR="00EB2DCE" w:rsidRDefault="00BD084C">
      <w:pPr>
        <w:pStyle w:val="Heading4"/>
        <w:widowControl w:val="0"/>
        <w:spacing w:after="0" w:line="240" w:lineRule="auto"/>
      </w:pPr>
      <w:bookmarkStart w:id="17" w:name="_jk1nrvbuy33z" w:colFirst="0" w:colLast="0"/>
      <w:bookmarkEnd w:id="17"/>
      <w:r>
        <w:t>R1.2</w:t>
      </w:r>
    </w:p>
    <w:tbl>
      <w:tblPr>
        <w:tblStyle w:val="ac"/>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210"/>
        <w:gridCol w:w="3150"/>
      </w:tblGrid>
      <w:tr w:rsidR="00EB2DCE" w14:paraId="35CE59F5" w14:textId="77777777" w:rsidTr="00C01FA4">
        <w:trPr>
          <w:trHeight w:val="440"/>
        </w:trPr>
        <w:tc>
          <w:tcPr>
            <w:tcW w:w="1550" w:type="dxa"/>
            <w:shd w:val="clear" w:color="auto" w:fill="auto"/>
            <w:tcMar>
              <w:top w:w="100" w:type="dxa"/>
              <w:left w:w="100" w:type="dxa"/>
              <w:bottom w:w="100" w:type="dxa"/>
              <w:right w:w="100" w:type="dxa"/>
            </w:tcMar>
          </w:tcPr>
          <w:p w14:paraId="710525E0" w14:textId="77777777" w:rsidR="00EB2DCE" w:rsidRDefault="00BD084C">
            <w:pPr>
              <w:widowControl w:val="0"/>
              <w:spacing w:after="0" w:line="240" w:lineRule="auto"/>
              <w:jc w:val="center"/>
              <w:rPr>
                <w:b/>
              </w:rPr>
            </w:pPr>
            <w:r>
              <w:rPr>
                <w:b/>
              </w:rPr>
              <w:t>Field</w:t>
            </w:r>
          </w:p>
        </w:tc>
        <w:tc>
          <w:tcPr>
            <w:tcW w:w="4210" w:type="dxa"/>
          </w:tcPr>
          <w:p w14:paraId="6D8AFB15"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07CF4673" w14:textId="77777777" w:rsidR="00EB2DCE" w:rsidRDefault="00BD084C">
            <w:pPr>
              <w:widowControl w:val="0"/>
              <w:spacing w:after="0" w:line="240" w:lineRule="auto"/>
              <w:jc w:val="center"/>
              <w:rPr>
                <w:b/>
              </w:rPr>
            </w:pPr>
            <w:r>
              <w:rPr>
                <w:b/>
              </w:rPr>
              <w:t>References</w:t>
            </w:r>
          </w:p>
        </w:tc>
      </w:tr>
      <w:tr w:rsidR="00EB2DCE" w:rsidRPr="00D81522" w14:paraId="524E9387" w14:textId="77777777" w:rsidTr="00C01FA4">
        <w:trPr>
          <w:trHeight w:val="440"/>
        </w:trPr>
        <w:tc>
          <w:tcPr>
            <w:tcW w:w="1550" w:type="dxa"/>
            <w:shd w:val="clear" w:color="auto" w:fill="D9D9D9"/>
            <w:tcMar>
              <w:top w:w="100" w:type="dxa"/>
              <w:left w:w="100" w:type="dxa"/>
              <w:bottom w:w="100" w:type="dxa"/>
              <w:right w:w="100" w:type="dxa"/>
            </w:tcMar>
          </w:tcPr>
          <w:p w14:paraId="485DDDFA" w14:textId="77777777" w:rsidR="00EB2DCE" w:rsidRDefault="00BD084C">
            <w:pPr>
              <w:widowControl w:val="0"/>
              <w:spacing w:after="0" w:line="240" w:lineRule="auto"/>
              <w:rPr>
                <w:b/>
              </w:rPr>
            </w:pPr>
            <w:r>
              <w:rPr>
                <w:b/>
              </w:rPr>
              <w:t>FAIR Principles</w:t>
            </w:r>
          </w:p>
        </w:tc>
        <w:tc>
          <w:tcPr>
            <w:tcW w:w="4210" w:type="dxa"/>
            <w:shd w:val="clear" w:color="auto" w:fill="auto"/>
            <w:tcMar>
              <w:top w:w="100" w:type="dxa"/>
              <w:left w:w="100" w:type="dxa"/>
              <w:bottom w:w="100" w:type="dxa"/>
              <w:right w:w="100" w:type="dxa"/>
            </w:tcMar>
          </w:tcPr>
          <w:p w14:paraId="54198EB8" w14:textId="5D452FC0" w:rsidR="00EB2DCE" w:rsidRPr="00D81522" w:rsidRDefault="00D81522" w:rsidP="00D81522">
            <w:pPr>
              <w:widowControl w:val="0"/>
              <w:spacing w:after="0" w:line="240" w:lineRule="auto"/>
              <w:jc w:val="both"/>
              <w:rPr>
                <w:lang w:val="en-GB"/>
              </w:rPr>
            </w:pPr>
            <w:r>
              <w:rPr>
                <w:lang w:val="en-GB"/>
              </w:rPr>
              <w:t xml:space="preserve">- </w:t>
            </w:r>
            <w:r w:rsidRPr="00D81522">
              <w:rPr>
                <w:lang w:val="en-GB"/>
              </w:rPr>
              <w:t xml:space="preserve">Use of provenance as well as retrospective with a focus on documenting the life cycle of digital objects, use of proven provenance models to extract what data is essential for the </w:t>
            </w:r>
            <w:proofErr w:type="spellStart"/>
            <w:r w:rsidRPr="00D81522">
              <w:rPr>
                <w:lang w:val="en-GB"/>
              </w:rPr>
              <w:t>reuser</w:t>
            </w:r>
            <w:proofErr w:type="spellEnd"/>
            <w:r w:rsidRPr="00D81522">
              <w:rPr>
                <w:lang w:val="en-GB"/>
              </w:rPr>
              <w:t>, there are provenance systems that facilitate compliance with this recommendation.</w:t>
            </w:r>
          </w:p>
        </w:tc>
        <w:tc>
          <w:tcPr>
            <w:tcW w:w="3150" w:type="dxa"/>
            <w:shd w:val="clear" w:color="auto" w:fill="auto"/>
            <w:tcMar>
              <w:top w:w="100" w:type="dxa"/>
              <w:left w:w="100" w:type="dxa"/>
              <w:bottom w:w="100" w:type="dxa"/>
              <w:right w:w="100" w:type="dxa"/>
            </w:tcMar>
          </w:tcPr>
          <w:p w14:paraId="73850CF2" w14:textId="77777777" w:rsidR="00EB2DCE" w:rsidRPr="00D81522" w:rsidRDefault="00EB2DCE">
            <w:pPr>
              <w:spacing w:after="0" w:line="240" w:lineRule="auto"/>
              <w:rPr>
                <w:lang w:val="en-GB"/>
              </w:rPr>
            </w:pPr>
          </w:p>
        </w:tc>
      </w:tr>
    </w:tbl>
    <w:p w14:paraId="2B7E8660" w14:textId="77777777" w:rsidR="00EB2DCE" w:rsidRDefault="00BD084C">
      <w:pPr>
        <w:pStyle w:val="Heading4"/>
        <w:widowControl w:val="0"/>
        <w:spacing w:after="0" w:line="240" w:lineRule="auto"/>
      </w:pPr>
      <w:bookmarkStart w:id="18" w:name="_edw7xqsra3yi" w:colFirst="0" w:colLast="0"/>
      <w:bookmarkEnd w:id="18"/>
      <w:r>
        <w:t>R1.3</w:t>
      </w:r>
    </w:p>
    <w:tbl>
      <w:tblPr>
        <w:tblStyle w:val="ad"/>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210"/>
        <w:gridCol w:w="3150"/>
      </w:tblGrid>
      <w:tr w:rsidR="00EB2DCE" w14:paraId="43A527DD" w14:textId="77777777" w:rsidTr="00C01FA4">
        <w:trPr>
          <w:trHeight w:val="440"/>
        </w:trPr>
        <w:tc>
          <w:tcPr>
            <w:tcW w:w="1550" w:type="dxa"/>
            <w:shd w:val="clear" w:color="auto" w:fill="auto"/>
            <w:tcMar>
              <w:top w:w="100" w:type="dxa"/>
              <w:left w:w="100" w:type="dxa"/>
              <w:bottom w:w="100" w:type="dxa"/>
              <w:right w:w="100" w:type="dxa"/>
            </w:tcMar>
          </w:tcPr>
          <w:p w14:paraId="2FF5CCAB" w14:textId="77777777" w:rsidR="00EB2DCE" w:rsidRDefault="00BD084C">
            <w:pPr>
              <w:widowControl w:val="0"/>
              <w:spacing w:after="0" w:line="240" w:lineRule="auto"/>
              <w:jc w:val="center"/>
              <w:rPr>
                <w:b/>
              </w:rPr>
            </w:pPr>
            <w:r>
              <w:rPr>
                <w:b/>
              </w:rPr>
              <w:t>Field</w:t>
            </w:r>
          </w:p>
        </w:tc>
        <w:tc>
          <w:tcPr>
            <w:tcW w:w="4210" w:type="dxa"/>
          </w:tcPr>
          <w:p w14:paraId="03B99404" w14:textId="77777777" w:rsidR="00EB2DCE" w:rsidRDefault="00BD084C">
            <w:pPr>
              <w:widowControl w:val="0"/>
              <w:spacing w:after="0" w:line="240" w:lineRule="auto"/>
              <w:jc w:val="center"/>
              <w:rPr>
                <w:b/>
              </w:rPr>
            </w:pPr>
            <w:r>
              <w:rPr>
                <w:b/>
              </w:rPr>
              <w:t>Recommendation</w:t>
            </w:r>
          </w:p>
        </w:tc>
        <w:tc>
          <w:tcPr>
            <w:tcW w:w="3150" w:type="dxa"/>
            <w:shd w:val="clear" w:color="auto" w:fill="auto"/>
            <w:tcMar>
              <w:top w:w="100" w:type="dxa"/>
              <w:left w:w="100" w:type="dxa"/>
              <w:bottom w:w="100" w:type="dxa"/>
              <w:right w:w="100" w:type="dxa"/>
            </w:tcMar>
          </w:tcPr>
          <w:p w14:paraId="01701368" w14:textId="77777777" w:rsidR="00EB2DCE" w:rsidRDefault="00BD084C">
            <w:pPr>
              <w:widowControl w:val="0"/>
              <w:spacing w:after="0" w:line="240" w:lineRule="auto"/>
              <w:jc w:val="center"/>
              <w:rPr>
                <w:b/>
              </w:rPr>
            </w:pPr>
            <w:r>
              <w:rPr>
                <w:b/>
              </w:rPr>
              <w:t>References</w:t>
            </w:r>
          </w:p>
        </w:tc>
      </w:tr>
      <w:tr w:rsidR="00EB2DCE" w:rsidRPr="00D81522" w14:paraId="2B92529A" w14:textId="77777777" w:rsidTr="00C01FA4">
        <w:trPr>
          <w:trHeight w:val="440"/>
        </w:trPr>
        <w:tc>
          <w:tcPr>
            <w:tcW w:w="1550" w:type="dxa"/>
            <w:shd w:val="clear" w:color="auto" w:fill="D9D9D9"/>
            <w:tcMar>
              <w:top w:w="100" w:type="dxa"/>
              <w:left w:w="100" w:type="dxa"/>
              <w:bottom w:w="100" w:type="dxa"/>
              <w:right w:w="100" w:type="dxa"/>
            </w:tcMar>
          </w:tcPr>
          <w:p w14:paraId="31F73423" w14:textId="77777777" w:rsidR="00EB2DCE" w:rsidRDefault="00BD084C">
            <w:pPr>
              <w:widowControl w:val="0"/>
              <w:spacing w:after="0" w:line="240" w:lineRule="auto"/>
              <w:rPr>
                <w:b/>
              </w:rPr>
            </w:pPr>
            <w:r>
              <w:rPr>
                <w:b/>
              </w:rPr>
              <w:t>FAIR Principles</w:t>
            </w:r>
          </w:p>
        </w:tc>
        <w:tc>
          <w:tcPr>
            <w:tcW w:w="4210" w:type="dxa"/>
            <w:shd w:val="clear" w:color="auto" w:fill="auto"/>
            <w:tcMar>
              <w:top w:w="100" w:type="dxa"/>
              <w:left w:w="100" w:type="dxa"/>
              <w:bottom w:w="100" w:type="dxa"/>
              <w:right w:w="100" w:type="dxa"/>
            </w:tcMar>
          </w:tcPr>
          <w:p w14:paraId="7397E267" w14:textId="4FEBDE92" w:rsidR="00EB2DCE" w:rsidRPr="00D81522" w:rsidRDefault="00D81522" w:rsidP="00D81522">
            <w:pPr>
              <w:spacing w:after="0" w:line="240" w:lineRule="auto"/>
              <w:jc w:val="both"/>
              <w:rPr>
                <w:lang w:val="en-GB"/>
              </w:rPr>
            </w:pPr>
            <w:r>
              <w:rPr>
                <w:lang w:val="en-GB"/>
              </w:rPr>
              <w:t xml:space="preserve">- </w:t>
            </w:r>
            <w:r w:rsidRPr="00D81522">
              <w:rPr>
                <w:lang w:val="en-GB"/>
              </w:rPr>
              <w:t xml:space="preserve">Acceptance by the standardization of communities relevant to the theme of the (meta) data ends up adding several </w:t>
            </w:r>
            <w:r w:rsidRPr="00D81522">
              <w:rPr>
                <w:lang w:val="en-GB"/>
              </w:rPr>
              <w:lastRenderedPageBreak/>
              <w:t>benefits to the (meta) data itself and to the repository. It is necessary to research what existing standards exist for the theme, and possibly to implement data control to be inserted by the holders of (meta) data.</w:t>
            </w:r>
          </w:p>
        </w:tc>
        <w:tc>
          <w:tcPr>
            <w:tcW w:w="3150" w:type="dxa"/>
            <w:shd w:val="clear" w:color="auto" w:fill="auto"/>
            <w:tcMar>
              <w:top w:w="100" w:type="dxa"/>
              <w:left w:w="100" w:type="dxa"/>
              <w:bottom w:w="100" w:type="dxa"/>
              <w:right w:w="100" w:type="dxa"/>
            </w:tcMar>
          </w:tcPr>
          <w:p w14:paraId="24D57265" w14:textId="77777777" w:rsidR="00EB2DCE" w:rsidRPr="00D81522" w:rsidRDefault="00EB2DCE">
            <w:pPr>
              <w:spacing w:after="0" w:line="240" w:lineRule="auto"/>
              <w:rPr>
                <w:lang w:val="en-GB"/>
              </w:rPr>
            </w:pPr>
          </w:p>
        </w:tc>
      </w:tr>
    </w:tbl>
    <w:p w14:paraId="2777A37B" w14:textId="77777777" w:rsidR="00EB2DCE" w:rsidRPr="00D81522" w:rsidRDefault="00EB2DCE">
      <w:pPr>
        <w:pStyle w:val="Heading4"/>
        <w:widowControl w:val="0"/>
        <w:spacing w:after="0" w:line="240" w:lineRule="auto"/>
        <w:rPr>
          <w:lang w:val="en-GB"/>
        </w:rPr>
      </w:pPr>
      <w:bookmarkStart w:id="19" w:name="_jx0tlrcw717z" w:colFirst="0" w:colLast="0"/>
      <w:bookmarkEnd w:id="19"/>
    </w:p>
    <w:p w14:paraId="33C76EBD" w14:textId="77777777" w:rsidR="00EB2DCE" w:rsidRPr="00D81522" w:rsidRDefault="00EB2DCE">
      <w:pPr>
        <w:rPr>
          <w:lang w:val="en-GB"/>
        </w:rPr>
      </w:pPr>
    </w:p>
    <w:p w14:paraId="04F02653" w14:textId="77777777" w:rsidR="00EB2DCE" w:rsidRPr="00D81522" w:rsidRDefault="00EB2DCE">
      <w:pPr>
        <w:pStyle w:val="Title"/>
        <w:ind w:left="0" w:firstLine="0"/>
        <w:rPr>
          <w:lang w:val="en-GB"/>
        </w:rPr>
      </w:pPr>
      <w:bookmarkStart w:id="20" w:name="_w4m5vwtp0bul" w:colFirst="0" w:colLast="0"/>
      <w:bookmarkEnd w:id="20"/>
    </w:p>
    <w:sectPr w:rsidR="00EB2DCE" w:rsidRPr="00D81522">
      <w:pgSz w:w="12240" w:h="15840"/>
      <w:pgMar w:top="117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DCE"/>
    <w:rsid w:val="000621AC"/>
    <w:rsid w:val="002F3AF3"/>
    <w:rsid w:val="003C7A65"/>
    <w:rsid w:val="008E3959"/>
    <w:rsid w:val="00BD084C"/>
    <w:rsid w:val="00C01FA4"/>
    <w:rsid w:val="00CF33C0"/>
    <w:rsid w:val="00D81522"/>
    <w:rsid w:val="00E85FCB"/>
    <w:rsid w:val="00EB2DCE"/>
    <w:rsid w:val="00ED6A79"/>
    <w:rsid w:val="00FF7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F4FD"/>
  <w15:docId w15:val="{3E1DEBE6-29DF-450E-B3A7-326D85F7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line="360" w:lineRule="auto"/>
      <w:ind w:left="720" w:hanging="360"/>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1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FA4"/>
    <w:rPr>
      <w:rFonts w:ascii="Segoe UI" w:hAnsi="Segoe UI" w:cs="Segoe UI"/>
      <w:sz w:val="18"/>
      <w:szCs w:val="18"/>
    </w:rPr>
  </w:style>
  <w:style w:type="paragraph" w:styleId="ListParagraph">
    <w:name w:val="List Paragraph"/>
    <w:basedOn w:val="Normal"/>
    <w:uiPriority w:val="34"/>
    <w:qFormat/>
    <w:rsid w:val="002F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67422311000251" TargetMode="External"/><Relationship Id="rId13" Type="http://schemas.openxmlformats.org/officeDocument/2006/relationships/hyperlink" Target="https://www.w3.org/TR/2010/NOTE-curie-20101216/" TargetMode="External"/><Relationship Id="rId18" Type="http://schemas.openxmlformats.org/officeDocument/2006/relationships/hyperlink" Target="https://www.sciencedirect.com/science/article/abs/pii/S157495411630014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o-fair.org/fair-principles/f2-data-described-rich-metadata/" TargetMode="External"/><Relationship Id="rId7" Type="http://schemas.openxmlformats.org/officeDocument/2006/relationships/hyperlink" Target="https://www.sciencedirect.com/science/article/pii/S2666389920300040" TargetMode="External"/><Relationship Id="rId12" Type="http://schemas.openxmlformats.org/officeDocument/2006/relationships/hyperlink" Target="https://link.springer.com/referenceworkentry/10.1007%2F978-1-4419-9863-7_1572" TargetMode="External"/><Relationship Id="rId17" Type="http://schemas.openxmlformats.org/officeDocument/2006/relationships/hyperlink" Target="https://www.sciencedirect.com/science/article/pii/S1567422311000251" TargetMode="External"/><Relationship Id="rId25" Type="http://schemas.openxmlformats.org/officeDocument/2006/relationships/hyperlink" Target="https://books.google.com.br/books?id=oY1lAgAAQBAJ&amp;pg=PT43&amp;lpg=PT43&amp;dq=grounded+rdf&amp;source=bl&amp;ots=6TMIKsE9_0&amp;sig=ACfU3U1auvNc_TNB1jh78KvbxH9QYkyCWQ&amp;hl=pt-BR&amp;sa=X&amp;ved=2ahUKEwilyLiAr5nqAhVIDrkGHTGzBY0Q6AEwAHoECAYQAQ" TargetMode="External"/><Relationship Id="rId2" Type="http://schemas.openxmlformats.org/officeDocument/2006/relationships/styles" Target="styles.xml"/><Relationship Id="rId16" Type="http://schemas.openxmlformats.org/officeDocument/2006/relationships/hyperlink" Target="https://journals.plos.org/plosbiology/article?id=10.1371/journal.pbio.2001414" TargetMode="External"/><Relationship Id="rId20" Type="http://schemas.openxmlformats.org/officeDocument/2006/relationships/hyperlink" Target="https://www.sciencedirect.com/science/article/abs/pii/S0167739X18314638" TargetMode="External"/><Relationship Id="rId1" Type="http://schemas.openxmlformats.org/officeDocument/2006/relationships/customXml" Target="../customXml/item1.xml"/><Relationship Id="rId6" Type="http://schemas.openxmlformats.org/officeDocument/2006/relationships/hyperlink" Target="https://journals.plos.org/plosbiology/article?id=10.1371/journal.pbio.2001414" TargetMode="External"/><Relationship Id="rId11" Type="http://schemas.openxmlformats.org/officeDocument/2006/relationships/hyperlink" Target="https://whatis.techtarget.com/definition/URI-Uniform-Resource-Identifier" TargetMode="External"/><Relationship Id="rId24" Type="http://schemas.openxmlformats.org/officeDocument/2006/relationships/hyperlink" Target="https://www.dtls.nl/fair-data/find-fair-data-tools/" TargetMode="External"/><Relationship Id="rId5" Type="http://schemas.openxmlformats.org/officeDocument/2006/relationships/hyperlink" Target="https://www.go-fair.org/fair-principles/f1-meta-data-assigned-globally-unique-persistent-identifiers/" TargetMode="External"/><Relationship Id="rId15" Type="http://schemas.openxmlformats.org/officeDocument/2006/relationships/hyperlink" Target="https://www.crossref.org/blog/curies-a-cure-for-uris/" TargetMode="External"/><Relationship Id="rId23" Type="http://schemas.openxmlformats.org/officeDocument/2006/relationships/hyperlink" Target="https://isa-tools.org/" TargetMode="External"/><Relationship Id="rId10" Type="http://schemas.openxmlformats.org/officeDocument/2006/relationships/hyperlink" Target="https://www.ietf.org/rfc/rfc3986.txt" TargetMode="External"/><Relationship Id="rId19" Type="http://schemas.openxmlformats.org/officeDocument/2006/relationships/hyperlink" Target="https://www.sciencedirect.com/science/article/pii/S1368837519303021" TargetMode="External"/><Relationship Id="rId4" Type="http://schemas.openxmlformats.org/officeDocument/2006/relationships/webSettings" Target="webSettings.xml"/><Relationship Id="rId9" Type="http://schemas.openxmlformats.org/officeDocument/2006/relationships/hyperlink" Target="https://www.w3.org/Addressing/URL/uri-spec.html" TargetMode="External"/><Relationship Id="rId14" Type="http://schemas.openxmlformats.org/officeDocument/2006/relationships/hyperlink" Target="https://www.crossref.org/blog/curies-a-cure-for-uris/" TargetMode="External"/><Relationship Id="rId22" Type="http://schemas.openxmlformats.org/officeDocument/2006/relationships/hyperlink" Target="https://theodi.org/knowledge-opinion/guid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344B-D77A-4650-A505-A3361AAE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9</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10</cp:revision>
  <dcterms:created xsi:type="dcterms:W3CDTF">2020-07-22T13:03:00Z</dcterms:created>
  <dcterms:modified xsi:type="dcterms:W3CDTF">2020-07-24T14:58:00Z</dcterms:modified>
</cp:coreProperties>
</file>