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"rtfpna"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-0.3627</w:t>
            </w:r>
          </w:p>
        </w:tc>
        <w:tc>
          <w:tcPr>
            <w:tcW w:type="dxa" w:w="0"/>
            <w:vAlign w:val="center"/>
          </w:tcPr>
          <w:p>
            <w:r>
              <w:t>0.4033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-0.1252</w:t>
            </w:r>
          </w:p>
        </w:tc>
        <w:tc>
          <w:tcPr>
            <w:tcW w:type="dxa" w:w="0"/>
            <w:vAlign w:val="center"/>
          </w:tcPr>
          <w:p>
            <w:r>
              <w:t>0.8221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-0.7215</w:t>
            </w:r>
          </w:p>
        </w:tc>
        <w:tc>
          <w:tcPr>
            <w:tcW w:type="dxa" w:w="0"/>
            <w:vAlign w:val="center"/>
          </w:tcPr>
          <w:p>
            <w:r>
              <w:t>-0.2013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