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Caso</w:t>
      </w:r>
      <w:r>
        <w:t xml:space="preserve"> </w:t>
      </w:r>
      <w:r>
        <w:t xml:space="preserve">Clínico</w:t>
      </w:r>
      <w:r>
        <w:t xml:space="preserve"> </w:t>
      </w:r>
      <w:r>
        <w:t xml:space="preserve">-</w:t>
      </w:r>
      <w:r>
        <w:t xml:space="preserve"> </w:t>
      </w:r>
      <w:r>
        <w:t xml:space="preserve">Reanimação</w:t>
      </w:r>
      <w:r>
        <w:t xml:space="preserve"> </w:t>
      </w:r>
      <w:r>
        <w:t xml:space="preserve">Neonatal</w:t>
      </w:r>
    </w:p>
    <w:bookmarkStart w:id="20" w:name="história-clínica"/>
    <w:p>
      <w:pPr>
        <w:pStyle w:val="Heading2"/>
      </w:pPr>
      <w:r>
        <w:t xml:space="preserve">História Clínica</w:t>
      </w:r>
    </w:p>
    <w:p>
      <w:pPr>
        <w:pStyle w:val="Compact"/>
        <w:numPr>
          <w:ilvl w:val="0"/>
          <w:numId w:val="1001"/>
        </w:numPr>
      </w:pPr>
      <w:r>
        <w:t xml:space="preserve">Maria, 36 anos, gestante na 39ª semana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Apresentou rotura prematura das membranas no termo (RPMT).</w:t>
      </w:r>
    </w:p>
    <w:p>
      <w:pPr>
        <w:pStyle w:val="Compact"/>
        <w:numPr>
          <w:ilvl w:val="0"/>
          <w:numId w:val="1001"/>
        </w:numPr>
      </w:pPr>
      <w:r>
        <w:t xml:space="preserve">Pré-natal sem complicações, exceto diabetes gestacional controlada.</w:t>
      </w:r>
    </w:p>
    <w:p>
      <w:pPr>
        <w:pStyle w:val="Compact"/>
        <w:numPr>
          <w:ilvl w:val="0"/>
          <w:numId w:val="1001"/>
        </w:numPr>
      </w:pPr>
      <w:r>
        <w:t xml:space="preserve">Identificada taquicardia fetal durante monitorização</w:t>
      </w:r>
      <w:r>
        <w:t xml:space="preserve"> </w:t>
      </w:r>
      <w:r>
        <w:t xml:space="preserve">(Health and Excellence 2017)</w:t>
      </w:r>
      <w:r>
        <w:t xml:space="preserve">.</w:t>
      </w:r>
    </w:p>
    <w:p>
      <w:pPr>
        <w:pStyle w:val="Compact"/>
        <w:numPr>
          <w:ilvl w:val="0"/>
          <w:numId w:val="1001"/>
        </w:numPr>
      </w:pPr>
      <w:r>
        <w:t xml:space="preserve">Decidiu-se por cesárea devido à suspeita de sofrimento fetal.</w:t>
      </w:r>
    </w:p>
    <w:p>
      <w:r>
        <w:pict>
          <v:rect style="width:0;height:1.5pt" o:hralign="center" o:hrstd="t" o:hr="t"/>
        </w:pict>
      </w:r>
    </w:p>
    <w:bookmarkEnd w:id="20"/>
    <w:bookmarkStart w:id="21" w:name="parto"/>
    <w:p>
      <w:pPr>
        <w:pStyle w:val="Heading2"/>
      </w:pPr>
      <w:r>
        <w:t xml:space="preserve">Parto</w:t>
      </w:r>
    </w:p>
    <w:p>
      <w:pPr>
        <w:pStyle w:val="Compact"/>
        <w:numPr>
          <w:ilvl w:val="0"/>
          <w:numId w:val="1002"/>
        </w:numPr>
      </w:pPr>
      <w:r>
        <w:t xml:space="preserve">RN com 3.200 g.</w:t>
      </w:r>
    </w:p>
    <w:p>
      <w:pPr>
        <w:pStyle w:val="Compact"/>
        <w:numPr>
          <w:ilvl w:val="0"/>
          <w:numId w:val="1002"/>
        </w:numPr>
      </w:pPr>
      <w:r>
        <w:t xml:space="preserve">Não respirava ao nascimento e apresentava tônus muscular flácido.</w:t>
      </w:r>
    </w:p>
    <w:p>
      <w:pPr>
        <w:pStyle w:val="Compact"/>
        <w:numPr>
          <w:ilvl w:val="0"/>
          <w:numId w:val="1002"/>
        </w:numPr>
      </w:pPr>
      <w:r>
        <w:t xml:space="preserve">Cordão umbilical clampeado imediatamente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RN conduzido à mesa de reanimação.</w:t>
      </w:r>
    </w:p>
    <w:p>
      <w:r>
        <w:pict>
          <v:rect style="width:0;height:1.5pt" o:hralign="center" o:hrstd="t" o:hr="t"/>
        </w:pict>
      </w:r>
    </w:p>
    <w:bookmarkEnd w:id="21"/>
    <w:bookmarkStart w:id="22" w:name="reanimação"/>
    <w:p>
      <w:pPr>
        <w:pStyle w:val="Heading2"/>
      </w:pPr>
      <w:r>
        <w:t xml:space="preserve">Reanimação</w:t>
      </w:r>
    </w:p>
    <w:p>
      <w:pPr>
        <w:pStyle w:val="Compact"/>
        <w:numPr>
          <w:ilvl w:val="0"/>
          <w:numId w:val="1003"/>
        </w:numPr>
      </w:pPr>
      <w:r>
        <w:t xml:space="preserve">Passos iniciais:</w:t>
      </w:r>
    </w:p>
    <w:p>
      <w:pPr>
        <w:pStyle w:val="Compact"/>
        <w:numPr>
          <w:ilvl w:val="1"/>
          <w:numId w:val="1004"/>
        </w:numPr>
      </w:pPr>
      <w:r>
        <w:t xml:space="preserve">Prover calor</w:t>
      </w:r>
      <w:r>
        <w:t xml:space="preserve"> </w:t>
      </w:r>
      <w:r>
        <w:t xml:space="preserve">(Organization 2017)</w:t>
      </w:r>
    </w:p>
    <w:p>
      <w:pPr>
        <w:pStyle w:val="Compact"/>
        <w:numPr>
          <w:ilvl w:val="1"/>
          <w:numId w:val="1004"/>
        </w:numPr>
      </w:pPr>
      <w:r>
        <w:t xml:space="preserve">Secar o bebê</w:t>
      </w:r>
    </w:p>
    <w:p>
      <w:pPr>
        <w:pStyle w:val="Compact"/>
        <w:numPr>
          <w:ilvl w:val="1"/>
          <w:numId w:val="1004"/>
        </w:numPr>
      </w:pPr>
      <w:r>
        <w:t xml:space="preserve">Posicionar a cabeça em leve extensão</w:t>
      </w:r>
    </w:p>
    <w:p>
      <w:pPr>
        <w:pStyle w:val="Compact"/>
        <w:numPr>
          <w:ilvl w:val="1"/>
          <w:numId w:val="1004"/>
        </w:numPr>
      </w:pPr>
      <w:r>
        <w:t xml:space="preserve">Aspirar vias aéreas superiores</w:t>
      </w:r>
    </w:p>
    <w:p>
      <w:pPr>
        <w:pStyle w:val="Compact"/>
        <w:numPr>
          <w:ilvl w:val="0"/>
          <w:numId w:val="1003"/>
        </w:numPr>
      </w:pPr>
      <w:r>
        <w:t xml:space="preserve">RN continuou sem movimentos respiratórios e FC &lt; 100 bpm.</w:t>
      </w:r>
    </w:p>
    <w:p>
      <w:pPr>
        <w:pStyle w:val="Compact"/>
        <w:numPr>
          <w:ilvl w:val="0"/>
          <w:numId w:val="1003"/>
        </w:numPr>
      </w:pPr>
      <w:r>
        <w:t xml:space="preserve">Iniciou-se Ventilação com Pressão Positiva (VPP) com ar ambiente</w:t>
      </w:r>
      <w:r>
        <w:t xml:space="preserve"> </w:t>
      </w:r>
      <w:r>
        <w:t xml:space="preserve">(Health and Excellence 2017)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2"/>
    <w:bookmarkStart w:id="23" w:name="após-30-segundos-de-vpp"/>
    <w:p>
      <w:pPr>
        <w:pStyle w:val="Heading2"/>
      </w:pPr>
      <w:r>
        <w:t xml:space="preserve">Após 30 Segundos de VPP</w:t>
      </w:r>
    </w:p>
    <w:p>
      <w:pPr>
        <w:pStyle w:val="Compact"/>
        <w:numPr>
          <w:ilvl w:val="0"/>
          <w:numId w:val="1005"/>
        </w:numPr>
      </w:pPr>
      <w:r>
        <w:t xml:space="preserve">FC permaneceu &lt; 100 bpm, sem melhora na respiração.</w:t>
      </w:r>
    </w:p>
    <w:p>
      <w:pPr>
        <w:pStyle w:val="Compact"/>
        <w:numPr>
          <w:ilvl w:val="0"/>
          <w:numId w:val="1005"/>
        </w:numPr>
      </w:pPr>
      <w:r>
        <w:t xml:space="preserve">Revisão da técnica de ventilação</w:t>
      </w:r>
      <w:r>
        <w:t xml:space="preserve"> </w:t>
      </w:r>
      <w:r>
        <w:t xml:space="preserve">(Organization 2017)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Procedeu-se à intubação traqueal.</w:t>
      </w:r>
    </w:p>
    <w:p>
      <w:pPr>
        <w:pStyle w:val="Compact"/>
        <w:numPr>
          <w:ilvl w:val="0"/>
          <w:numId w:val="1005"/>
        </w:numPr>
      </w:pPr>
      <w:r>
        <w:t xml:space="preserve">Ventilação eficaz resultou em aumento progressivo da FC.</w:t>
      </w:r>
    </w:p>
    <w:p>
      <w:pPr>
        <w:pStyle w:val="Compact"/>
        <w:numPr>
          <w:ilvl w:val="0"/>
          <w:numId w:val="1005"/>
        </w:numPr>
      </w:pPr>
      <w:r>
        <w:t xml:space="preserve">RN estabilizado</w:t>
      </w:r>
      <w:r>
        <w:t xml:space="preserve"> </w:t>
      </w:r>
      <w:r>
        <w:t xml:space="preserve">(Health and Excellence 2017)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23"/>
    <w:bookmarkStart w:id="27" w:name="após-a-reanimação"/>
    <w:p>
      <w:pPr>
        <w:pStyle w:val="Heading2"/>
      </w:pPr>
      <w:r>
        <w:t xml:space="preserve">Após a Reanimação</w:t>
      </w:r>
    </w:p>
    <w:p>
      <w:pPr>
        <w:pStyle w:val="Compact"/>
        <w:numPr>
          <w:ilvl w:val="0"/>
          <w:numId w:val="1006"/>
        </w:numPr>
      </w:pPr>
      <w:r>
        <w:t xml:space="preserve">Apgar calculado no 1º e 5º minutos: 4 e 7, respectivamente.</w:t>
      </w:r>
    </w:p>
    <w:p>
      <w:pPr>
        <w:pStyle w:val="Compact"/>
        <w:numPr>
          <w:ilvl w:val="0"/>
          <w:numId w:val="1006"/>
        </w:numPr>
      </w:pPr>
      <w:r>
        <w:t xml:space="preserve">RN monitorado na UTIN para observação contínua e cuidados adicionais.</w:t>
      </w:r>
    </w:p>
    <w:p>
      <w:pPr>
        <w:pStyle w:val="FirstParagraph"/>
      </w:pPr>
      <w:r>
        <w:drawing>
          <wp:inline>
            <wp:extent cx="5334000" cy="3771323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apgar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7"/>
    <w:bookmarkStart w:id="28" w:name="perguntas"/>
    <w:p>
      <w:pPr>
        <w:pStyle w:val="Heading2"/>
      </w:pPr>
      <w:r>
        <w:t xml:space="preserve">Perguntas</w:t>
      </w:r>
    </w:p>
    <w:p>
      <w:pPr>
        <w:pStyle w:val="FirstParagraph"/>
      </w:pPr>
      <w:r>
        <w:t xml:space="preserve">1.Quais foram os principais fatores de risco identificados no caso?</w:t>
      </w:r>
      <w:r>
        <w:t xml:space="preserve"> </w:t>
      </w:r>
      <w:r>
        <w:t xml:space="preserve">- Diabetes gestacional, RPMT, e taquicardia fetal.</w:t>
      </w:r>
    </w:p>
    <w:p>
      <w:pPr>
        <w:pStyle w:val="BodyText"/>
      </w:pPr>
      <w:r>
        <w:t xml:space="preserve">2.Quais foram os passos iniciais da reanimação neonatal realizados no caso?</w:t>
      </w:r>
      <w:r>
        <w:t xml:space="preserve"> </w:t>
      </w:r>
      <w:r>
        <w:t xml:space="preserve">- Prover calor, secar o bebê, posicionar a cabeça em leve extensão, e aspirar vias aéreas superiores.</w:t>
      </w:r>
    </w:p>
    <w:p>
      <w:pPr>
        <w:pStyle w:val="BodyText"/>
      </w:pPr>
      <w:r>
        <w:t xml:space="preserve">3.Qual foi a intervenção realizada após os passos iniciais, com a FC baixa?</w:t>
      </w:r>
      <w:r>
        <w:t xml:space="preserve"> </w:t>
      </w:r>
      <w:r>
        <w:t xml:space="preserve">- Iniciou-se a Ventilação com Pressão Positiva (VPP) com ar ambiente.</w:t>
      </w:r>
    </w:p>
    <w:p>
      <w:pPr>
        <w:pStyle w:val="BodyText"/>
      </w:pPr>
      <w:r>
        <w:t xml:space="preserve">4.O que foi feito quando a ventilação com máscara facial não foi suficiente?</w:t>
      </w:r>
      <w:r>
        <w:t xml:space="preserve"> </w:t>
      </w:r>
      <w:r>
        <w:t xml:space="preserve">- Realizada intubação traqueal para assegurar ventilação eficaz.</w:t>
      </w:r>
    </w:p>
    <w:p>
      <w:r>
        <w:pict>
          <v:rect style="width:0;height:1.5pt" o:hralign="center" o:hrstd="t" o:hr="t"/>
        </w:pict>
      </w:r>
    </w:p>
    <w:bookmarkEnd w:id="28"/>
    <w:bookmarkStart w:id="32" w:name="fluxograma-da-reanimação-neonatal"/>
    <w:p>
      <w:pPr>
        <w:pStyle w:val="Heading2"/>
      </w:pPr>
      <w:r>
        <w:t xml:space="preserve">Fluxograma da Reanimação Neonatal</w:t>
      </w:r>
    </w:p>
    <w:p>
      <w:pPr>
        <w:pStyle w:val="CaptionedFigure"/>
      </w:pPr>
      <w:r>
        <w:drawing>
          <wp:inline>
            <wp:extent cx="5334000" cy="7289535"/>
            <wp:effectExtent b="0" l="0" r="0" t="0"/>
            <wp:docPr descr="Organization (2017)" title="" id="30" name="Picture"/>
            <a:graphic>
              <a:graphicData uri="http://schemas.openxmlformats.org/drawingml/2006/picture">
                <pic:pic>
                  <pic:nvPicPr>
                    <pic:cNvPr descr="reanimation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Organization (2017)</w:t>
      </w:r>
    </w:p>
    <w:p>
      <w:r>
        <w:pict>
          <v:rect style="width:0;height:1.5pt" o:hralign="center" o:hrstd="t" o:hr="t"/>
        </w:pict>
      </w:r>
    </w:p>
    <w:bookmarkEnd w:id="32"/>
    <w:bookmarkStart w:id="36" w:name="gráfico-interativo"/>
    <w:p>
      <w:pPr>
        <w:pStyle w:val="Heading2"/>
      </w:pPr>
      <w:r>
        <w:t xml:space="preserve">Gráfico Interativo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versao_word_slide_files/figure-docx/unnamed-chunk-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Este estudo avaliou a relação entre o tempo de clampeamento do cordão umbilical e a chance de ocorrência de eventos adversos em neonatos, considerando diferentes idades gestacionais (28, 32, 34, e 37 semanas). O gráfico revela que a chance de eventos adversos diminui progressivamente com o aumento do tempo de clampeamento, independentemente da idade gestacional.</w:t>
      </w:r>
    </w:p>
    <w:p>
      <w:pPr>
        <w:pStyle w:val="BodyText"/>
      </w:pPr>
      <w:r>
        <w:t xml:space="preserve">Para neonatos com 28 semanas, a chance de eventos foi de 25% com 30 segundos de clampeamento, reduzindo para 8% aos 120 segundos. De forma similar, neonatos com 37 semanas apresentaram uma redução de 20% para 5% no mesmo intervalo de tempo. A análise sugere que, embora a redução de risco seja observada em todas as idades gestacionais, neonatos mais prematuros (28 semanas) se beneficiam mais significativamente de tempos de clampeamento prolongados.</w:t>
      </w:r>
    </w:p>
    <w:p>
      <w:pPr>
        <w:pStyle w:val="BodyText"/>
      </w:pPr>
      <w:r>
        <w:t xml:space="preserve">Além disso, a diferença na chance de eventos entre os diferentes grupos de idade gestacional tende a se reduzir em tempos de clampeamento mais longos (90 e 120 segundos), indicando uma possível uniformização dos riscos com o prolongamento do clampeamento.</w:t>
      </w:r>
    </w:p>
    <w:p>
      <w:pPr>
        <w:pStyle w:val="BodyText"/>
      </w:pPr>
      <w:r>
        <w:t xml:space="preserve">Esses achados sugerem que a prática de aumentar o tempo de clampeamento pode ser benéfica, especialmente para neonatos prematuros, reduzindo significativamente o risco de eventos adversos. Recomenda-se a consideração dessa prática em ambientes clínicos e a realização de estudos adicionais para confirmar esses benefícios e avaliar os impactos a longo prazo.</w:t>
      </w:r>
    </w:p>
    <w:bookmarkEnd w:id="36"/>
    <w:bookmarkStart w:id="41" w:name="referências"/>
    <w:p>
      <w:pPr>
        <w:pStyle w:val="Heading1"/>
      </w:pPr>
      <w:r>
        <w:t xml:space="preserve">Referências:</w:t>
      </w:r>
    </w:p>
    <w:bookmarkStart w:id="40" w:name="refs"/>
    <w:bookmarkStart w:id="38" w:name="ref-nice2017"/>
    <w:p>
      <w:pPr>
        <w:pStyle w:val="Bibliography"/>
      </w:pPr>
      <w:r>
        <w:t xml:space="preserve">Health, National Institute for, and Care Excellence. 2017.</w:t>
      </w:r>
      <w:r>
        <w:t xml:space="preserve"> </w:t>
      </w:r>
      <w:r>
        <w:t xml:space="preserve">“Intrapartum Care for Healthy Women and Babies. Clinical Guideline.”</w:t>
      </w:r>
      <w:r>
        <w:t xml:space="preserve"> </w:t>
      </w:r>
      <w:hyperlink r:id="rId37">
        <w:r>
          <w:rPr>
            <w:rStyle w:val="Hyperlink"/>
          </w:rPr>
          <w:t xml:space="preserve">https://www.nice.org.uk/guidance/cg190</w:t>
        </w:r>
      </w:hyperlink>
      <w:r>
        <w:t xml:space="preserve">.</w:t>
      </w:r>
    </w:p>
    <w:bookmarkEnd w:id="38"/>
    <w:bookmarkStart w:id="39" w:name="ref-who2017"/>
    <w:p>
      <w:pPr>
        <w:pStyle w:val="Bibliography"/>
      </w:pPr>
      <w:r>
        <w:t xml:space="preserve">Organization, World Health. 2017.</w:t>
      </w:r>
      <w:r>
        <w:t xml:space="preserve"> </w:t>
      </w:r>
      <w:r>
        <w:t xml:space="preserve">“WHO Recommendations on Newborn Health: Guidelines Approved by the WHO Guidelines Review Committee.”</w:t>
      </w:r>
    </w:p>
    <w:bookmarkEnd w:id="39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37" Target="https://www.nice.org.uk/guidance/cg1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www.nice.org.uk/guidance/cg1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Clínico - Reanimação Neonatal</dc:title>
  <dc:creator/>
  <cp:keywords/>
  <dcterms:created xsi:type="dcterms:W3CDTF">2024-08-27T18:02:28Z</dcterms:created>
  <dcterms:modified xsi:type="dcterms:W3CDTF">2024-08-27T18:02:28Z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title-block-banner">
    <vt:lpwstr>True</vt:lpwstr>
  </property>
  <property fmtid="{D5CDD505-2E9C-101B-9397-08002B2CF9AE}" pid="10" name="toc-title">
    <vt:lpwstr>Table of contents</vt:lpwstr>
  </property>
</Properties>
</file>