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EA105E" w14:textId="6CE4FE4B" w:rsidR="00CF4772" w:rsidRDefault="00CB2CB4" w:rsidP="00CB2CB4">
      <w:pPr>
        <w:pStyle w:val="Ttulo"/>
        <w:jc w:val="center"/>
        <w:rPr>
          <w:sz w:val="96"/>
          <w:szCs w:val="96"/>
        </w:rPr>
      </w:pPr>
      <w:r w:rsidRPr="00CB2CB4">
        <w:rPr>
          <w:color w:val="FFFFFF" w:themeColor="background1"/>
          <w:sz w:val="96"/>
          <w:szCs w:val="96"/>
          <w:highlight w:val="black"/>
        </w:rPr>
        <w:t>O DIÁRIO</w:t>
      </w:r>
    </w:p>
    <w:p w14:paraId="6E7E1AC4" w14:textId="77777777" w:rsidR="00CB2CB4" w:rsidRDefault="00CB2CB4" w:rsidP="00CB2CB4"/>
    <w:p w14:paraId="600075A7" w14:textId="77777777" w:rsidR="00CB2CB4" w:rsidRPr="00CB2CB4" w:rsidRDefault="00CB2CB4" w:rsidP="00CB2CB4"/>
    <w:p w14:paraId="1C4050A1" w14:textId="76D5BCB9" w:rsidR="00CB2CB4" w:rsidRPr="00CB2CB4" w:rsidRDefault="00CB2CB4" w:rsidP="00CB2CB4">
      <w:pPr>
        <w:rPr>
          <w:sz w:val="48"/>
          <w:szCs w:val="48"/>
        </w:rPr>
      </w:pPr>
      <w:r w:rsidRPr="00CB2CB4">
        <w:rPr>
          <w:sz w:val="48"/>
          <w:szCs w:val="48"/>
        </w:rPr>
        <w:t>DE MATHEUS LUIZ SOARES</w:t>
      </w:r>
    </w:p>
    <w:p w14:paraId="14E6D62F" w14:textId="0E9B7A0C" w:rsidR="00CB2CB4" w:rsidRPr="00CB2CB4" w:rsidRDefault="00CB2CB4" w:rsidP="00CB2CB4">
      <w:pPr>
        <w:rPr>
          <w:sz w:val="48"/>
          <w:szCs w:val="48"/>
        </w:rPr>
      </w:pPr>
      <w:r w:rsidRPr="00CB2CB4">
        <w:rPr>
          <w:sz w:val="48"/>
          <w:szCs w:val="48"/>
        </w:rPr>
        <w:t>RA:</w:t>
      </w:r>
      <w:r w:rsidRPr="00CB2CB4">
        <w:rPr>
          <w:rFonts w:ascii="Batang" w:eastAsia="Batang" w:hAnsi="Batang" w:cstheme="majorBidi" w:hint="eastAsia"/>
          <w:color w:val="FFFFFF"/>
          <w:spacing w:val="-20"/>
          <w:kern w:val="24"/>
          <w:position w:val="1"/>
          <w:sz w:val="48"/>
          <w:szCs w:val="48"/>
        </w:rPr>
        <w:t xml:space="preserve"> </w:t>
      </w:r>
      <w:r w:rsidRPr="00CB2CB4">
        <w:rPr>
          <w:rFonts w:hint="eastAsia"/>
          <w:sz w:val="48"/>
          <w:szCs w:val="48"/>
        </w:rPr>
        <w:t>128231359</w:t>
      </w:r>
    </w:p>
    <w:p w14:paraId="5D1C742A" w14:textId="77777777" w:rsidR="00CB2CB4" w:rsidRDefault="00CB2CB4">
      <w:pPr>
        <w:rPr>
          <w:sz w:val="96"/>
          <w:szCs w:val="96"/>
        </w:rPr>
      </w:pPr>
    </w:p>
    <w:p w14:paraId="72194EC4" w14:textId="77777777" w:rsidR="00CB2CB4" w:rsidRDefault="00CB2CB4">
      <w:pPr>
        <w:rPr>
          <w:sz w:val="96"/>
          <w:szCs w:val="96"/>
        </w:rPr>
      </w:pPr>
    </w:p>
    <w:p w14:paraId="3B231C1D" w14:textId="77777777" w:rsidR="00CB2CB4" w:rsidRDefault="00CB2CB4">
      <w:pPr>
        <w:rPr>
          <w:sz w:val="96"/>
          <w:szCs w:val="96"/>
        </w:rPr>
      </w:pPr>
    </w:p>
    <w:p w14:paraId="3B3183FD" w14:textId="3D66D3FD" w:rsidR="00CB2CB4" w:rsidRDefault="00CB2CB4">
      <w:pPr>
        <w:rPr>
          <w:sz w:val="96"/>
          <w:szCs w:val="96"/>
        </w:rPr>
      </w:pPr>
    </w:p>
    <w:p w14:paraId="11EC9AFA" w14:textId="77777777" w:rsidR="00CB2CB4" w:rsidRDefault="00CB2CB4">
      <w:pPr>
        <w:rPr>
          <w:sz w:val="96"/>
          <w:szCs w:val="96"/>
        </w:rPr>
      </w:pPr>
    </w:p>
    <w:p w14:paraId="2B0E9F2E" w14:textId="77777777" w:rsidR="00CB2CB4" w:rsidRDefault="00CB2CB4" w:rsidP="00CB2CB4">
      <w:pPr>
        <w:pStyle w:val="NormalWeb"/>
        <w:rPr>
          <w:sz w:val="72"/>
          <w:szCs w:val="72"/>
        </w:rPr>
      </w:pPr>
    </w:p>
    <w:p w14:paraId="194FB052" w14:textId="77777777" w:rsidR="00CB2CB4" w:rsidRDefault="00CB2CB4" w:rsidP="00CB2CB4">
      <w:pPr>
        <w:pStyle w:val="NormalWeb"/>
        <w:rPr>
          <w:sz w:val="72"/>
          <w:szCs w:val="72"/>
        </w:rPr>
      </w:pPr>
    </w:p>
    <w:p w14:paraId="70789B29" w14:textId="77777777" w:rsidR="00CB2CB4" w:rsidRDefault="00CB2CB4" w:rsidP="00CB2CB4">
      <w:pPr>
        <w:pStyle w:val="NormalWeb"/>
        <w:rPr>
          <w:sz w:val="72"/>
          <w:szCs w:val="72"/>
        </w:rPr>
      </w:pPr>
    </w:p>
    <w:p w14:paraId="24307B3D" w14:textId="72F48E93" w:rsidR="00CB2CB4" w:rsidRDefault="00CB2CB4" w:rsidP="00CB2CB4">
      <w:pPr>
        <w:pStyle w:val="NormalWeb"/>
      </w:pPr>
      <w:r w:rsidRPr="00CB2CB4">
        <w:rPr>
          <w:sz w:val="72"/>
          <w:szCs w:val="72"/>
        </w:rPr>
        <w:lastRenderedPageBreak/>
        <w:t>UNIDADE 1:</w:t>
      </w:r>
      <w:r w:rsidRPr="00CB2CB4">
        <w:t xml:space="preserve"> </w:t>
      </w:r>
    </w:p>
    <w:p w14:paraId="166808FA" w14:textId="226BFF5E" w:rsidR="00CB2CB4" w:rsidRPr="00CB2CB4" w:rsidRDefault="00CB2CB4" w:rsidP="00CB2CB4">
      <w:pPr>
        <w:pStyle w:val="NormalWeb"/>
      </w:pPr>
      <w:r w:rsidRPr="00CB2CB4">
        <w:rPr>
          <w:b/>
          <w:bCs/>
        </w:rPr>
        <w:t>Os impactos da pandemia global nas Doenças Crônicas Não Transmissíveis (</w:t>
      </w:r>
      <w:proofErr w:type="spellStart"/>
      <w:r w:rsidRPr="00CB2CB4">
        <w:rPr>
          <w:b/>
          <w:bCs/>
        </w:rPr>
        <w:t>DCNTs</w:t>
      </w:r>
      <w:proofErr w:type="spellEnd"/>
      <w:r w:rsidRPr="00CB2CB4">
        <w:rPr>
          <w:b/>
          <w:bCs/>
        </w:rPr>
        <w:t>) e na saúde integral foram significativos e diversos</w:t>
      </w:r>
      <w:r w:rsidRPr="00CB2CB4">
        <w:t xml:space="preserve">. A pandemia de COVID-19 exacerbou fatores de risco para </w:t>
      </w:r>
      <w:proofErr w:type="spellStart"/>
      <w:r w:rsidRPr="00CB2CB4">
        <w:t>DCNTs</w:t>
      </w:r>
      <w:proofErr w:type="spellEnd"/>
      <w:r w:rsidRPr="00CB2CB4">
        <w:t>, como sedentarismo, má alimentação, maior consumo de álcool e tabaco, e estresse. Além disso, comprometeu o acesso a cuidados de saúde, resultando em diagnósticos tardios e tratamentos inadequados, agravando as condições dos pacientes.</w:t>
      </w:r>
    </w:p>
    <w:p w14:paraId="302D10CC" w14:textId="45EF97A7" w:rsidR="00CB2CB4" w:rsidRPr="00CB2CB4" w:rsidRDefault="00CB2CB4" w:rsidP="00CB2C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B2CB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Pessoas com </w:t>
      </w:r>
      <w:proofErr w:type="spellStart"/>
      <w:r w:rsidRPr="00CB2CB4">
        <w:rPr>
          <w:rFonts w:ascii="Times New Roman" w:eastAsia="Times New Roman" w:hAnsi="Times New Roman" w:cs="Times New Roman"/>
          <w:sz w:val="24"/>
          <w:szCs w:val="24"/>
          <w:lang w:eastAsia="pt-BR"/>
        </w:rPr>
        <w:t>DCNTs</w:t>
      </w:r>
      <w:proofErr w:type="spellEnd"/>
      <w:r w:rsidRPr="00CB2CB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mostraram maior vulnerabilidade ao COVID-19, com mais complicações graves e mortalidade. A saúde integral também foi afetada, com aumento de ansiedade, depressão e outros transtornos mentais devido ao isolamento social e interrupção de rotinas. A pandemia forçou uma reavaliação e reestruturação dos serviços de saúde. Houve um rápido avanço na adoção da telemedicina, permitindo que os pacientes com </w:t>
      </w:r>
      <w:proofErr w:type="spellStart"/>
      <w:r w:rsidRPr="00CB2CB4">
        <w:rPr>
          <w:rFonts w:ascii="Times New Roman" w:eastAsia="Times New Roman" w:hAnsi="Times New Roman" w:cs="Times New Roman"/>
          <w:sz w:val="24"/>
          <w:szCs w:val="24"/>
          <w:lang w:eastAsia="pt-BR"/>
        </w:rPr>
        <w:t>DCNTs</w:t>
      </w:r>
      <w:proofErr w:type="spellEnd"/>
      <w:r w:rsidRPr="00CB2CB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continuassem a receber cuidados sem precisar se expor a ambientes de alto risco. No entanto, a acessibilidade e eficácia da telemedicina variaram, destacando disparidades no acesso à tecnologia e na alfabetização digital.</w:t>
      </w:r>
    </w:p>
    <w:p w14:paraId="4BEA41DE" w14:textId="77777777" w:rsidR="00CB2CB4" w:rsidRPr="00CB2CB4" w:rsidRDefault="00CB2CB4" w:rsidP="00CB2C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B2CB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Em resumo, a pandemia destacou a necessidade de sistemas de saúde resilientes e políticas de saúde pública que promovam estilos de vida saudáveis e cuidados preventivos, para melhor proteger a saúde integral da população e mitigar os impactos em pessoas com </w:t>
      </w:r>
      <w:proofErr w:type="spellStart"/>
      <w:r w:rsidRPr="00CB2CB4">
        <w:rPr>
          <w:rFonts w:ascii="Times New Roman" w:eastAsia="Times New Roman" w:hAnsi="Times New Roman" w:cs="Times New Roman"/>
          <w:sz w:val="24"/>
          <w:szCs w:val="24"/>
          <w:lang w:eastAsia="pt-BR"/>
        </w:rPr>
        <w:t>DCNTs</w:t>
      </w:r>
      <w:proofErr w:type="spellEnd"/>
      <w:r w:rsidRPr="00CB2CB4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14:paraId="74EDC0BB" w14:textId="18156A48" w:rsidR="00CB2CB4" w:rsidRPr="00CB2CB4" w:rsidRDefault="00CB2CB4" w:rsidP="00CB2C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BC480B4" w14:textId="77777777" w:rsidR="00CB2CB4" w:rsidRDefault="00CB2CB4" w:rsidP="00CB2CB4">
      <w:pPr>
        <w:pStyle w:val="NormalWeb"/>
        <w:rPr>
          <w:sz w:val="96"/>
          <w:szCs w:val="96"/>
        </w:rPr>
      </w:pPr>
      <w:r>
        <w:rPr>
          <w:noProof/>
          <w:sz w:val="96"/>
          <w:szCs w:val="96"/>
        </w:rPr>
        <w:drawing>
          <wp:inline distT="0" distB="0" distL="0" distR="0" wp14:anchorId="661B69D9" wp14:editId="3EB79120">
            <wp:extent cx="5400040" cy="3600450"/>
            <wp:effectExtent l="0" t="0" r="0" b="0"/>
            <wp:docPr id="1278765120" name="Imagem 1" descr="Mulher na frente de um lap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765120" name="Imagem 1" descr="Mulher na frente de um lapto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934AC" w14:textId="09819883" w:rsidR="00CB2CB4" w:rsidRDefault="00CB2CB4" w:rsidP="00CB2CB4">
      <w:pPr>
        <w:pStyle w:val="NormalWeb"/>
        <w:rPr>
          <w:sz w:val="96"/>
          <w:szCs w:val="96"/>
        </w:rPr>
      </w:pPr>
      <w:r>
        <w:rPr>
          <w:sz w:val="96"/>
          <w:szCs w:val="96"/>
        </w:rPr>
        <w:lastRenderedPageBreak/>
        <w:t>UNIDADE 2:</w:t>
      </w:r>
    </w:p>
    <w:p w14:paraId="6DF9ED07" w14:textId="77777777" w:rsidR="00CB2CB4" w:rsidRPr="00CB2CB4" w:rsidRDefault="00CB2CB4" w:rsidP="00CB2C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CB2CB4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Desenvolver habilidades de autocuidado e gerenciar o estresse são fundamentais para manter o bem-estar físico e mental. Aqui estão algumas estratégias que podem ajudar:</w:t>
      </w:r>
    </w:p>
    <w:p w14:paraId="280717BC" w14:textId="77777777" w:rsidR="00CB2CB4" w:rsidRPr="00CB2CB4" w:rsidRDefault="00CB2CB4" w:rsidP="00CB2CB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B2CB4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Prática de </w:t>
      </w:r>
      <w:proofErr w:type="spellStart"/>
      <w:r w:rsidRPr="00CB2CB4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Mindfulness</w:t>
      </w:r>
      <w:proofErr w:type="spellEnd"/>
      <w:r w:rsidRPr="00CB2CB4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e Meditação</w:t>
      </w:r>
      <w:r w:rsidRPr="00CB2CB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: Aprender técnicas de </w:t>
      </w:r>
      <w:proofErr w:type="spellStart"/>
      <w:r w:rsidRPr="00CB2CB4">
        <w:rPr>
          <w:rFonts w:ascii="Times New Roman" w:eastAsia="Times New Roman" w:hAnsi="Times New Roman" w:cs="Times New Roman"/>
          <w:sz w:val="24"/>
          <w:szCs w:val="24"/>
          <w:lang w:eastAsia="pt-BR"/>
        </w:rPr>
        <w:t>mindfulness</w:t>
      </w:r>
      <w:proofErr w:type="spellEnd"/>
      <w:r w:rsidRPr="00CB2CB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meditação pode ajudar a reduzir o estresse, promover a calma interior e aumentar a consciência do momento presente.</w:t>
      </w:r>
    </w:p>
    <w:p w14:paraId="33265A3E" w14:textId="77777777" w:rsidR="00CB2CB4" w:rsidRPr="00CB2CB4" w:rsidRDefault="00CB2CB4" w:rsidP="00CB2CB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B2CB4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Exercício Regular</w:t>
      </w:r>
      <w:r w:rsidRPr="00CB2CB4">
        <w:rPr>
          <w:rFonts w:ascii="Times New Roman" w:eastAsia="Times New Roman" w:hAnsi="Times New Roman" w:cs="Times New Roman"/>
          <w:sz w:val="24"/>
          <w:szCs w:val="24"/>
          <w:lang w:eastAsia="pt-BR"/>
        </w:rPr>
        <w:t>: A atividade física regular não só melhora a saúde física, mas também libera endorfinas que ajudam a reduzir o estresse e promover o bem-estar mental.</w:t>
      </w:r>
    </w:p>
    <w:p w14:paraId="6160D948" w14:textId="77777777" w:rsidR="00CB2CB4" w:rsidRPr="00CB2CB4" w:rsidRDefault="00CB2CB4" w:rsidP="00CB2CB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B2CB4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Alimentação Saudável</w:t>
      </w:r>
      <w:r w:rsidRPr="00CB2CB4">
        <w:rPr>
          <w:rFonts w:ascii="Times New Roman" w:eastAsia="Times New Roman" w:hAnsi="Times New Roman" w:cs="Times New Roman"/>
          <w:sz w:val="24"/>
          <w:szCs w:val="24"/>
          <w:lang w:eastAsia="pt-BR"/>
        </w:rPr>
        <w:t>: Ter uma dieta equilibrada e nutritiva é essencial para o funcionamento adequado do corpo e da mente. Evitar alimentos processados, açúcares refinados e cafeína em excesso pode ajudar a manter níveis mais estáveis de energia e humor.</w:t>
      </w:r>
    </w:p>
    <w:p w14:paraId="5B7C9A69" w14:textId="77777777" w:rsidR="00CB2CB4" w:rsidRPr="00CB2CB4" w:rsidRDefault="00CB2CB4" w:rsidP="00CB2CB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B2CB4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Sono Adequado</w:t>
      </w:r>
      <w:r w:rsidRPr="00CB2CB4">
        <w:rPr>
          <w:rFonts w:ascii="Times New Roman" w:eastAsia="Times New Roman" w:hAnsi="Times New Roman" w:cs="Times New Roman"/>
          <w:sz w:val="24"/>
          <w:szCs w:val="24"/>
          <w:lang w:eastAsia="pt-BR"/>
        </w:rPr>
        <w:t>: Priorizar um sono de qualidade é crucial para o gerenciamento do estresse. Estabelecer uma rotina de sono consistente e criar um ambiente propício para dormir pode ajudar a melhorar a qualidade do sono.</w:t>
      </w:r>
    </w:p>
    <w:p w14:paraId="563CA6A1" w14:textId="77777777" w:rsidR="00CB2CB4" w:rsidRPr="00CB2CB4" w:rsidRDefault="00CB2CB4" w:rsidP="00CB2CB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B2CB4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Estabelecimento de Limites</w:t>
      </w:r>
      <w:r w:rsidRPr="00CB2CB4">
        <w:rPr>
          <w:rFonts w:ascii="Times New Roman" w:eastAsia="Times New Roman" w:hAnsi="Times New Roman" w:cs="Times New Roman"/>
          <w:sz w:val="24"/>
          <w:szCs w:val="24"/>
          <w:lang w:eastAsia="pt-BR"/>
        </w:rPr>
        <w:t>: Aprender a dizer não e estabelecer limites saudáveis é importante para evitar sobrecarga e estresse excessivo. Definir prioridades e aprender a delegar tarefas quando necessário pode ajudar a reduzir a carga de trabalho.</w:t>
      </w:r>
    </w:p>
    <w:p w14:paraId="6FD14B52" w14:textId="77777777" w:rsidR="00CB2CB4" w:rsidRPr="00CB2CB4" w:rsidRDefault="00CB2CB4" w:rsidP="00CB2CB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B2CB4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Prática de Hobbies e Atividades Relaxantes</w:t>
      </w:r>
      <w:r w:rsidRPr="00CB2CB4">
        <w:rPr>
          <w:rFonts w:ascii="Times New Roman" w:eastAsia="Times New Roman" w:hAnsi="Times New Roman" w:cs="Times New Roman"/>
          <w:sz w:val="24"/>
          <w:szCs w:val="24"/>
          <w:lang w:eastAsia="pt-BR"/>
        </w:rPr>
        <w:t>: Encontrar tempo para atividades que tragam prazer e relaxamento, como hobbies, leitura, ouvindo música ou praticando arte, pode ajudar a aliviar o estresse e restaurar o equilíbrio mental.</w:t>
      </w:r>
    </w:p>
    <w:p w14:paraId="4B438B04" w14:textId="77777777" w:rsidR="00CB2CB4" w:rsidRPr="00CB2CB4" w:rsidRDefault="00CB2CB4" w:rsidP="00CB2CB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B2CB4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Busca de Apoio Social</w:t>
      </w:r>
      <w:r w:rsidRPr="00CB2CB4">
        <w:rPr>
          <w:rFonts w:ascii="Times New Roman" w:eastAsia="Times New Roman" w:hAnsi="Times New Roman" w:cs="Times New Roman"/>
          <w:sz w:val="24"/>
          <w:szCs w:val="24"/>
          <w:lang w:eastAsia="pt-BR"/>
        </w:rPr>
        <w:t>: Manter conexões sociais significativas e buscar apoio em amigos, familiares ou grupos de apoio pode ser uma fonte valiosa de suporte emocional durante períodos estressantes.</w:t>
      </w:r>
    </w:p>
    <w:p w14:paraId="7938E69A" w14:textId="77777777" w:rsidR="00CB2CB4" w:rsidRPr="00CB2CB4" w:rsidRDefault="00CB2CB4" w:rsidP="00CB2CB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B2CB4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Gerenciamento do Tempo</w:t>
      </w:r>
      <w:r w:rsidRPr="00CB2CB4">
        <w:rPr>
          <w:rFonts w:ascii="Times New Roman" w:eastAsia="Times New Roman" w:hAnsi="Times New Roman" w:cs="Times New Roman"/>
          <w:sz w:val="24"/>
          <w:szCs w:val="24"/>
          <w:lang w:eastAsia="pt-BR"/>
        </w:rPr>
        <w:t>: Desenvolver habilidades de gerenciamento do tempo pode ajudar a reduzir a sensação de sobrecarga e permitir uma distribuição mais equilibrada das responsabilidades.</w:t>
      </w:r>
    </w:p>
    <w:p w14:paraId="461F7AC7" w14:textId="5FDF17A1" w:rsidR="00CB2CB4" w:rsidRPr="00CB2CB4" w:rsidRDefault="00CB2CB4" w:rsidP="00CB2CB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B2CB4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Terapia ou Aconselhamento</w:t>
      </w:r>
      <w:r w:rsidRPr="00CB2CB4">
        <w:rPr>
          <w:rFonts w:ascii="Times New Roman" w:eastAsia="Times New Roman" w:hAnsi="Times New Roman" w:cs="Times New Roman"/>
          <w:sz w:val="24"/>
          <w:szCs w:val="24"/>
          <w:lang w:eastAsia="pt-BR"/>
        </w:rPr>
        <w:t>: Em alguns casos, buscar a ajuda de um profissional de saúde mental pode ser benéfico para aprender estratégias adicionais de enfrentamento e obter suporte emocional.</w:t>
      </w:r>
    </w:p>
    <w:p w14:paraId="19A293DA" w14:textId="77777777" w:rsidR="00CB2CB4" w:rsidRDefault="00CB2CB4" w:rsidP="00CB2C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pt-BR"/>
        </w:rPr>
      </w:pPr>
    </w:p>
    <w:p w14:paraId="53D61F8A" w14:textId="77777777" w:rsidR="00CB2CB4" w:rsidRDefault="00CB2CB4" w:rsidP="00CB2CB4">
      <w:pPr>
        <w:pStyle w:val="NormalWeb"/>
        <w:rPr>
          <w:b/>
          <w:bCs/>
          <w:sz w:val="96"/>
          <w:szCs w:val="96"/>
        </w:rPr>
      </w:pPr>
      <w:r>
        <w:rPr>
          <w:sz w:val="96"/>
          <w:szCs w:val="96"/>
        </w:rPr>
        <w:t xml:space="preserve">UNIDADE </w:t>
      </w:r>
      <w:r>
        <w:rPr>
          <w:sz w:val="96"/>
          <w:szCs w:val="96"/>
        </w:rPr>
        <w:t>3</w:t>
      </w:r>
      <w:r w:rsidRPr="00CB2CB4">
        <w:rPr>
          <w:b/>
          <w:bCs/>
          <w:sz w:val="96"/>
          <w:szCs w:val="96"/>
        </w:rPr>
        <w:t>:</w:t>
      </w:r>
    </w:p>
    <w:p w14:paraId="187358CA" w14:textId="33DA2BFC" w:rsidR="00CB2CB4" w:rsidRDefault="00CB2CB4" w:rsidP="00CB2CB4">
      <w:pPr>
        <w:pStyle w:val="NormalWeb"/>
      </w:pPr>
      <w:r w:rsidRPr="00CB2CB4">
        <w:rPr>
          <w:b/>
          <w:bCs/>
        </w:rPr>
        <w:t xml:space="preserve"> </w:t>
      </w:r>
      <w:r w:rsidRPr="00CB2CB4">
        <w:rPr>
          <w:b/>
          <w:bCs/>
        </w:rPr>
        <w:t>Promover a saúde integral na sociedade</w:t>
      </w:r>
      <w:r>
        <w:t xml:space="preserve"> é essencial para abordar todos os aspectos do cuidado e da manutenção do bem-estar pessoal e social. Como estudante e futuro profissional da saúde, tenho um profundo interesse em iniciativas que visam promover </w:t>
      </w:r>
      <w:r>
        <w:lastRenderedPageBreak/>
        <w:t>uma abordagem holística para a saúde. Isso significa reconhecer a importância não apenas da saúde física, mas também da saúde mental, emocional e social.</w:t>
      </w:r>
    </w:p>
    <w:p w14:paraId="1C21EF23" w14:textId="77777777" w:rsidR="00CB2CB4" w:rsidRDefault="00CB2CB4" w:rsidP="00CB2CB4">
      <w:pPr>
        <w:pStyle w:val="NormalWeb"/>
      </w:pPr>
      <w:r>
        <w:t>Para promover a saúde integral, é necessário adotar uma abordagem que leve em consideração diversos fatores que influenciam o bem-estar das pessoas. Isso inclui não apenas a prevenção e o tratamento de doenças físicas, mas também o apoio ao desenvolvimento de habilidades de enfrentamento emocional, o fortalecimento de relacionamentos sociais e o incentivo a um estilo de vida saudável em todos os aspectos.</w:t>
      </w:r>
    </w:p>
    <w:p w14:paraId="5CDFDC91" w14:textId="77777777" w:rsidR="00CB2CB4" w:rsidRDefault="00CB2CB4" w:rsidP="00CB2CB4">
      <w:pPr>
        <w:pStyle w:val="NormalWeb"/>
      </w:pPr>
      <w:r>
        <w:t>Algumas iniciativas que podem promover a saúde integral incluem programas de educação em saúde que abordam não apenas aspectos físicos, mas também questões relacionadas à saúde mental, como gestão do estresse e promoção da resiliência emocional. Além disso, é importante criar ambientes que incentivem comportamentos saudáveis, como espaços públicos para atividade física, acesso a alimentos saudáveis e políticas que promovam o equilíbrio entre trabalho e vida pessoal.</w:t>
      </w:r>
    </w:p>
    <w:p w14:paraId="131D9220" w14:textId="77777777" w:rsidR="00CB2CB4" w:rsidRDefault="00CB2CB4" w:rsidP="00CB2CB4">
      <w:pPr>
        <w:pStyle w:val="NormalWeb"/>
      </w:pPr>
      <w:r>
        <w:t>Outra parte fundamental da promoção da saúde integral é o apoio ao acesso equitativo aos serviços de saúde, garantindo que todas as pessoas tenham a oportunidade de receber cuidados de saúde de qualidade, independentemente de sua situação socioeconômica ou local de residência.</w:t>
      </w:r>
    </w:p>
    <w:p w14:paraId="707B9B3B" w14:textId="403EAD79" w:rsidR="00CB2CB4" w:rsidRDefault="00CB2CB4" w:rsidP="00CB2CB4">
      <w:pPr>
        <w:pStyle w:val="NormalWeb"/>
      </w:pPr>
      <w:r>
        <w:t xml:space="preserve">Em resumo, promover a saúde integral requer uma abordagem abrangente que reconheça a interconexão entre todos os aspectos da saúde e busque criar ambientes e sistemas que apoiem o bem-estar em todas as </w:t>
      </w:r>
      <w:r>
        <w:t>suas dimensões</w:t>
      </w:r>
    </w:p>
    <w:p w14:paraId="6AC1F7A3" w14:textId="77777777" w:rsidR="00CB2CB4" w:rsidRDefault="00CB2CB4" w:rsidP="00CB2CB4">
      <w:pPr>
        <w:pStyle w:val="NormalWeb"/>
      </w:pPr>
    </w:p>
    <w:p w14:paraId="3D30CA76" w14:textId="77777777" w:rsidR="00CB2CB4" w:rsidRDefault="00CB2CB4" w:rsidP="00CB2CB4">
      <w:pPr>
        <w:pStyle w:val="NormalWeb"/>
        <w:rPr>
          <w:sz w:val="96"/>
          <w:szCs w:val="96"/>
        </w:rPr>
      </w:pPr>
      <w:r>
        <w:rPr>
          <w:noProof/>
          <w:sz w:val="28"/>
          <w:szCs w:val="28"/>
        </w:rPr>
        <w:drawing>
          <wp:inline distT="0" distB="0" distL="0" distR="0" wp14:anchorId="439C81EC" wp14:editId="5861E5BE">
            <wp:extent cx="4983480" cy="2712720"/>
            <wp:effectExtent l="0" t="0" r="0" b="0"/>
            <wp:docPr id="693801536" name="Imagem 3" descr="Homem e mulher em pé lado a l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801536" name="Imagem 3" descr="Homem e mulher em pé lado a lado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F1E9E" w14:textId="48B40501" w:rsidR="00CB2CB4" w:rsidRPr="00CB2CB4" w:rsidRDefault="00CB2CB4" w:rsidP="00CB2CB4">
      <w:pPr>
        <w:pStyle w:val="NormalWeb"/>
        <w:rPr>
          <w:sz w:val="92"/>
          <w:szCs w:val="92"/>
        </w:rPr>
      </w:pPr>
      <w:r w:rsidRPr="00CB2CB4">
        <w:rPr>
          <w:sz w:val="92"/>
          <w:szCs w:val="92"/>
        </w:rPr>
        <w:t xml:space="preserve">UNIDADE </w:t>
      </w:r>
      <w:r w:rsidRPr="00CB2CB4">
        <w:rPr>
          <w:sz w:val="92"/>
          <w:szCs w:val="92"/>
        </w:rPr>
        <w:t>4</w:t>
      </w:r>
      <w:r w:rsidRPr="00CB2CB4">
        <w:rPr>
          <w:b/>
          <w:bCs/>
          <w:sz w:val="92"/>
          <w:szCs w:val="92"/>
        </w:rPr>
        <w:t>:</w:t>
      </w:r>
      <w:r w:rsidRPr="00CB2CB4">
        <w:rPr>
          <w:sz w:val="92"/>
          <w:szCs w:val="92"/>
        </w:rPr>
        <w:t xml:space="preserve"> </w:t>
      </w:r>
    </w:p>
    <w:p w14:paraId="58D99075" w14:textId="7E1DD847" w:rsidR="00CB2CB4" w:rsidRPr="00CB2CB4" w:rsidRDefault="00CB2CB4" w:rsidP="00CB2CB4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B2CB4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Os mecanismos psicológicos e neurobiológicos desempenham papéis fundamentais no desenvolvimento humano, influenciando tanto o funcionamento mental quanto físico ao longo da vida.</w:t>
      </w:r>
    </w:p>
    <w:p w14:paraId="2D87B39E" w14:textId="77777777" w:rsidR="00CB2CB4" w:rsidRPr="00CB2CB4" w:rsidRDefault="00CB2CB4" w:rsidP="00CB2C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B2CB4">
        <w:rPr>
          <w:rFonts w:ascii="Times New Roman" w:eastAsia="Times New Roman" w:hAnsi="Times New Roman" w:cs="Times New Roman"/>
          <w:b/>
          <w:bCs/>
          <w:sz w:val="28"/>
          <w:szCs w:val="28"/>
          <w:lang w:eastAsia="pt-BR"/>
        </w:rPr>
        <w:t>Psicológicos</w:t>
      </w:r>
      <w:r w:rsidRPr="00CB2CB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: Os processos psicológicos incluem cognição, emoção, personalidade e comportamento. A cognição abrange funções como percepção, memória, linguagem e resolução de problemas, e é influenciada por fatores genéticos e ambientais. As emoções desempenham um papel na regulação do comportamento e na adaptação ao ambiente, e sua expressão e regulação são influenciadas por experiências individuais e sociais. A personalidade refere-se aos traços estáveis de pensamento, sentimento e comportamento que caracterizam um indivíduo </w:t>
      </w:r>
      <w:proofErr w:type="gramStart"/>
      <w:r w:rsidRPr="00CB2CB4">
        <w:rPr>
          <w:rFonts w:ascii="Times New Roman" w:eastAsia="Times New Roman" w:hAnsi="Times New Roman" w:cs="Times New Roman"/>
          <w:sz w:val="24"/>
          <w:szCs w:val="24"/>
          <w:lang w:eastAsia="pt-BR"/>
        </w:rPr>
        <w:t>e também</w:t>
      </w:r>
      <w:proofErr w:type="gramEnd"/>
      <w:r w:rsidRPr="00CB2CB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é influenciada por fatores genéticos e ambientais. O comportamento é resultado da interação entre processos psicológicos e contextos sociais, culturais e ambientais.</w:t>
      </w:r>
    </w:p>
    <w:p w14:paraId="4A028971" w14:textId="77777777" w:rsidR="00CB2CB4" w:rsidRPr="00CB2CB4" w:rsidRDefault="00CB2CB4" w:rsidP="00CB2C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B2CB4">
        <w:rPr>
          <w:rFonts w:ascii="Times New Roman" w:eastAsia="Times New Roman" w:hAnsi="Times New Roman" w:cs="Times New Roman"/>
          <w:b/>
          <w:bCs/>
          <w:sz w:val="28"/>
          <w:szCs w:val="28"/>
          <w:lang w:eastAsia="pt-BR"/>
        </w:rPr>
        <w:t>Neurobiológicos</w:t>
      </w:r>
      <w:r w:rsidRPr="00CB2CB4">
        <w:rPr>
          <w:rFonts w:ascii="Times New Roman" w:eastAsia="Times New Roman" w:hAnsi="Times New Roman" w:cs="Times New Roman"/>
          <w:sz w:val="24"/>
          <w:szCs w:val="24"/>
          <w:lang w:eastAsia="pt-BR"/>
        </w:rPr>
        <w:t>: Os mecanismos neurobiológicos referem-se às bases biológicas do comportamento e incluem estruturas cerebrais, neurotransmissores e sistemas neurais. O desenvolvimento do sistema nervoso começa no útero e continua ao longo da infância e adolescência, sendo influenciado por fatores genéticos e ambientais, como nutrição, estresse e estimulação ambiental. A plasticidade cerebral permite que o cérebro se adapte a novas experiências e aprendizado, e é especialmente pronunciada durante a infância e adolescência. Os neurotransmissores desempenham um papel crucial na comunicação entre neurônios e na regulação de funções como humor, sono, apetite e estresse.</w:t>
      </w:r>
    </w:p>
    <w:p w14:paraId="5E5F941B" w14:textId="77777777" w:rsidR="00CB2CB4" w:rsidRPr="00CB2CB4" w:rsidRDefault="00CB2CB4" w:rsidP="00CB2C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B2CB4">
        <w:rPr>
          <w:rFonts w:ascii="Times New Roman" w:eastAsia="Times New Roman" w:hAnsi="Times New Roman" w:cs="Times New Roman"/>
          <w:sz w:val="24"/>
          <w:szCs w:val="24"/>
          <w:lang w:eastAsia="pt-BR"/>
        </w:rPr>
        <w:t>O desenvolvimento humano é um processo complexo que resulta da interação dinâmica entre fatores psicológicos e neurobiológicos, bem como influências sociais, culturais e ambientais. Compreender esses mecanismos é fundamental para promover o bem-estar e o desenvolvimento saudável ao longo da vida.</w:t>
      </w:r>
    </w:p>
    <w:p w14:paraId="5EB0E244" w14:textId="212B3328" w:rsidR="00CB2CB4" w:rsidRDefault="00CB2CB4" w:rsidP="00CB2CB4">
      <w:pPr>
        <w:pStyle w:val="NormalWeb"/>
        <w:jc w:val="center"/>
        <w:rPr>
          <w:b/>
          <w:bCs/>
          <w:sz w:val="96"/>
          <w:szCs w:val="96"/>
        </w:rPr>
      </w:pPr>
      <w:r>
        <w:rPr>
          <w:noProof/>
          <w:sz w:val="28"/>
          <w:szCs w:val="28"/>
        </w:rPr>
        <w:drawing>
          <wp:inline distT="0" distB="0" distL="0" distR="0" wp14:anchorId="115645BF" wp14:editId="418CFA0F">
            <wp:extent cx="4549140" cy="2407920"/>
            <wp:effectExtent l="0" t="0" r="0" b="0"/>
            <wp:docPr id="1940476264" name="Imagem 4" descr="Mulher sentada em cadeira de madei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476264" name="Imagem 4" descr="Mulher sentada em cadeira de madeira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637B3" w14:textId="2696AD8A" w:rsidR="00CB2CB4" w:rsidRDefault="00CB2CB4" w:rsidP="00CB2C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pt-BR"/>
        </w:rPr>
      </w:pPr>
    </w:p>
    <w:p w14:paraId="54083C19" w14:textId="77777777" w:rsidR="00CB2CB4" w:rsidRDefault="00CB2CB4" w:rsidP="00CB2CB4">
      <w:pPr>
        <w:spacing w:before="100" w:beforeAutospacing="1" w:after="100" w:afterAutospacing="1" w:line="240" w:lineRule="auto"/>
        <w:rPr>
          <w:sz w:val="92"/>
          <w:szCs w:val="92"/>
        </w:rPr>
      </w:pPr>
    </w:p>
    <w:p w14:paraId="1E229694" w14:textId="34A5B472" w:rsidR="00CB2CB4" w:rsidRDefault="00CB2CB4" w:rsidP="00CB2CB4">
      <w:pPr>
        <w:spacing w:before="100" w:beforeAutospacing="1" w:after="100" w:afterAutospacing="1" w:line="240" w:lineRule="auto"/>
        <w:rPr>
          <w:sz w:val="92"/>
          <w:szCs w:val="92"/>
        </w:rPr>
      </w:pPr>
      <w:r w:rsidRPr="00CB2CB4">
        <w:rPr>
          <w:sz w:val="92"/>
          <w:szCs w:val="92"/>
        </w:rPr>
        <w:lastRenderedPageBreak/>
        <w:t xml:space="preserve">UNIDADE </w:t>
      </w:r>
      <w:r>
        <w:rPr>
          <w:sz w:val="92"/>
          <w:szCs w:val="92"/>
        </w:rPr>
        <w:t>5:</w:t>
      </w:r>
    </w:p>
    <w:p w14:paraId="5E65B425" w14:textId="1F2FA39E" w:rsidR="00CB2CB4" w:rsidRPr="00CB2CB4" w:rsidRDefault="00CB2CB4" w:rsidP="00CB2CB4">
      <w:pPr>
        <w:spacing w:before="100" w:beforeAutospacing="1" w:after="100" w:afterAutospacing="1" w:line="240" w:lineRule="auto"/>
        <w:rPr>
          <w:b/>
          <w:bCs/>
          <w:sz w:val="28"/>
          <w:szCs w:val="28"/>
        </w:rPr>
      </w:pPr>
      <w:r w:rsidRPr="00CB2CB4">
        <w:rPr>
          <w:b/>
          <w:bCs/>
          <w:sz w:val="28"/>
          <w:szCs w:val="28"/>
        </w:rPr>
        <w:t>A</w:t>
      </w:r>
      <w:r w:rsidRPr="00CB2CB4">
        <w:rPr>
          <w:b/>
          <w:bCs/>
          <w:sz w:val="28"/>
          <w:szCs w:val="28"/>
        </w:rPr>
        <w:t xml:space="preserve">ssinatura </w:t>
      </w:r>
      <w:r w:rsidRPr="00CB2CB4">
        <w:rPr>
          <w:b/>
          <w:bCs/>
          <w:sz w:val="28"/>
          <w:szCs w:val="28"/>
        </w:rPr>
        <w:t>E</w:t>
      </w:r>
      <w:r w:rsidRPr="00CB2CB4">
        <w:rPr>
          <w:b/>
          <w:bCs/>
          <w:sz w:val="28"/>
          <w:szCs w:val="28"/>
        </w:rPr>
        <w:t>mocional</w:t>
      </w:r>
    </w:p>
    <w:p w14:paraId="7F0A4B02" w14:textId="77777777" w:rsidR="00CB2CB4" w:rsidRDefault="00CB2CB4" w:rsidP="00CB2CB4">
      <w:pPr>
        <w:pStyle w:val="NormalWeb"/>
      </w:pPr>
      <w:r>
        <w:t>O primeiro passo para entender e desenvolver a sua assinatura emocional é a autoconsciência. Isso envolve observar e reconhecer as suas próprias emoções, identificar padrões emocionais e refletir sobre como você lida com elas em diferentes situações.</w:t>
      </w:r>
    </w:p>
    <w:p w14:paraId="48EC8BC7" w14:textId="77777777" w:rsidR="00CB2CB4" w:rsidRDefault="00CB2CB4" w:rsidP="00CB2CB4">
      <w:pPr>
        <w:pStyle w:val="NormalWeb"/>
      </w:pPr>
      <w:r>
        <w:t>Para aumentar a autoconsciência emocional, você pode começar:</w:t>
      </w:r>
    </w:p>
    <w:p w14:paraId="35BB3B78" w14:textId="77777777" w:rsidR="00CB2CB4" w:rsidRDefault="00CB2CB4" w:rsidP="00CB2CB4">
      <w:pPr>
        <w:pStyle w:val="NormalWeb"/>
        <w:numPr>
          <w:ilvl w:val="0"/>
          <w:numId w:val="2"/>
        </w:numPr>
      </w:pPr>
      <w:r>
        <w:rPr>
          <w:rStyle w:val="Forte"/>
          <w:rFonts w:eastAsiaTheme="majorEastAsia"/>
        </w:rPr>
        <w:t>Praticando a Atenção Plena</w:t>
      </w:r>
      <w:r>
        <w:t xml:space="preserve">: Reserve um tempo regularmente para se concentrar no momento presente e observar as suas emoções sem julgamento. A meditação </w:t>
      </w:r>
      <w:proofErr w:type="spellStart"/>
      <w:r>
        <w:t>mindfulness</w:t>
      </w:r>
      <w:proofErr w:type="spellEnd"/>
      <w:r>
        <w:t xml:space="preserve"> pode ser útil para desenvolver essa habilidade.</w:t>
      </w:r>
    </w:p>
    <w:p w14:paraId="6AE52CD4" w14:textId="77777777" w:rsidR="00CB2CB4" w:rsidRDefault="00CB2CB4" w:rsidP="00CB2CB4">
      <w:pPr>
        <w:pStyle w:val="NormalWeb"/>
        <w:numPr>
          <w:ilvl w:val="0"/>
          <w:numId w:val="2"/>
        </w:numPr>
      </w:pPr>
      <w:r>
        <w:rPr>
          <w:rStyle w:val="Forte"/>
          <w:rFonts w:eastAsiaTheme="majorEastAsia"/>
        </w:rPr>
        <w:t>Mantendo um Diário Emocional</w:t>
      </w:r>
      <w:r>
        <w:t>: Anote suas emoções ao longo do dia, juntamente com as situações que as desencadearam. Isso pode ajudá-lo a identificar padrões emocionais e gatilhos específicos.</w:t>
      </w:r>
    </w:p>
    <w:p w14:paraId="74F5B0BB" w14:textId="77777777" w:rsidR="00CB2CB4" w:rsidRDefault="00CB2CB4" w:rsidP="00CB2CB4">
      <w:pPr>
        <w:pStyle w:val="NormalWeb"/>
        <w:numPr>
          <w:ilvl w:val="0"/>
          <w:numId w:val="2"/>
        </w:numPr>
      </w:pPr>
      <w:r>
        <w:rPr>
          <w:rStyle w:val="Forte"/>
          <w:rFonts w:eastAsiaTheme="majorEastAsia"/>
        </w:rPr>
        <w:t>Refletindo sobre Experiências Passadas</w:t>
      </w:r>
      <w:r>
        <w:t>: Pense em momentos em que você lidou bem ou mal com as suas emoções. O que você aprendeu sobre si mesmo nessas situações? Como você pode aplicar essas lições no futuro?</w:t>
      </w:r>
    </w:p>
    <w:p w14:paraId="1089EF8C" w14:textId="77777777" w:rsidR="00CB2CB4" w:rsidRDefault="00CB2CB4" w:rsidP="00CB2CB4">
      <w:pPr>
        <w:pStyle w:val="NormalWeb"/>
        <w:numPr>
          <w:ilvl w:val="0"/>
          <w:numId w:val="2"/>
        </w:numPr>
      </w:pPr>
      <w:r>
        <w:rPr>
          <w:rStyle w:val="Forte"/>
          <w:rFonts w:eastAsiaTheme="majorEastAsia"/>
        </w:rPr>
        <w:t>Buscando Feedback</w:t>
      </w:r>
      <w:r>
        <w:t>: Peça a amigos ou familiares próximos que descrevam como percebem suas emoções e expressões. Isso pode oferecer insights valiosos sobre a sua assinatura emocional.</w:t>
      </w:r>
    </w:p>
    <w:p w14:paraId="16B779D8" w14:textId="77777777" w:rsidR="00CB2CB4" w:rsidRDefault="00CB2CB4" w:rsidP="00CB2CB4">
      <w:pPr>
        <w:pStyle w:val="NormalWeb"/>
        <w:numPr>
          <w:ilvl w:val="0"/>
          <w:numId w:val="2"/>
        </w:numPr>
      </w:pPr>
      <w:r>
        <w:rPr>
          <w:rStyle w:val="Forte"/>
          <w:rFonts w:eastAsiaTheme="majorEastAsia"/>
        </w:rPr>
        <w:t>Aprendendo sobre Inteligência Emocional</w:t>
      </w:r>
      <w:r>
        <w:t>: Explore recursos sobre inteligência emocional e habilidades de autorregulação emocional. Compreender os princípios básicos da inteligência emocional pode ajudá-lo a desenvolver uma assinatura emocional mais equilibrada e saudável.</w:t>
      </w:r>
    </w:p>
    <w:p w14:paraId="17CA1ED9" w14:textId="2F5E2FE4" w:rsidR="00CB2CB4" w:rsidRDefault="00CB2CB4" w:rsidP="00CB2CB4">
      <w:pPr>
        <w:pStyle w:val="NormalWeb"/>
      </w:pPr>
      <w:r>
        <w:t xml:space="preserve">Ao aumentar a sua autoconsciência emocional, você estará </w:t>
      </w:r>
      <w:proofErr w:type="gramStart"/>
      <w:r>
        <w:t>melhor</w:t>
      </w:r>
      <w:proofErr w:type="gramEnd"/>
      <w:r>
        <w:t xml:space="preserve"> equipado para compreender a sua assinatura emocional e tomar medidas para desenvolvê-la de maneira positiva.</w:t>
      </w:r>
      <w:r w:rsidRPr="00CB2CB4">
        <w:rPr>
          <w:noProof/>
          <w:sz w:val="92"/>
          <w:szCs w:val="92"/>
        </w:rPr>
        <w:t xml:space="preserve"> </w:t>
      </w:r>
    </w:p>
    <w:p w14:paraId="444D90DB" w14:textId="7107ED96" w:rsidR="00CB2CB4" w:rsidRPr="00CB2CB4" w:rsidRDefault="00CB2CB4" w:rsidP="00CB2CB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pt-BR"/>
        </w:rPr>
      </w:pPr>
      <w:r>
        <w:rPr>
          <w:noProof/>
          <w:sz w:val="92"/>
          <w:szCs w:val="92"/>
        </w:rPr>
        <w:drawing>
          <wp:inline distT="0" distB="0" distL="0" distR="0" wp14:anchorId="7A95307D" wp14:editId="3C631E44">
            <wp:extent cx="4160520" cy="2727960"/>
            <wp:effectExtent l="0" t="0" r="0" b="0"/>
            <wp:docPr id="296122186" name="Imagem 5" descr="Mulher sentada na mes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122186" name="Imagem 5" descr="Mulher sentada na mesa&#10;&#10;Descrição gerada automaticamente com confiança média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B8639" w14:textId="567E3F41" w:rsidR="00CB2CB4" w:rsidRDefault="00CB2CB4" w:rsidP="00CB2CB4">
      <w:pPr>
        <w:spacing w:before="100" w:beforeAutospacing="1" w:after="100" w:afterAutospacing="1" w:line="240" w:lineRule="auto"/>
        <w:rPr>
          <w:sz w:val="92"/>
          <w:szCs w:val="92"/>
        </w:rPr>
      </w:pPr>
      <w:r w:rsidRPr="00CB2CB4">
        <w:rPr>
          <w:sz w:val="92"/>
          <w:szCs w:val="92"/>
        </w:rPr>
        <w:lastRenderedPageBreak/>
        <w:t xml:space="preserve">UNIDADE </w:t>
      </w:r>
      <w:r>
        <w:rPr>
          <w:sz w:val="92"/>
          <w:szCs w:val="92"/>
        </w:rPr>
        <w:t>6:</w:t>
      </w:r>
    </w:p>
    <w:p w14:paraId="33B86289" w14:textId="77777777" w:rsidR="00CB2CB4" w:rsidRPr="00CB2CB4" w:rsidRDefault="00CB2CB4" w:rsidP="00CB2C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CB2CB4">
        <w:rPr>
          <w:rFonts w:ascii="Times New Roman" w:eastAsia="Times New Roman" w:hAnsi="Times New Roman" w:cs="Times New Roman"/>
          <w:b/>
          <w:bCs/>
          <w:sz w:val="28"/>
          <w:szCs w:val="28"/>
          <w:lang w:eastAsia="pt-BR"/>
        </w:rPr>
        <w:t>Os seres humanos tomam decisões</w:t>
      </w:r>
      <w:r w:rsidRPr="00CB2CB4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</w:t>
      </w:r>
      <w:r w:rsidRPr="00CB2CB4">
        <w:rPr>
          <w:rFonts w:ascii="Times New Roman" w:eastAsia="Times New Roman" w:hAnsi="Times New Roman" w:cs="Times New Roman"/>
          <w:sz w:val="24"/>
          <w:szCs w:val="24"/>
          <w:lang w:eastAsia="pt-BR"/>
        </w:rPr>
        <w:t>por meio de um processo complexo que envolve uma combinação de fatores cognitivos, emocionais e situacionais. Aqui estão alguns dos principais elementos desse processo:</w:t>
      </w:r>
    </w:p>
    <w:p w14:paraId="43A8DE9D" w14:textId="77777777" w:rsidR="00CB2CB4" w:rsidRPr="00CB2CB4" w:rsidRDefault="00CB2CB4" w:rsidP="00CB2CB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B2CB4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Percepção e Interpretação</w:t>
      </w:r>
      <w:r w:rsidRPr="00CB2CB4">
        <w:rPr>
          <w:rFonts w:ascii="Times New Roman" w:eastAsia="Times New Roman" w:hAnsi="Times New Roman" w:cs="Times New Roman"/>
          <w:sz w:val="24"/>
          <w:szCs w:val="24"/>
          <w:lang w:eastAsia="pt-BR"/>
        </w:rPr>
        <w:t>: Antes de tomar uma decisão, as pessoas percebem e interpretam a situação em que se encontram. Isso inclui avaliar informações disponíveis, identificar objetivos e entender as possíveis consequências das escolhas.</w:t>
      </w:r>
    </w:p>
    <w:p w14:paraId="4070F365" w14:textId="77777777" w:rsidR="00CB2CB4" w:rsidRPr="00CB2CB4" w:rsidRDefault="00CB2CB4" w:rsidP="00CB2CB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B2CB4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Avaliação de Opções</w:t>
      </w:r>
      <w:r w:rsidRPr="00CB2CB4">
        <w:rPr>
          <w:rFonts w:ascii="Times New Roman" w:eastAsia="Times New Roman" w:hAnsi="Times New Roman" w:cs="Times New Roman"/>
          <w:sz w:val="24"/>
          <w:szCs w:val="24"/>
          <w:lang w:eastAsia="pt-BR"/>
        </w:rPr>
        <w:t>: Uma vez que uma situação é percebida, as pessoas geralmente consideram várias opções disponíveis para lidar com ela. Isso pode envolver a geração de alternativas, a avaliação de prós e contras e a previsão de resultados potenciais.</w:t>
      </w:r>
    </w:p>
    <w:p w14:paraId="483632AC" w14:textId="77777777" w:rsidR="00CB2CB4" w:rsidRPr="00CB2CB4" w:rsidRDefault="00CB2CB4" w:rsidP="00CB2CB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B2CB4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Processamento Cognitivo</w:t>
      </w:r>
      <w:r w:rsidRPr="00CB2CB4">
        <w:rPr>
          <w:rFonts w:ascii="Times New Roman" w:eastAsia="Times New Roman" w:hAnsi="Times New Roman" w:cs="Times New Roman"/>
          <w:sz w:val="24"/>
          <w:szCs w:val="24"/>
          <w:lang w:eastAsia="pt-BR"/>
        </w:rPr>
        <w:t>: Durante a avaliação das opções, as pessoas podem usar diferentes estratégias cognitivas, como raciocínio dedutivo, heurísticas (atalhos mentais) e análise de informações disponíveis para tomar uma decisão.</w:t>
      </w:r>
    </w:p>
    <w:p w14:paraId="6242C72D" w14:textId="77777777" w:rsidR="00CB2CB4" w:rsidRPr="00CB2CB4" w:rsidRDefault="00CB2CB4" w:rsidP="00CB2CB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B2CB4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Influências Emocionais</w:t>
      </w:r>
      <w:r w:rsidRPr="00CB2CB4">
        <w:rPr>
          <w:rFonts w:ascii="Times New Roman" w:eastAsia="Times New Roman" w:hAnsi="Times New Roman" w:cs="Times New Roman"/>
          <w:sz w:val="24"/>
          <w:szCs w:val="24"/>
          <w:lang w:eastAsia="pt-BR"/>
        </w:rPr>
        <w:t>: As emoções desempenham um papel importante no processo de tomada de decisão. As emoções podem afetar a percepção de risco, a preferência por certas opções e a motivação para agir.</w:t>
      </w:r>
    </w:p>
    <w:p w14:paraId="36DFE942" w14:textId="77777777" w:rsidR="00CB2CB4" w:rsidRPr="00CB2CB4" w:rsidRDefault="00CB2CB4" w:rsidP="00CB2CB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B2CB4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Contexto Social e Cultural</w:t>
      </w:r>
      <w:r w:rsidRPr="00CB2CB4">
        <w:rPr>
          <w:rFonts w:ascii="Times New Roman" w:eastAsia="Times New Roman" w:hAnsi="Times New Roman" w:cs="Times New Roman"/>
          <w:sz w:val="24"/>
          <w:szCs w:val="24"/>
          <w:lang w:eastAsia="pt-BR"/>
        </w:rPr>
        <w:t>: O contexto social e cultural de uma pessoa pode influenciar suas decisões. Normas sociais, valores culturais e expectativas dos outros podem moldar as escolhas individuais.</w:t>
      </w:r>
    </w:p>
    <w:p w14:paraId="47044FA2" w14:textId="77777777" w:rsidR="00CB2CB4" w:rsidRPr="00CB2CB4" w:rsidRDefault="00CB2CB4" w:rsidP="00CB2CB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B2CB4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Biologia e Neurociência</w:t>
      </w:r>
      <w:r w:rsidRPr="00CB2CB4">
        <w:rPr>
          <w:rFonts w:ascii="Times New Roman" w:eastAsia="Times New Roman" w:hAnsi="Times New Roman" w:cs="Times New Roman"/>
          <w:sz w:val="24"/>
          <w:szCs w:val="24"/>
          <w:lang w:eastAsia="pt-BR"/>
        </w:rPr>
        <w:t>: A pesquisa em neurociência sugere que o cérebro desempenha um papel fundamental na tomada de decisões. Áreas do cérebro como o córtex pré-frontal, que está envolvido no planejamento e na regulação emocional, e o sistema límbico, que está associado às emoções, podem influenciar o processo de tomada de decisão.</w:t>
      </w:r>
    </w:p>
    <w:p w14:paraId="0B6FDEB5" w14:textId="77777777" w:rsidR="00CB2CB4" w:rsidRPr="00CB2CB4" w:rsidRDefault="00CB2CB4" w:rsidP="00CB2CB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B2CB4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Experiências Passadas</w:t>
      </w:r>
      <w:r w:rsidRPr="00CB2CB4">
        <w:rPr>
          <w:rFonts w:ascii="Times New Roman" w:eastAsia="Times New Roman" w:hAnsi="Times New Roman" w:cs="Times New Roman"/>
          <w:sz w:val="24"/>
          <w:szCs w:val="24"/>
          <w:lang w:eastAsia="pt-BR"/>
        </w:rPr>
        <w:t>: Experiências passadas e aprendizado influenciam as decisões futuras. As pessoas frequentemente recorrem a experiências anteriores para informar suas escolhas e evitar erros ou repetir sucessos.</w:t>
      </w:r>
    </w:p>
    <w:p w14:paraId="5DBF8BF6" w14:textId="77777777" w:rsidR="00CB2CB4" w:rsidRPr="00CB2CB4" w:rsidRDefault="00CB2CB4" w:rsidP="00CB2CB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B2CB4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Consequências Sociais e Éticas</w:t>
      </w:r>
      <w:r w:rsidRPr="00CB2CB4">
        <w:rPr>
          <w:rFonts w:ascii="Times New Roman" w:eastAsia="Times New Roman" w:hAnsi="Times New Roman" w:cs="Times New Roman"/>
          <w:sz w:val="24"/>
          <w:szCs w:val="24"/>
          <w:lang w:eastAsia="pt-BR"/>
        </w:rPr>
        <w:t>: Além das consequências pessoais, as pessoas também consideram as implicações sociais e éticas de suas decisões. Isso pode incluir o impacto nas relações interpessoais, a conformidade com normas sociais e o cumprimento de padrões éticos.</w:t>
      </w:r>
    </w:p>
    <w:p w14:paraId="18693DC7" w14:textId="77777777" w:rsidR="00CB2CB4" w:rsidRPr="00CB2CB4" w:rsidRDefault="00CB2CB4" w:rsidP="00CB2C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B2CB4">
        <w:rPr>
          <w:rFonts w:ascii="Times New Roman" w:eastAsia="Times New Roman" w:hAnsi="Times New Roman" w:cs="Times New Roman"/>
          <w:sz w:val="24"/>
          <w:szCs w:val="24"/>
          <w:lang w:eastAsia="pt-BR"/>
        </w:rPr>
        <w:t>Em resumo, a tomada de decisão humana é um processo multifacetado que envolve uma interação complexa entre fatores cognitivos, emocionais, sociais e biológicos.</w:t>
      </w:r>
    </w:p>
    <w:p w14:paraId="1873B3DE" w14:textId="07E23B7A" w:rsidR="00CB2CB4" w:rsidRPr="00CB2CB4" w:rsidRDefault="00CB2CB4" w:rsidP="00CB2C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2C4F84D" w14:textId="77777777" w:rsidR="00CB2CB4" w:rsidRDefault="00CB2CB4" w:rsidP="00CB2CB4">
      <w:pPr>
        <w:spacing w:before="100" w:beforeAutospacing="1" w:after="100" w:afterAutospacing="1" w:line="240" w:lineRule="auto"/>
        <w:rPr>
          <w:sz w:val="92"/>
          <w:szCs w:val="92"/>
        </w:rPr>
      </w:pPr>
    </w:p>
    <w:p w14:paraId="6CFB7470" w14:textId="5E77CAA3" w:rsidR="00CB2CB4" w:rsidRPr="00CB2CB4" w:rsidRDefault="00CB2CB4" w:rsidP="00CB2CB4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sz w:val="92"/>
          <w:szCs w:val="92"/>
        </w:rPr>
        <w:br w:type="page"/>
      </w:r>
      <w:r>
        <w:rPr>
          <w:sz w:val="92"/>
          <w:szCs w:val="92"/>
        </w:rPr>
        <w:lastRenderedPageBreak/>
        <w:t>UNIDADE 7:</w:t>
      </w:r>
      <w:r w:rsidRPr="00CB2CB4">
        <w:t xml:space="preserve"> </w:t>
      </w:r>
    </w:p>
    <w:p w14:paraId="05AED3A5" w14:textId="77777777" w:rsidR="00CB2CB4" w:rsidRPr="00CB2CB4" w:rsidRDefault="00CB2CB4" w:rsidP="00CB2C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B2CB4">
        <w:rPr>
          <w:rFonts w:ascii="Times New Roman" w:eastAsia="Times New Roman" w:hAnsi="Times New Roman" w:cs="Times New Roman"/>
          <w:b/>
          <w:bCs/>
          <w:sz w:val="28"/>
          <w:szCs w:val="28"/>
          <w:lang w:eastAsia="pt-BR"/>
        </w:rPr>
        <w:t>As competências emocionais</w:t>
      </w:r>
      <w:r w:rsidRPr="00CB2CB4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</w:t>
      </w:r>
      <w:r w:rsidRPr="00CB2CB4">
        <w:rPr>
          <w:rFonts w:ascii="Times New Roman" w:eastAsia="Times New Roman" w:hAnsi="Times New Roman" w:cs="Times New Roman"/>
          <w:sz w:val="24"/>
          <w:szCs w:val="24"/>
          <w:lang w:eastAsia="pt-BR"/>
        </w:rPr>
        <w:t>referem-se à capacidade de reconhecer, compreender e gerenciar as próprias emoções, bem como a habilidade de se relacionar eficazmente com as emoções dos outros. Resumindo, são habilidades que envolvem inteligência emocional e incluem:</w:t>
      </w:r>
    </w:p>
    <w:p w14:paraId="1EFA043C" w14:textId="77777777" w:rsidR="00CB2CB4" w:rsidRPr="00CB2CB4" w:rsidRDefault="00CB2CB4" w:rsidP="00CB2CB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B2CB4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Autoconhecimento Emocional</w:t>
      </w:r>
      <w:r w:rsidRPr="00CB2CB4">
        <w:rPr>
          <w:rFonts w:ascii="Times New Roman" w:eastAsia="Times New Roman" w:hAnsi="Times New Roman" w:cs="Times New Roman"/>
          <w:sz w:val="24"/>
          <w:szCs w:val="24"/>
          <w:lang w:eastAsia="pt-BR"/>
        </w:rPr>
        <w:t>: Reconhecer e compreender suas próprias emoções, incluindo suas origens, intensidade e efeitos sobre o pensamento e o comportamento.</w:t>
      </w:r>
    </w:p>
    <w:p w14:paraId="78813A79" w14:textId="77777777" w:rsidR="00CB2CB4" w:rsidRPr="00CB2CB4" w:rsidRDefault="00CB2CB4" w:rsidP="00CB2CB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B2CB4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Autorregulação Emocional</w:t>
      </w:r>
      <w:r w:rsidRPr="00CB2CB4">
        <w:rPr>
          <w:rFonts w:ascii="Times New Roman" w:eastAsia="Times New Roman" w:hAnsi="Times New Roman" w:cs="Times New Roman"/>
          <w:sz w:val="24"/>
          <w:szCs w:val="24"/>
          <w:lang w:eastAsia="pt-BR"/>
        </w:rPr>
        <w:t>: Gerenciar e controlar as próprias emoções de forma apropriada, incluindo a capacidade de lidar com o estresse, controlar impulsos e regular as reações emocionais.</w:t>
      </w:r>
    </w:p>
    <w:p w14:paraId="10AD3B81" w14:textId="77777777" w:rsidR="00CB2CB4" w:rsidRPr="00CB2CB4" w:rsidRDefault="00CB2CB4" w:rsidP="00CB2CB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B2CB4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Consciência Social</w:t>
      </w:r>
      <w:r w:rsidRPr="00CB2CB4">
        <w:rPr>
          <w:rFonts w:ascii="Times New Roman" w:eastAsia="Times New Roman" w:hAnsi="Times New Roman" w:cs="Times New Roman"/>
          <w:sz w:val="24"/>
          <w:szCs w:val="24"/>
          <w:lang w:eastAsia="pt-BR"/>
        </w:rPr>
        <w:t>: Perceber e compreender as emoções dos outros, desenvolvendo empatia e sensibilidade para com as suas necessidades e sentimentos.</w:t>
      </w:r>
    </w:p>
    <w:p w14:paraId="60D08DF7" w14:textId="77777777" w:rsidR="00CB2CB4" w:rsidRPr="00CB2CB4" w:rsidRDefault="00CB2CB4" w:rsidP="00CB2CB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B2CB4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Habilidades de Relacionamento</w:t>
      </w:r>
      <w:r w:rsidRPr="00CB2CB4">
        <w:rPr>
          <w:rFonts w:ascii="Times New Roman" w:eastAsia="Times New Roman" w:hAnsi="Times New Roman" w:cs="Times New Roman"/>
          <w:sz w:val="24"/>
          <w:szCs w:val="24"/>
          <w:lang w:eastAsia="pt-BR"/>
        </w:rPr>
        <w:t>: Construir e manter relacionamentos interpessoais saudáveis, comunicando-se de forma eficaz, resolvendo conflitos e colaborando com os outros.</w:t>
      </w:r>
    </w:p>
    <w:p w14:paraId="3BE32F39" w14:textId="77777777" w:rsidR="00CB2CB4" w:rsidRPr="00CB2CB4" w:rsidRDefault="00CB2CB4" w:rsidP="00CB2CB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B2CB4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Gestão de Relacionamentos</w:t>
      </w:r>
      <w:r w:rsidRPr="00CB2CB4">
        <w:rPr>
          <w:rFonts w:ascii="Times New Roman" w:eastAsia="Times New Roman" w:hAnsi="Times New Roman" w:cs="Times New Roman"/>
          <w:sz w:val="24"/>
          <w:szCs w:val="24"/>
          <w:lang w:eastAsia="pt-BR"/>
        </w:rPr>
        <w:t>: Gerenciar relacionamentos de maneira eficaz, estabelecendo e mantendo vínculos positivos, estabelecendo limites saudáveis e respeitando as diferenças individuais.</w:t>
      </w:r>
    </w:p>
    <w:p w14:paraId="1597662A" w14:textId="77777777" w:rsidR="00CB2CB4" w:rsidRPr="00CB2CB4" w:rsidRDefault="00CB2CB4" w:rsidP="00CB2C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B2CB4">
        <w:rPr>
          <w:rFonts w:ascii="Times New Roman" w:eastAsia="Times New Roman" w:hAnsi="Times New Roman" w:cs="Times New Roman"/>
          <w:sz w:val="24"/>
          <w:szCs w:val="24"/>
          <w:lang w:eastAsia="pt-BR"/>
        </w:rPr>
        <w:t>Desenvolver competências emocionais é fundamental para o sucesso pessoal e profissional, pois permite lidar com desafios de forma mais eficaz, melhorar os relacionamentos interpessoais e promover o bem-estar emocional.</w:t>
      </w:r>
    </w:p>
    <w:p w14:paraId="1D3CA520" w14:textId="78FC7031" w:rsidR="00CB2CB4" w:rsidRDefault="00CB2CB4" w:rsidP="00CB2CB4">
      <w:pPr>
        <w:jc w:val="center"/>
        <w:rPr>
          <w:sz w:val="92"/>
          <w:szCs w:val="92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pt-BR"/>
        </w:rPr>
        <w:drawing>
          <wp:inline distT="0" distB="0" distL="0" distR="0" wp14:anchorId="0768F114" wp14:editId="4618B1A0">
            <wp:extent cx="4739640" cy="3093720"/>
            <wp:effectExtent l="0" t="0" r="0" b="0"/>
            <wp:docPr id="2107543735" name="Imagem 6" descr="Uma imagem contendo homem, pessoa, edifício, vestin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543735" name="Imagem 6" descr="Uma imagem contendo homem, pessoa, edifício, vestind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CAC19" w14:textId="45874F9F" w:rsidR="00CB2CB4" w:rsidRDefault="00CB2CB4" w:rsidP="00CB2C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pt-BR"/>
        </w:rPr>
      </w:pPr>
    </w:p>
    <w:p w14:paraId="2EE00000" w14:textId="7078C492" w:rsidR="00CB2CB4" w:rsidRDefault="00CB2CB4" w:rsidP="00CB2CB4">
      <w:pPr>
        <w:spacing w:before="100" w:beforeAutospacing="1" w:after="100" w:afterAutospacing="1" w:line="240" w:lineRule="auto"/>
        <w:rPr>
          <w:sz w:val="92"/>
          <w:szCs w:val="92"/>
        </w:rPr>
      </w:pPr>
      <w:r>
        <w:rPr>
          <w:sz w:val="92"/>
          <w:szCs w:val="92"/>
        </w:rPr>
        <w:lastRenderedPageBreak/>
        <w:t xml:space="preserve">UNIDADE </w:t>
      </w:r>
      <w:r>
        <w:rPr>
          <w:sz w:val="92"/>
          <w:szCs w:val="92"/>
        </w:rPr>
        <w:t>8:</w:t>
      </w:r>
    </w:p>
    <w:p w14:paraId="67AD5D5F" w14:textId="6CC1BC2F" w:rsidR="00CB2CB4" w:rsidRPr="00CB2CB4" w:rsidRDefault="00CB2CB4" w:rsidP="00CB2C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B2CB4">
        <w:rPr>
          <w:rFonts w:ascii="Times New Roman" w:eastAsia="Times New Roman" w:hAnsi="Times New Roman" w:cs="Times New Roman"/>
          <w:sz w:val="24"/>
          <w:szCs w:val="24"/>
          <w:lang w:eastAsia="pt-BR"/>
        </w:rPr>
        <w:t>são princípios ou crenças que orientam o comportamento e as decisões das pessoas. A paz positiva é uma aspiração compartilhada por muitos e está intrinsecamente ligada a esses valores. Aqui está um resumo dos valores humanos e sua relação com a paz positiva:</w:t>
      </w:r>
    </w:p>
    <w:p w14:paraId="00E3EFFD" w14:textId="77777777" w:rsidR="00CB2CB4" w:rsidRPr="00CB2CB4" w:rsidRDefault="00CB2CB4" w:rsidP="00CB2CB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B2CB4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Respeito pela Diversidade</w:t>
      </w:r>
      <w:r w:rsidRPr="00CB2CB4">
        <w:rPr>
          <w:rFonts w:ascii="Times New Roman" w:eastAsia="Times New Roman" w:hAnsi="Times New Roman" w:cs="Times New Roman"/>
          <w:sz w:val="24"/>
          <w:szCs w:val="24"/>
          <w:lang w:eastAsia="pt-BR"/>
        </w:rPr>
        <w:t>: Valorizar e respeitar as diferenças individuais, culturais, étnicas, religiosas e sociais contribui para um mundo mais harmonioso e inclusivo, promovendo a compreensão mútua e a aceitação.</w:t>
      </w:r>
    </w:p>
    <w:p w14:paraId="437A74A8" w14:textId="77777777" w:rsidR="00CB2CB4" w:rsidRPr="00CB2CB4" w:rsidRDefault="00CB2CB4" w:rsidP="00CB2CB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B2CB4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Tolerância e Empatia</w:t>
      </w:r>
      <w:r w:rsidRPr="00CB2CB4">
        <w:rPr>
          <w:rFonts w:ascii="Times New Roman" w:eastAsia="Times New Roman" w:hAnsi="Times New Roman" w:cs="Times New Roman"/>
          <w:sz w:val="24"/>
          <w:szCs w:val="24"/>
          <w:lang w:eastAsia="pt-BR"/>
        </w:rPr>
        <w:t>: Desenvolver a capacidade de se colocar no lugar do outro e compreender suas experiências e perspectivas ajuda a promover a empatia e a reduzir conflitos, criando um ambiente mais pacífico e colaborativo.</w:t>
      </w:r>
    </w:p>
    <w:p w14:paraId="4BDA3044" w14:textId="77777777" w:rsidR="00CB2CB4" w:rsidRPr="00CB2CB4" w:rsidRDefault="00CB2CB4" w:rsidP="00CB2CB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B2CB4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Justiça e Equidade</w:t>
      </w:r>
      <w:r w:rsidRPr="00CB2CB4">
        <w:rPr>
          <w:rFonts w:ascii="Times New Roman" w:eastAsia="Times New Roman" w:hAnsi="Times New Roman" w:cs="Times New Roman"/>
          <w:sz w:val="24"/>
          <w:szCs w:val="24"/>
          <w:lang w:eastAsia="pt-BR"/>
        </w:rPr>
        <w:t>: Defender a justiça e a igualdade de direitos para todos os seres humanos é essencial para construir sociedades pacíficas e inclusivas, onde todos têm a oportunidade de prosperar e contribuir de maneira significativa.</w:t>
      </w:r>
    </w:p>
    <w:p w14:paraId="0C7A80D7" w14:textId="77777777" w:rsidR="00CB2CB4" w:rsidRPr="00CB2CB4" w:rsidRDefault="00CB2CB4" w:rsidP="00CB2CB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B2CB4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Solidariedade e Cooperação</w:t>
      </w:r>
      <w:r w:rsidRPr="00CB2CB4">
        <w:rPr>
          <w:rFonts w:ascii="Times New Roman" w:eastAsia="Times New Roman" w:hAnsi="Times New Roman" w:cs="Times New Roman"/>
          <w:sz w:val="24"/>
          <w:szCs w:val="24"/>
          <w:lang w:eastAsia="pt-BR"/>
        </w:rPr>
        <w:t>: Trabalhar em conjunto para alcançar objetivos comuns e apoiar uns aos outros em tempos de necessidade promove o senso de comunidade e fortalece os laços sociais, contribuindo para um clima de paz e harmonia.</w:t>
      </w:r>
    </w:p>
    <w:p w14:paraId="52AD6D4E" w14:textId="77777777" w:rsidR="00CB2CB4" w:rsidRPr="00CB2CB4" w:rsidRDefault="00CB2CB4" w:rsidP="00CB2CB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B2CB4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Integridade e Ética</w:t>
      </w:r>
      <w:r w:rsidRPr="00CB2CB4">
        <w:rPr>
          <w:rFonts w:ascii="Times New Roman" w:eastAsia="Times New Roman" w:hAnsi="Times New Roman" w:cs="Times New Roman"/>
          <w:sz w:val="24"/>
          <w:szCs w:val="24"/>
          <w:lang w:eastAsia="pt-BR"/>
        </w:rPr>
        <w:t>: Agir com integridade e ética em todas as áreas da vida, mantendo-se fiel aos princípios morais e éticos, promove a confiança e o respeito mútuo, essenciais para a construção e manutenção da paz.</w:t>
      </w:r>
    </w:p>
    <w:p w14:paraId="624721D3" w14:textId="77777777" w:rsidR="00CB2CB4" w:rsidRPr="00CB2CB4" w:rsidRDefault="00CB2CB4" w:rsidP="00CB2CB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B2CB4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Diálogo e Resolução Pacífica de Conflitos</w:t>
      </w:r>
      <w:r w:rsidRPr="00CB2CB4">
        <w:rPr>
          <w:rFonts w:ascii="Times New Roman" w:eastAsia="Times New Roman" w:hAnsi="Times New Roman" w:cs="Times New Roman"/>
          <w:sz w:val="24"/>
          <w:szCs w:val="24"/>
          <w:lang w:eastAsia="pt-BR"/>
        </w:rPr>
        <w:t>: Priorizar o diálogo aberto, respeitoso e construtivo como meio de resolver diferenças e conflitos, em vez de recorrer à violência ou à coerção, é fundamental para promover uma cultura de paz positiva.</w:t>
      </w:r>
    </w:p>
    <w:p w14:paraId="5DE98959" w14:textId="77777777" w:rsidR="00CB2CB4" w:rsidRPr="00CB2CB4" w:rsidRDefault="00CB2CB4" w:rsidP="00CB2CB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B2CB4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Cuidado com o Meio Ambiente</w:t>
      </w:r>
      <w:r w:rsidRPr="00CB2CB4">
        <w:rPr>
          <w:rFonts w:ascii="Times New Roman" w:eastAsia="Times New Roman" w:hAnsi="Times New Roman" w:cs="Times New Roman"/>
          <w:sz w:val="24"/>
          <w:szCs w:val="24"/>
          <w:lang w:eastAsia="pt-BR"/>
        </w:rPr>
        <w:t>: Reconhecer a interdependência entre os seres humanos e o ambiente natural e agir de maneira responsável para proteger e preservar o meio ambiente promove a sustentabilidade e contribui para um mundo mais pacífico e saudável.</w:t>
      </w:r>
    </w:p>
    <w:p w14:paraId="6346F22C" w14:textId="1A76637E" w:rsidR="00CB2CB4" w:rsidRPr="00CB2CB4" w:rsidRDefault="00CB2CB4" w:rsidP="00CB2CB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B2CB4">
        <w:rPr>
          <w:rFonts w:ascii="Times New Roman" w:eastAsia="Times New Roman" w:hAnsi="Times New Roman" w:cs="Times New Roman"/>
          <w:sz w:val="24"/>
          <w:szCs w:val="24"/>
          <w:lang w:eastAsia="pt-BR"/>
        </w:rPr>
        <w:t>Esses valores humanos são essenciais para cultivar uma cultura de paz positiva, tanto a nível individual quanto coletivo, e são fundamentais para alcançar uma sociedade mais justa, equitativa e harmoniosa.</w:t>
      </w:r>
      <w:r w:rsidRPr="00CB2CB4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AD3A13B" wp14:editId="453CBC82">
            <wp:extent cx="4213860" cy="2263140"/>
            <wp:effectExtent l="0" t="0" r="0" b="0"/>
            <wp:docPr id="511863640" name="Imagem 7" descr="Animal com a boca abert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863640" name="Imagem 7" descr="Animal com a boca aberta&#10;&#10;Descrição gerada automaticamente com confiança baixa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CFA6D" w14:textId="2E7FDA71" w:rsidR="00CB2CB4" w:rsidRPr="00CB2CB4" w:rsidRDefault="00CB2CB4" w:rsidP="00CB2C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pt-BR"/>
        </w:rPr>
      </w:pPr>
    </w:p>
    <w:sectPr w:rsidR="00CB2CB4" w:rsidRPr="00CB2CB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1636A5"/>
    <w:multiLevelType w:val="multilevel"/>
    <w:tmpl w:val="52304B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6B64B5"/>
    <w:multiLevelType w:val="multilevel"/>
    <w:tmpl w:val="5DF86D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D386859"/>
    <w:multiLevelType w:val="multilevel"/>
    <w:tmpl w:val="C6B817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B211467"/>
    <w:multiLevelType w:val="multilevel"/>
    <w:tmpl w:val="F468BB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3C17E27"/>
    <w:multiLevelType w:val="multilevel"/>
    <w:tmpl w:val="E1147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25937349">
    <w:abstractNumId w:val="2"/>
  </w:num>
  <w:num w:numId="2" w16cid:durableId="1479762622">
    <w:abstractNumId w:val="1"/>
  </w:num>
  <w:num w:numId="3" w16cid:durableId="541525589">
    <w:abstractNumId w:val="4"/>
  </w:num>
  <w:num w:numId="4" w16cid:durableId="1011880511">
    <w:abstractNumId w:val="3"/>
  </w:num>
  <w:num w:numId="5" w16cid:durableId="14097718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772"/>
    <w:rsid w:val="00CB2CB4"/>
    <w:rsid w:val="00CD043F"/>
    <w:rsid w:val="00CF4772"/>
    <w:rsid w:val="00DF3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8C6EA4"/>
  <w15:docId w15:val="{91F39DC1-499E-42EB-965D-767CA5B1AC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pt-BR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2CB4"/>
  </w:style>
  <w:style w:type="paragraph" w:styleId="Ttulo1">
    <w:name w:val="heading 1"/>
    <w:basedOn w:val="Normal"/>
    <w:next w:val="Normal"/>
    <w:link w:val="Ttulo1Char"/>
    <w:uiPriority w:val="9"/>
    <w:qFormat/>
    <w:rsid w:val="00CB2CB4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729928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B2CB4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B2CB4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55F51" w:themeColor="text2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B2CB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B2CB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55F51" w:themeColor="text2"/>
      <w:sz w:val="22"/>
      <w:szCs w:val="22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B2CB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55F51" w:themeColor="text2"/>
      <w:sz w:val="21"/>
      <w:szCs w:val="21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B2CB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4D671B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B2CB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55F51" w:themeColor="text2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B2CB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55F51" w:themeColor="text2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B2CB4"/>
    <w:rPr>
      <w:rFonts w:asciiTheme="majorHAnsi" w:eastAsiaTheme="majorEastAsia" w:hAnsiTheme="majorHAnsi" w:cstheme="majorBidi"/>
      <w:color w:val="729928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B2CB4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B2CB4"/>
    <w:rPr>
      <w:rFonts w:asciiTheme="majorHAnsi" w:eastAsiaTheme="majorEastAsia" w:hAnsiTheme="majorHAnsi" w:cstheme="majorBidi"/>
      <w:color w:val="455F51" w:themeColor="text2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B2CB4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B2CB4"/>
    <w:rPr>
      <w:rFonts w:asciiTheme="majorHAnsi" w:eastAsiaTheme="majorEastAsia" w:hAnsiTheme="majorHAnsi" w:cstheme="majorBidi"/>
      <w:color w:val="455F51" w:themeColor="text2"/>
      <w:sz w:val="22"/>
      <w:szCs w:val="22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B2CB4"/>
    <w:rPr>
      <w:rFonts w:asciiTheme="majorHAnsi" w:eastAsiaTheme="majorEastAsia" w:hAnsiTheme="majorHAnsi" w:cstheme="majorBidi"/>
      <w:i/>
      <w:iCs/>
      <w:color w:val="455F51" w:themeColor="text2"/>
      <w:sz w:val="21"/>
      <w:szCs w:val="21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B2CB4"/>
    <w:rPr>
      <w:rFonts w:asciiTheme="majorHAnsi" w:eastAsiaTheme="majorEastAsia" w:hAnsiTheme="majorHAnsi" w:cstheme="majorBidi"/>
      <w:i/>
      <w:iCs/>
      <w:color w:val="4D671B" w:themeColor="accent1" w:themeShade="80"/>
      <w:sz w:val="21"/>
      <w:szCs w:val="21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B2CB4"/>
    <w:rPr>
      <w:rFonts w:asciiTheme="majorHAnsi" w:eastAsiaTheme="majorEastAsia" w:hAnsiTheme="majorHAnsi" w:cstheme="majorBidi"/>
      <w:b/>
      <w:bCs/>
      <w:color w:val="455F51" w:themeColor="text2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B2CB4"/>
    <w:rPr>
      <w:rFonts w:asciiTheme="majorHAnsi" w:eastAsiaTheme="majorEastAsia" w:hAnsiTheme="majorHAnsi" w:cstheme="majorBidi"/>
      <w:b/>
      <w:bCs/>
      <w:i/>
      <w:iCs/>
      <w:color w:val="455F51" w:themeColor="text2"/>
    </w:rPr>
  </w:style>
  <w:style w:type="paragraph" w:styleId="Ttulo">
    <w:name w:val="Title"/>
    <w:basedOn w:val="Normal"/>
    <w:next w:val="Normal"/>
    <w:link w:val="TtuloChar"/>
    <w:uiPriority w:val="10"/>
    <w:qFormat/>
    <w:rsid w:val="00CB2CB4"/>
    <w:pPr>
      <w:spacing w:after="0" w:line="240" w:lineRule="auto"/>
      <w:contextualSpacing/>
    </w:pPr>
    <w:rPr>
      <w:rFonts w:asciiTheme="majorHAnsi" w:eastAsiaTheme="majorEastAsia" w:hAnsiTheme="majorHAnsi" w:cstheme="majorBidi"/>
      <w:color w:val="99CB38" w:themeColor="accent1"/>
      <w:spacing w:val="-10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CB2CB4"/>
    <w:rPr>
      <w:rFonts w:asciiTheme="majorHAnsi" w:eastAsiaTheme="majorEastAsia" w:hAnsiTheme="majorHAnsi" w:cstheme="majorBidi"/>
      <w:color w:val="99CB38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CB2CB4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CB2CB4"/>
    <w:rPr>
      <w:rFonts w:asciiTheme="majorHAnsi" w:eastAsiaTheme="majorEastAsia" w:hAnsiTheme="majorHAnsi" w:cstheme="majorBidi"/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qFormat/>
    <w:rsid w:val="00CB2CB4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B2CB4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F4772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B2CB4"/>
    <w:rPr>
      <w:b/>
      <w:bCs/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B2CB4"/>
    <w:pPr>
      <w:pBdr>
        <w:left w:val="single" w:sz="18" w:space="12" w:color="99CB38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99CB38" w:themeColor="accent1"/>
      <w:sz w:val="28"/>
      <w:szCs w:val="28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B2CB4"/>
    <w:rPr>
      <w:rFonts w:asciiTheme="majorHAnsi" w:eastAsiaTheme="majorEastAsia" w:hAnsiTheme="majorHAnsi" w:cstheme="majorBidi"/>
      <w:color w:val="99CB38" w:themeColor="accent1"/>
      <w:sz w:val="28"/>
      <w:szCs w:val="28"/>
    </w:rPr>
  </w:style>
  <w:style w:type="character" w:styleId="RefernciaIntensa">
    <w:name w:val="Intense Reference"/>
    <w:basedOn w:val="Fontepargpadro"/>
    <w:uiPriority w:val="32"/>
    <w:qFormat/>
    <w:rsid w:val="00CB2CB4"/>
    <w:rPr>
      <w:b/>
      <w:bCs/>
      <w:smallCaps/>
      <w:spacing w:val="5"/>
      <w:u w:val="single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CB2CB4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character" w:styleId="Forte">
    <w:name w:val="Strong"/>
    <w:basedOn w:val="Fontepargpadro"/>
    <w:uiPriority w:val="22"/>
    <w:qFormat/>
    <w:rsid w:val="00CB2CB4"/>
    <w:rPr>
      <w:b/>
      <w:bCs/>
    </w:rPr>
  </w:style>
  <w:style w:type="character" w:styleId="nfase">
    <w:name w:val="Emphasis"/>
    <w:basedOn w:val="Fontepargpadro"/>
    <w:uiPriority w:val="20"/>
    <w:qFormat/>
    <w:rsid w:val="00CB2CB4"/>
    <w:rPr>
      <w:i/>
      <w:iCs/>
    </w:rPr>
  </w:style>
  <w:style w:type="paragraph" w:styleId="SemEspaamento">
    <w:name w:val="No Spacing"/>
    <w:uiPriority w:val="1"/>
    <w:qFormat/>
    <w:rsid w:val="00CB2CB4"/>
    <w:pPr>
      <w:spacing w:after="0" w:line="240" w:lineRule="auto"/>
    </w:pPr>
  </w:style>
  <w:style w:type="character" w:styleId="nfaseSutil">
    <w:name w:val="Subtle Emphasis"/>
    <w:basedOn w:val="Fontepargpadro"/>
    <w:uiPriority w:val="19"/>
    <w:qFormat/>
    <w:rsid w:val="00CB2CB4"/>
    <w:rPr>
      <w:i/>
      <w:iCs/>
      <w:color w:val="404040" w:themeColor="text1" w:themeTint="BF"/>
    </w:rPr>
  </w:style>
  <w:style w:type="character" w:styleId="RefernciaSutil">
    <w:name w:val="Subtle Reference"/>
    <w:basedOn w:val="Fontepargpadro"/>
    <w:uiPriority w:val="31"/>
    <w:qFormat/>
    <w:rsid w:val="00CB2CB4"/>
    <w:rPr>
      <w:smallCaps/>
      <w:color w:val="404040" w:themeColor="text1" w:themeTint="BF"/>
      <w:u w:val="single" w:color="7F7F7F" w:themeColor="text1" w:themeTint="80"/>
    </w:rPr>
  </w:style>
  <w:style w:type="character" w:styleId="TtulodoLivro">
    <w:name w:val="Book Title"/>
    <w:basedOn w:val="Fontepargpadro"/>
    <w:uiPriority w:val="33"/>
    <w:qFormat/>
    <w:rsid w:val="00CB2CB4"/>
    <w:rPr>
      <w:b/>
      <w:bCs/>
      <w:smallCaps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CB2CB4"/>
    <w:pPr>
      <w:outlineLvl w:val="9"/>
    </w:pPr>
  </w:style>
  <w:style w:type="paragraph" w:styleId="NormalWeb">
    <w:name w:val="Normal (Web)"/>
    <w:basedOn w:val="Normal"/>
    <w:uiPriority w:val="99"/>
    <w:unhideWhenUsed/>
    <w:rsid w:val="00CB2C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line-clamp-1">
    <w:name w:val="line-clamp-1"/>
    <w:basedOn w:val="Fontepargpadro"/>
    <w:rsid w:val="00CB2C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61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21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9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187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15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3982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223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95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4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5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679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1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225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569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39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94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943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82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4139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760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6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43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0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933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399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3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433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489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0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13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7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32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085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830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745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11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7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278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920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7733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8.jpeg"/><Relationship Id="rId1" Type="http://schemas.openxmlformats.org/officeDocument/2006/relationships/image" Target="../media/image7.jpeg"/></Relationships>
</file>

<file path=word/theme/theme1.xml><?xml version="1.0" encoding="utf-8"?>
<a:theme xmlns:a="http://schemas.openxmlformats.org/drawingml/2006/main" name="Orgânico">
  <a:themeElements>
    <a:clrScheme name="Amarelo Verde">
      <a:dk1>
        <a:sysClr val="windowText" lastClr="000000"/>
      </a:dk1>
      <a:lt1>
        <a:sysClr val="window" lastClr="FFFFFF"/>
      </a:lt1>
      <a:dk2>
        <a:srgbClr val="455F51"/>
      </a:dk2>
      <a:lt2>
        <a:srgbClr val="E2DFCC"/>
      </a:lt2>
      <a:accent1>
        <a:srgbClr val="99CB38"/>
      </a:accent1>
      <a:accent2>
        <a:srgbClr val="63A537"/>
      </a:accent2>
      <a:accent3>
        <a:srgbClr val="37A76F"/>
      </a:accent3>
      <a:accent4>
        <a:srgbClr val="44C1A3"/>
      </a:accent4>
      <a:accent5>
        <a:srgbClr val="4EB3CF"/>
      </a:accent5>
      <a:accent6>
        <a:srgbClr val="51C3F9"/>
      </a:accent6>
      <a:hlink>
        <a:srgbClr val="EE7B08"/>
      </a:hlink>
      <a:folHlink>
        <a:srgbClr val="977B2D"/>
      </a:folHlink>
    </a:clrScheme>
    <a:fontScheme name="Orgânico">
      <a:majorFont>
        <a:latin typeface="Garamond" panose="020204040303010108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Garamond" panose="02020404030301010803"/>
        <a:ea typeface=""/>
        <a:cs typeface=""/>
        <a:font script="Jpan" typeface="ＭＳ Ｐ明朝"/>
        <a:font script="Hang" typeface="바탕"/>
        <a:font script="Hans" typeface="方正舒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rgânico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74000"/>
                <a:satMod val="130000"/>
                <a:lumMod val="90000"/>
              </a:schemeClr>
              <a:schemeClr val="phClr">
                <a:tint val="94000"/>
                <a:satMod val="120000"/>
                <a:lumMod val="104000"/>
              </a:schemeClr>
            </a:duotone>
          </a:blip>
          <a:tile tx="0" ty="0" sx="100000" sy="100000" flip="none" algn="tl"/>
        </a:blip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38100" dist="254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98000"/>
              </a:schemeClr>
            </a:gs>
          </a:gsLst>
          <a:lin ang="5400000" scaled="0"/>
        </a:gradFill>
        <a:blipFill>
          <a:blip xmlns:r="http://schemas.openxmlformats.org/officeDocument/2006/relationships" r:embed="rId2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rganic" id="{28CDC826-8792-45C0-861B-85EB3ADEDA33}" vid="{7DAC20F1-423D-49E2-BD0B-50532748BAD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5FDEA7-17B0-4795-8771-BBBE5252C6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1</Pages>
  <Words>2270</Words>
  <Characters>12260</Characters>
  <Application>Microsoft Office Word</Application>
  <DocSecurity>0</DocSecurity>
  <Lines>102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 Luiz</dc:creator>
  <cp:keywords/>
  <dc:description/>
  <cp:lastModifiedBy>Matheus Luiz</cp:lastModifiedBy>
  <cp:revision>2</cp:revision>
  <dcterms:created xsi:type="dcterms:W3CDTF">2024-04-18T12:59:00Z</dcterms:created>
  <dcterms:modified xsi:type="dcterms:W3CDTF">2024-06-11T13:34:00Z</dcterms:modified>
</cp:coreProperties>
</file>