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B09A78"/>
          <w:sz w:val="16"/>
        </w:rPr>
        <w:t>MAYRESSE ARQUITETURA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A1A"/>
          <w:sz w:val="44"/>
        </w:rPr>
        <w:t>Avaliação de Fornecedores e Parceiros</w:t>
      </w:r>
    </w:p>
    <w:p>
      <w:pPr>
        <w:spacing w:before="0" w:after="360"/>
      </w:pPr>
      <w:r>
        <w:rPr>
          <w:rFonts w:ascii="Calibri" w:hAnsi="Calibri"/>
          <w:b w:val="0"/>
          <w:i w:val="0"/>
          <w:color w:val="888888"/>
          <w:sz w:val="18"/>
        </w:rPr>
        <w:t>Uso interno — equipe de projetos</w:t>
      </w:r>
    </w:p>
    <w:p>
      <w:pPr>
        <w:spacing w:before="400" w:after="160"/>
        <w:pBdr>
          <w:bottom w:val="single" w:sz="4" w:space="4" w:color="B09A78"/>
        </w:pBdr>
      </w:pPr>
      <w:r>
        <w:rPr>
          <w:rFonts w:ascii="Calibri" w:hAnsi="Calibri"/>
          <w:b/>
          <w:i w:val="0"/>
          <w:color w:val="B09A78"/>
          <w:sz w:val="17"/>
        </w:rPr>
        <w:t>BERTOL MÓVEIS</w:t>
      </w:r>
    </w:p>
    <w:p>
      <w:pPr>
        <w:spacing w:before="280" w:after="120"/>
      </w:pPr>
      <w:r>
        <w:rPr>
          <w:rFonts w:ascii="Calibri" w:hAnsi="Calibri"/>
          <w:b/>
          <w:i w:val="0"/>
          <w:color w:val="1A1A1A"/>
          <w:sz w:val="24"/>
        </w:rPr>
        <w:t>Clientes em andamento</w:t>
      </w:r>
    </w:p>
    <w:p>
      <w:pPr>
        <w:spacing w:before="200" w:after="60"/>
      </w:pPr>
      <w:r>
        <w:rPr>
          <w:rFonts w:ascii="Calibri" w:hAnsi="Calibri"/>
          <w:b/>
          <w:i w:val="0"/>
          <w:color w:val="4A7C59"/>
          <w:sz w:val="16"/>
        </w:rPr>
        <w:t>CLIENTES FECHADOS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4A7C59"/>
          <w:sz w:val="22"/>
        </w:rPr>
        <w:t xml:space="preserve">•  </w:t>
      </w:r>
      <w:r>
        <w:rPr>
          <w:rFonts w:ascii="Calibri" w:hAnsi="Calibri"/>
          <w:b/>
          <w:i w:val="0"/>
          <w:color w:val="1A1A1A"/>
          <w:sz w:val="22"/>
        </w:rPr>
        <w:t>Catiucia e Felipe</w:t>
      </w:r>
      <w:r>
        <w:rPr>
          <w:rFonts w:ascii="Calibri" w:hAnsi="Calibri"/>
          <w:b w:val="0"/>
          <w:i/>
          <w:color w:val="888888"/>
          <w:sz w:val="19"/>
        </w:rPr>
        <w:br/>
        <w:t xml:space="preserve">      Prazo de medição: junho/julho 2026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4A7C59"/>
          <w:sz w:val="22"/>
        </w:rPr>
        <w:t xml:space="preserve">•  </w:t>
      </w:r>
      <w:r>
        <w:rPr>
          <w:rFonts w:ascii="Calibri" w:hAnsi="Calibri"/>
          <w:b/>
          <w:i w:val="0"/>
          <w:color w:val="1A1A1A"/>
          <w:sz w:val="22"/>
        </w:rPr>
        <w:t>Gianpe</w:t>
      </w:r>
      <w:r>
        <w:rPr>
          <w:rFonts w:ascii="Calibri" w:hAnsi="Calibri"/>
          <w:b w:val="0"/>
          <w:i/>
          <w:color w:val="888888"/>
          <w:sz w:val="19"/>
        </w:rPr>
        <w:br/>
        <w:t xml:space="preserve">      Medido em abril/2026 — entrega estimada julho/agosto 2026 (90 dias)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4A7C59"/>
          <w:sz w:val="22"/>
        </w:rPr>
        <w:t xml:space="preserve">•  </w:t>
      </w:r>
      <w:r>
        <w:rPr>
          <w:rFonts w:ascii="Calibri" w:hAnsi="Calibri"/>
          <w:b/>
          <w:i w:val="0"/>
          <w:color w:val="1A1A1A"/>
          <w:sz w:val="22"/>
        </w:rPr>
        <w:t>Alexandre e Rosangela — Apto DOM</w:t>
      </w:r>
      <w:r>
        <w:rPr>
          <w:rFonts w:ascii="Calibri" w:hAnsi="Calibri"/>
          <w:b w:val="0"/>
          <w:i/>
          <w:color w:val="888888"/>
          <w:sz w:val="19"/>
        </w:rPr>
        <w:br/>
        <w:t xml:space="preserve">      Conferência em 2 etapas: quartos/banhos/circulação em mar/2026; cozinha/sala/gourmet/lavanderia em 16/05/2026 — 60 dias para execução e montagens</w:t>
      </w:r>
    </w:p>
    <w:p>
      <w:pPr>
        <w:spacing w:before="200" w:after="60"/>
      </w:pPr>
      <w:r>
        <w:rPr>
          <w:rFonts w:ascii="Calibri" w:hAnsi="Calibri"/>
          <w:b/>
          <w:i w:val="0"/>
          <w:color w:val="B07530"/>
          <w:sz w:val="16"/>
        </w:rPr>
        <w:t>EM ORÇAMENTO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B07530"/>
          <w:sz w:val="22"/>
        </w:rPr>
        <w:t xml:space="preserve">•  </w:t>
      </w:r>
      <w:r>
        <w:rPr>
          <w:rFonts w:ascii="Calibri" w:hAnsi="Calibri"/>
          <w:b/>
          <w:i w:val="0"/>
          <w:color w:val="1A1A1A"/>
          <w:sz w:val="22"/>
        </w:rPr>
        <w:t>Cacá e Fernando</w:t>
      </w:r>
      <w:r>
        <w:rPr>
          <w:rFonts w:ascii="Calibri" w:hAnsi="Calibri"/>
          <w:b w:val="0"/>
          <w:i/>
          <w:color w:val="888888"/>
          <w:sz w:val="19"/>
        </w:rPr>
        <w:br/>
        <w:t xml:space="preserve">      Entrega prevista 2027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B07530"/>
          <w:sz w:val="22"/>
        </w:rPr>
        <w:t xml:space="preserve">•  </w:t>
      </w:r>
      <w:r>
        <w:rPr>
          <w:rFonts w:ascii="Calibri" w:hAnsi="Calibri"/>
          <w:b/>
          <w:i w:val="0"/>
          <w:color w:val="1A1A1A"/>
          <w:sz w:val="22"/>
        </w:rPr>
        <w:t>Karina Porto Fino Canoas</w:t>
      </w:r>
      <w:r>
        <w:rPr>
          <w:rFonts w:ascii="Calibri" w:hAnsi="Calibri"/>
          <w:b w:val="0"/>
          <w:i/>
          <w:color w:val="888888"/>
          <w:sz w:val="19"/>
        </w:rPr>
        <w:br/>
        <w:t xml:space="preserve">      Próximo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B07530"/>
          <w:sz w:val="22"/>
        </w:rPr>
        <w:t xml:space="preserve">•  </w:t>
      </w:r>
      <w:r>
        <w:rPr>
          <w:rFonts w:ascii="Calibri" w:hAnsi="Calibri"/>
          <w:b/>
          <w:i w:val="0"/>
          <w:color w:val="1A1A1A"/>
          <w:sz w:val="22"/>
        </w:rPr>
        <w:t>Angelita</w:t>
      </w:r>
      <w:r>
        <w:rPr>
          <w:rFonts w:ascii="Calibri" w:hAnsi="Calibri"/>
          <w:b w:val="0"/>
          <w:i/>
          <w:color w:val="888888"/>
          <w:sz w:val="19"/>
        </w:rPr>
        <w:br/>
        <w:t xml:space="preserve">      Próximo</w:t>
      </w:r>
    </w:p>
    <w:p>
      <w:pPr>
        <w:spacing w:before="160" w:after="40"/>
      </w:pPr>
      <w:r>
        <w:rPr>
          <w:rFonts w:ascii="Calibri" w:hAnsi="Calibri"/>
          <w:b/>
          <w:i w:val="0"/>
          <w:color w:val="4A7C59"/>
          <w:sz w:val="16"/>
        </w:rPr>
        <w:t xml:space="preserve">BENEFÍCIOS  </w:t>
      </w:r>
      <w:r>
        <w:rPr>
          <w:rFonts w:ascii="Calibri" w:hAnsi="Calibri"/>
          <w:b w:val="0"/>
          <w:i w:val="0"/>
          <w:color w:val="1A1A1A"/>
          <w:sz w:val="21"/>
        </w:rPr>
        <w:t>Ajuste de valores de reserva. Facilidade na comunicação e linguagem de projetos. Compreende 100% o método de trabalho do escritório. Pagamento à vista das reservas.</w:t>
      </w:r>
    </w:p>
    <w:p>
      <w:pPr>
        <w:spacing w:before="160" w:after="40"/>
      </w:pPr>
      <w:r>
        <w:rPr>
          <w:rFonts w:ascii="Calibri" w:hAnsi="Calibri"/>
          <w:b/>
          <w:i w:val="0"/>
          <w:color w:val="A03535"/>
          <w:sz w:val="16"/>
        </w:rPr>
        <w:t xml:space="preserve">PREOCUPAÇÃO PRINCIPAL  </w:t>
      </w:r>
      <w:r>
        <w:rPr>
          <w:rFonts w:ascii="Calibri" w:hAnsi="Calibri"/>
          <w:b w:val="0"/>
          <w:i w:val="0"/>
          <w:color w:val="1A1A1A"/>
          <w:sz w:val="21"/>
        </w:rPr>
        <w:t>Prazos de entrega, atrasos e retorno moroso de orçamentos.</w:t>
      </w:r>
    </w:p>
    <w:p>
      <w:pPr>
        <w:spacing w:before="160" w:after="40"/>
      </w:pPr>
      <w:r>
        <w:rPr>
          <w:rFonts w:ascii="Calibri" w:hAnsi="Calibri"/>
          <w:b/>
          <w:i w:val="0"/>
          <w:color w:val="3A6AAB"/>
          <w:sz w:val="16"/>
        </w:rPr>
        <w:t xml:space="preserve">RESULTADO  </w:t>
      </w:r>
      <w:r>
        <w:rPr>
          <w:rFonts w:ascii="Calibri" w:hAnsi="Calibri"/>
          <w:b w:val="0"/>
          <w:i w:val="0"/>
          <w:color w:val="1A1A1A"/>
          <w:sz w:val="21"/>
        </w:rPr>
        <w:t>Impecável em projeto e acabamento final.</w:t>
      </w:r>
    </w:p>
    <w:p>
      <w:pPr>
        <w:spacing w:before="400" w:after="160"/>
        <w:pBdr>
          <w:bottom w:val="single" w:sz="4" w:space="4" w:color="B09A78"/>
        </w:pBdr>
      </w:pPr>
      <w:r>
        <w:rPr>
          <w:rFonts w:ascii="Calibri" w:hAnsi="Calibri"/>
          <w:b/>
          <w:i w:val="0"/>
          <w:color w:val="B09A78"/>
          <w:sz w:val="17"/>
        </w:rPr>
        <w:t>CONSTRUTORAS COM ACABAMENTOS DE INTERIORES ORÇADOS</w:t>
      </w:r>
    </w:p>
    <w:p>
      <w:pPr>
        <w:spacing w:before="280" w:after="120"/>
      </w:pPr>
      <w:r>
        <w:rPr>
          <w:rFonts w:ascii="Calibri" w:hAnsi="Calibri"/>
          <w:b/>
          <w:i w:val="0"/>
          <w:color w:val="1A1A1A"/>
          <w:sz w:val="24"/>
        </w:rPr>
        <w:t>Mesturini</w:t>
      </w:r>
    </w:p>
    <w:p>
      <w:pPr>
        <w:spacing w:before="200" w:after="60"/>
      </w:pPr>
      <w:r>
        <w:rPr>
          <w:rFonts w:ascii="Calibri" w:hAnsi="Calibri"/>
          <w:b/>
          <w:i w:val="0"/>
          <w:color w:val="A03535"/>
          <w:sz w:val="16"/>
        </w:rPr>
        <w:t>PONTOS DE ATENÇÃO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Demora para orçar especificações enviadas — cliente e arquiteto precisam cobrar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Não consegue amostra física de nenhum material, exceto Cittá e York da Portinari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Só especifica Portinari e Deca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Atrasa o próprio cronograma por demora no envio de informações e orçamentos</w:t>
      </w:r>
    </w:p>
    <w:p>
      <w:pPr>
        <w:spacing w:before="200" w:after="60"/>
      </w:pPr>
      <w:r>
        <w:rPr>
          <w:rFonts w:ascii="Calibri" w:hAnsi="Calibri"/>
          <w:b/>
          <w:i w:val="0"/>
          <w:color w:val="3A6AAB"/>
          <w:sz w:val="16"/>
        </w:rPr>
        <w:t>BÔNUS / PARCERIA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Resolvem internamente quando falta pedra ou porcelanato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Parceria estabelecida com o escritório</w:t>
      </w:r>
    </w:p>
    <w:p>
      <w:pPr>
        <w:spacing w:before="120" w:after="40"/>
        <w:pBdr>
          <w:bottom w:val="single" w:sz="2" w:space="4" w:color="E8E3DC"/>
        </w:pBdr>
      </w:pPr>
    </w:p>
    <w:p>
      <w:pPr>
        <w:spacing w:before="280" w:after="120"/>
      </w:pPr>
      <w:r>
        <w:rPr>
          <w:rFonts w:ascii="Calibri" w:hAnsi="Calibri"/>
          <w:b/>
          <w:i w:val="0"/>
          <w:color w:val="1A1A1A"/>
          <w:sz w:val="24"/>
        </w:rPr>
        <w:t>Domix</w:t>
      </w:r>
    </w:p>
    <w:p>
      <w:pPr>
        <w:spacing w:before="200" w:after="60"/>
      </w:pPr>
      <w:r>
        <w:rPr>
          <w:rFonts w:ascii="Calibri" w:hAnsi="Calibri"/>
          <w:b/>
          <w:i w:val="0"/>
          <w:color w:val="A03535"/>
          <w:sz w:val="16"/>
        </w:rPr>
        <w:t>PONTOS DE ATENÇÃO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Coloca em contrato a linha mais simples de metais Deca e louças, inclusive cromado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Não retorna sobre créditos e especificações de interiores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Mesmo fornecendo lista completa, não faz sugestões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Não possuem amostras de peças ou produtos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Não indicam compras de revestimentos e metais — não resolvem nem ofertando crédito ao cliente</w:t>
      </w:r>
    </w:p>
    <w:p>
      <w:pPr>
        <w:spacing w:before="200" w:after="60"/>
      </w:pPr>
      <w:r>
        <w:rPr>
          <w:rFonts w:ascii="Calibri" w:hAnsi="Calibri"/>
          <w:b/>
          <w:i w:val="0"/>
          <w:color w:val="3A6AAB"/>
          <w:sz w:val="16"/>
        </w:rPr>
        <w:t>BÔNUS / PARCERIA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Parceria com o escritório</w:t>
      </w:r>
    </w:p>
    <w:p>
      <w:pPr>
        <w:spacing w:before="120" w:after="40"/>
        <w:pBdr>
          <w:bottom w:val="single" w:sz="2" w:space="4" w:color="E8E3DC"/>
        </w:pBdr>
      </w:pPr>
    </w:p>
    <w:p>
      <w:pPr>
        <w:spacing w:before="280" w:after="120"/>
      </w:pPr>
      <w:r>
        <w:rPr>
          <w:rFonts w:ascii="Calibri" w:hAnsi="Calibri"/>
          <w:b/>
          <w:i w:val="0"/>
          <w:color w:val="1A1A1A"/>
          <w:sz w:val="24"/>
        </w:rPr>
        <w:t>Raupp</w:t>
      </w:r>
    </w:p>
    <w:p>
      <w:pPr>
        <w:spacing w:before="200" w:after="60"/>
      </w:pPr>
      <w:r>
        <w:rPr>
          <w:rFonts w:ascii="Calibri" w:hAnsi="Calibri"/>
          <w:b/>
          <w:i w:val="0"/>
          <w:color w:val="4A7C59"/>
          <w:sz w:val="16"/>
        </w:rPr>
        <w:t>PONTOS POSITIVOS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Case de organização na compra de porcelanatos e metais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Trabalha com especificações fornecidas pelo escritório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Comunicação adequada com cliente e arquiteto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Confere paginações e quebras para evitar falta de produtos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Resolve internamente as pendências</w:t>
      </w:r>
    </w:p>
    <w:p>
      <w:pPr>
        <w:spacing w:before="400" w:after="160"/>
        <w:pBdr>
          <w:bottom w:val="single" w:sz="4" w:space="4" w:color="B09A78"/>
        </w:pBdr>
      </w:pPr>
      <w:r>
        <w:rPr>
          <w:rFonts w:ascii="Calibri" w:hAnsi="Calibri"/>
          <w:b/>
          <w:i w:val="0"/>
          <w:color w:val="B09A78"/>
          <w:sz w:val="17"/>
        </w:rPr>
        <w:t>LOJAS DE METAIS E REVESTIMENTOS</w:t>
      </w:r>
    </w:p>
    <w:p>
      <w:pPr>
        <w:spacing w:before="280" w:after="120"/>
      </w:pPr>
      <w:r>
        <w:rPr>
          <w:rFonts w:ascii="Calibri" w:hAnsi="Calibri"/>
          <w:b/>
          <w:i w:val="0"/>
          <w:color w:val="1A1A1A"/>
          <w:sz w:val="24"/>
        </w:rPr>
        <w:t>Elevato</w:t>
      </w:r>
      <w:r>
        <w:rPr>
          <w:rFonts w:ascii="Calibri" w:hAnsi="Calibri"/>
          <w:b w:val="0"/>
          <w:i w:val="0"/>
          <w:color w:val="888888"/>
          <w:sz w:val="18"/>
        </w:rPr>
        <w:t xml:space="preserve">  Porto Alegre</w:t>
      </w:r>
    </w:p>
    <w:p>
      <w:pPr>
        <w:spacing w:before="200" w:after="60"/>
      </w:pPr>
      <w:r>
        <w:rPr>
          <w:rFonts w:ascii="Calibri" w:hAnsi="Calibri"/>
          <w:b/>
          <w:i w:val="0"/>
          <w:color w:val="4A7C59"/>
          <w:sz w:val="16"/>
        </w:rPr>
        <w:t>PONTOS POSITIVOS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Tem mostruário, estoque e boas negociações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Respeita quando o cliente compra direto — não prejudica o atendimento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Resolve pendências em obra e troca produtos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Paga reservas ao escritório em dia</w:t>
      </w:r>
    </w:p>
    <w:p>
      <w:pPr>
        <w:spacing w:before="120" w:after="40"/>
        <w:pBdr>
          <w:bottom w:val="single" w:sz="2" w:space="4" w:color="E8E3DC"/>
        </w:pBdr>
      </w:pPr>
    </w:p>
    <w:p>
      <w:pPr>
        <w:spacing w:before="280" w:after="120"/>
      </w:pPr>
      <w:r>
        <w:rPr>
          <w:rFonts w:ascii="Calibri" w:hAnsi="Calibri"/>
          <w:b/>
          <w:i w:val="0"/>
          <w:color w:val="1A1A1A"/>
          <w:sz w:val="24"/>
        </w:rPr>
        <w:t>Toque e Retoque</w:t>
      </w:r>
      <w:r>
        <w:rPr>
          <w:rFonts w:ascii="Calibri" w:hAnsi="Calibri"/>
          <w:b w:val="0"/>
          <w:i w:val="0"/>
          <w:color w:val="888888"/>
          <w:sz w:val="18"/>
        </w:rPr>
        <w:t xml:space="preserve">  Gramado</w:t>
      </w:r>
    </w:p>
    <w:p>
      <w:pPr>
        <w:spacing w:before="200" w:after="60"/>
      </w:pPr>
      <w:r>
        <w:rPr>
          <w:rFonts w:ascii="Calibri" w:hAnsi="Calibri"/>
          <w:b/>
          <w:i w:val="0"/>
          <w:color w:val="4A7C59"/>
          <w:sz w:val="16"/>
        </w:rPr>
        <w:t>PONTOS POSITIVOS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Atende bem o cliente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Resolve pendências em obra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Negocia bem com cliente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Faz paginações se necessário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Realiza pagamento de reservas</w:t>
      </w:r>
    </w:p>
    <w:p>
      <w:pPr>
        <w:spacing w:before="200" w:after="60"/>
      </w:pPr>
      <w:r>
        <w:rPr>
          <w:rFonts w:ascii="Calibri" w:hAnsi="Calibri"/>
          <w:b/>
          <w:i w:val="0"/>
          <w:color w:val="B07530"/>
          <w:sz w:val="16"/>
        </w:rPr>
        <w:t>PONTOS DE ATENÇÃO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Retorno de orçamentos mais moroso</w:t>
      </w:r>
    </w:p>
    <w:p>
      <w:pPr>
        <w:spacing w:before="120" w:after="40"/>
        <w:pBdr>
          <w:bottom w:val="single" w:sz="2" w:space="4" w:color="E8E3DC"/>
        </w:pBdr>
      </w:pPr>
    </w:p>
    <w:p>
      <w:pPr>
        <w:spacing w:before="280" w:after="120"/>
      </w:pPr>
      <w:r>
        <w:rPr>
          <w:rFonts w:ascii="Calibri" w:hAnsi="Calibri"/>
          <w:b/>
          <w:i w:val="0"/>
          <w:color w:val="1A1A1A"/>
          <w:sz w:val="24"/>
        </w:rPr>
        <w:t>Ladrilhart</w:t>
      </w:r>
    </w:p>
    <w:p>
      <w:pPr>
        <w:spacing w:before="200" w:after="60"/>
      </w:pPr>
      <w:r>
        <w:rPr>
          <w:rFonts w:ascii="Calibri" w:hAnsi="Calibri"/>
          <w:b/>
          <w:i w:val="0"/>
          <w:color w:val="A03535"/>
          <w:sz w:val="16"/>
        </w:rPr>
        <w:t>PONTOS DE ATENÇÃO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Valores sempre bem acima dos demais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Clientes sentem dificuldade de negociar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Bloqueia compra se descobre que o cliente adquiriu em outra loja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Morosidade para resolver problemas técnicos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Vendedor desorientado para atender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Troca contínua de gerentes de loja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Estoque menor — quase sempre necessário encomendar</w:t>
      </w:r>
    </w:p>
    <w:p>
      <w:pPr>
        <w:spacing w:before="200" w:after="60"/>
      </w:pPr>
      <w:r>
        <w:rPr>
          <w:rFonts w:ascii="Calibri" w:hAnsi="Calibri"/>
          <w:b/>
          <w:i w:val="0"/>
          <w:color w:val="888888"/>
          <w:sz w:val="16"/>
        </w:rPr>
        <w:t>NEUTRO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Loja boutique com boa infraestrutura física</w:t>
      </w:r>
    </w:p>
    <w:p>
      <w:pPr>
        <w:spacing w:before="120" w:after="40"/>
        <w:pBdr>
          <w:bottom w:val="single" w:sz="2" w:space="4" w:color="E8E3DC"/>
        </w:pBdr>
      </w:pPr>
    </w:p>
    <w:p>
      <w:pPr>
        <w:spacing w:before="280" w:after="120"/>
      </w:pPr>
      <w:r>
        <w:rPr>
          <w:rFonts w:ascii="Calibri" w:hAnsi="Calibri"/>
          <w:b/>
          <w:i w:val="0"/>
          <w:color w:val="1A1A1A"/>
          <w:sz w:val="24"/>
        </w:rPr>
        <w:t>Portobello</w:t>
      </w:r>
    </w:p>
    <w:p>
      <w:pPr>
        <w:spacing w:before="200" w:after="60"/>
      </w:pPr>
      <w:r>
        <w:rPr>
          <w:rFonts w:ascii="Calibri" w:hAnsi="Calibri"/>
          <w:b/>
          <w:i w:val="0"/>
          <w:color w:val="4A7C59"/>
          <w:sz w:val="16"/>
        </w:rPr>
        <w:t>PONTOS POSITIVOS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Atende muito bem com boa infraestrutura para o cliente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Suporte técnico bom, fazem paginação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Valor agregado mais alto</w:t>
      </w:r>
    </w:p>
    <w:p>
      <w:pPr>
        <w:spacing w:before="200" w:after="60"/>
      </w:pPr>
      <w:r>
        <w:rPr>
          <w:rFonts w:ascii="Calibri" w:hAnsi="Calibri"/>
          <w:b/>
          <w:i w:val="0"/>
          <w:color w:val="B07530"/>
          <w:sz w:val="16"/>
        </w:rPr>
        <w:t>PONTOS DE ATENÇÃO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Preço tabelado a nível nacional — sem flexibilidade quando o cliente compra em outra loja da rede</w:t>
      </w:r>
    </w:p>
    <w:p>
      <w:pPr>
        <w:spacing w:before="120" w:after="40"/>
        <w:pBdr>
          <w:bottom w:val="single" w:sz="2" w:space="4" w:color="E8E3DC"/>
        </w:pBdr>
      </w:pPr>
    </w:p>
    <w:p>
      <w:pPr>
        <w:spacing w:before="280" w:after="120"/>
      </w:pPr>
      <w:r>
        <w:rPr>
          <w:rFonts w:ascii="Calibri" w:hAnsi="Calibri"/>
          <w:b/>
          <w:i w:val="0"/>
          <w:color w:val="1A1A1A"/>
          <w:sz w:val="24"/>
        </w:rPr>
        <w:t>Casa Dexco</w:t>
      </w:r>
    </w:p>
    <w:p>
      <w:pPr>
        <w:spacing w:before="200" w:after="60"/>
      </w:pPr>
      <w:r>
        <w:rPr>
          <w:rFonts w:ascii="Calibri" w:hAnsi="Calibri"/>
          <w:b/>
          <w:i w:val="0"/>
          <w:color w:val="888888"/>
          <w:sz w:val="16"/>
        </w:rPr>
        <w:t>OBSERVAÇÕES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Showroom para visualizar produtos Deca e Portinari para compras diretas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Unidade em Novo Hamburgo — visita pendente para entender a sistemática</w:t>
      </w:r>
    </w:p>
    <w:p>
      <w:pPr>
        <w:spacing w:before="400" w:after="160"/>
        <w:pBdr>
          <w:bottom w:val="single" w:sz="4" w:space="4" w:color="B09A78"/>
        </w:pBdr>
      </w:pPr>
      <w:r>
        <w:rPr>
          <w:rFonts w:ascii="Calibri" w:hAnsi="Calibri"/>
          <w:b/>
          <w:i w:val="0"/>
          <w:color w:val="B09A78"/>
          <w:sz w:val="17"/>
        </w:rPr>
        <w:t>ILUMINAÇÃO</w:t>
      </w:r>
    </w:p>
    <w:p>
      <w:pPr>
        <w:spacing w:before="280" w:after="120"/>
      </w:pPr>
      <w:r>
        <w:rPr>
          <w:rFonts w:ascii="Calibri" w:hAnsi="Calibri"/>
          <w:b/>
          <w:i w:val="0"/>
          <w:color w:val="1A1A1A"/>
          <w:sz w:val="24"/>
        </w:rPr>
        <w:t>Vértice</w:t>
      </w:r>
      <w:r>
        <w:rPr>
          <w:rFonts w:ascii="Calibri" w:hAnsi="Calibri"/>
          <w:b w:val="0"/>
          <w:i w:val="0"/>
          <w:color w:val="888888"/>
          <w:sz w:val="18"/>
        </w:rPr>
        <w:t xml:space="preserve">  Porto Alegre</w:t>
      </w:r>
    </w:p>
    <w:p>
      <w:pPr>
        <w:spacing w:before="200" w:after="60"/>
      </w:pPr>
      <w:r>
        <w:rPr>
          <w:rFonts w:ascii="Calibri" w:hAnsi="Calibri"/>
          <w:b/>
          <w:i w:val="0"/>
          <w:color w:val="4A7C59"/>
          <w:sz w:val="16"/>
        </w:rPr>
        <w:t>PONTOS POSITIVOS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Faz ajustes em luminotécnico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Bom atendimento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Possui fabricação de perfis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Produtos técnicos com boa variedade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Paga reserva corretamente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Atende bem obras em POA e região</w:t>
      </w:r>
    </w:p>
    <w:p>
      <w:pPr>
        <w:spacing w:before="200" w:after="60"/>
      </w:pPr>
      <w:r>
        <w:rPr>
          <w:rFonts w:ascii="Calibri" w:hAnsi="Calibri"/>
          <w:b/>
          <w:i w:val="0"/>
          <w:color w:val="B07530"/>
          <w:sz w:val="16"/>
        </w:rPr>
        <w:t>PONTOS DE ATENÇÃO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Retorno de orçamentos moroso — necessário cobrar a vendedora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Pouco showroom de peças decorativas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Morosidade no envio de produtos a longa distância</w:t>
      </w:r>
    </w:p>
    <w:p>
      <w:pPr>
        <w:spacing w:before="120" w:after="40"/>
        <w:pBdr>
          <w:bottom w:val="single" w:sz="2" w:space="4" w:color="E8E3DC"/>
        </w:pBdr>
      </w:pPr>
    </w:p>
    <w:p>
      <w:pPr>
        <w:spacing w:before="280" w:after="120"/>
      </w:pPr>
      <w:r>
        <w:rPr>
          <w:rFonts w:ascii="Calibri" w:hAnsi="Calibri"/>
          <w:b/>
          <w:i w:val="0"/>
          <w:color w:val="1A1A1A"/>
          <w:sz w:val="24"/>
        </w:rPr>
        <w:t>Lucenci</w:t>
      </w:r>
      <w:r>
        <w:rPr>
          <w:rFonts w:ascii="Calibri" w:hAnsi="Calibri"/>
          <w:b w:val="0"/>
          <w:i w:val="0"/>
          <w:color w:val="888888"/>
          <w:sz w:val="18"/>
        </w:rPr>
        <w:t xml:space="preserve">  Gramado / RS</w:t>
      </w:r>
    </w:p>
    <w:p>
      <w:pPr>
        <w:spacing w:before="200" w:after="60"/>
      </w:pPr>
      <w:r>
        <w:rPr>
          <w:rFonts w:ascii="Calibri" w:hAnsi="Calibri"/>
          <w:b/>
          <w:i w:val="0"/>
          <w:color w:val="4A7C59"/>
          <w:sz w:val="16"/>
        </w:rPr>
        <w:t>PONTOS POSITIVOS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Faz ajustes em luminotécnico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Resolve pendências em obra com mais agilidade que a Vértice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Retorno rápido, atende bem o cliente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Trabalha com inúmeras marcas</w:t>
      </w:r>
    </w:p>
    <w:p>
      <w:pPr>
        <w:spacing w:before="200" w:after="60"/>
      </w:pPr>
      <w:r>
        <w:rPr>
          <w:rFonts w:ascii="Calibri" w:hAnsi="Calibri"/>
          <w:b/>
          <w:i w:val="0"/>
          <w:color w:val="B07530"/>
          <w:sz w:val="16"/>
        </w:rPr>
        <w:t>PONTOS DE ATENÇÃO</w:t>
      </w:r>
    </w:p>
    <w:p>
      <w:pPr>
        <w:spacing w:before="20" w:after="20"/>
        <w:ind w:left="283"/>
      </w:pPr>
      <w:r>
        <w:rPr>
          <w:rFonts w:ascii="Calibri" w:hAnsi="Calibri"/>
          <w:b w:val="0"/>
          <w:i w:val="0"/>
          <w:color w:val="888888"/>
          <w:sz w:val="22"/>
        </w:rPr>
        <w:t xml:space="preserve">—  </w:t>
      </w:r>
      <w:r>
        <w:rPr>
          <w:rFonts w:ascii="Calibri" w:hAnsi="Calibri"/>
          <w:b w:val="0"/>
          <w:i w:val="0"/>
          <w:color w:val="333333"/>
          <w:sz w:val="22"/>
        </w:rPr>
        <w:t>Histórico de atraso no pagamento de reservas (período da Dai)</w:t>
      </w:r>
    </w:p>
    <w:p>
      <w:pPr>
        <w:spacing w:before="600"/>
        <w:jc w:val="center"/>
      </w:pPr>
      <w:r>
        <w:rPr>
          <w:rFonts w:ascii="Calibri" w:hAnsi="Calibri"/>
          <w:b w:val="0"/>
          <w:i w:val="0"/>
          <w:color w:val="888888"/>
          <w:sz w:val="17"/>
        </w:rPr>
        <w:t>Mayresse Arquitetura — Documento de uso interno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