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BEEB" w14:textId="77777777" w:rsidR="00F324BE" w:rsidRDefault="00000000">
      <w:pPr>
        <w:pStyle w:val="Ttulo1"/>
      </w:pPr>
      <w:bookmarkStart w:id="0" w:name="X6eb871f37047d42bea95a29fe853d226a69888d"/>
      <w:r>
        <w:t>Market Intersection Analysis: Identificação Automática de Regimes Macroeconômicos via Machine Learning</w:t>
      </w:r>
    </w:p>
    <w:p w14:paraId="6814FF28" w14:textId="77777777" w:rsidR="00F324BE" w:rsidRDefault="00000000">
      <w:pPr>
        <w:pStyle w:val="FirstParagraph"/>
      </w:pPr>
      <w:r>
        <w:rPr>
          <w:b/>
          <w:bCs/>
        </w:rPr>
        <w:t>Autores:</w:t>
      </w:r>
      <w:r>
        <w:t xml:space="preserve"> Matheus Mizrahi e Felipe Tomaspolsky</w:t>
      </w:r>
    </w:p>
    <w:p w14:paraId="088D8DCE" w14:textId="77777777" w:rsidR="00F324BE" w:rsidRDefault="00000000">
      <w:pPr>
        <w:pStyle w:val="Corpodetexto"/>
      </w:pPr>
      <w:r>
        <w:rPr>
          <w:b/>
          <w:bCs/>
        </w:rPr>
        <w:t>Instituição:</w:t>
      </w:r>
      <w:r>
        <w:t xml:space="preserve"> LEV Asset Management | INSPER - IQF</w:t>
      </w:r>
    </w:p>
    <w:p w14:paraId="3985DD5F" w14:textId="77777777" w:rsidR="00F324BE" w:rsidRDefault="00000000">
      <w:pPr>
        <w:pStyle w:val="Corpodetexto"/>
      </w:pPr>
      <w:r>
        <w:rPr>
          <w:b/>
          <w:bCs/>
        </w:rPr>
        <w:t>Data:</w:t>
      </w:r>
      <w:r>
        <w:t xml:space="preserve"> Fevereiro 2026</w:t>
      </w:r>
    </w:p>
    <w:p w14:paraId="5F8A4E91" w14:textId="77777777" w:rsidR="00F324BE" w:rsidRDefault="00000000">
      <w:r>
        <w:pict w14:anchorId="6E9FD58A">
          <v:rect id="_x0000_i1025" style="width:0;height:1.5pt" o:hralign="center" o:hrstd="t" o:hr="t"/>
        </w:pict>
      </w:r>
    </w:p>
    <w:p w14:paraId="57F4EE56" w14:textId="77777777" w:rsidR="00F324BE" w:rsidRPr="0010596B" w:rsidRDefault="00000000">
      <w:pPr>
        <w:pStyle w:val="Ttulo2"/>
        <w:rPr>
          <w:lang w:val="pt-BR"/>
        </w:rPr>
      </w:pPr>
      <w:bookmarkStart w:id="1" w:name="abstract"/>
      <w:r w:rsidRPr="0010596B">
        <w:rPr>
          <w:lang w:val="pt-BR"/>
        </w:rPr>
        <w:t>Abstract</w:t>
      </w:r>
    </w:p>
    <w:p w14:paraId="6A683507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lang w:val="pt-BR"/>
        </w:rPr>
        <w:t xml:space="preserve">Este trabalho desenvolve uma metodologia de identificação automática de regimes macroeconômicos baseada exclusivamente em análise quantitativa de preços de mercado, eliminando a dependência de indicadores econômicos defasados. Através da construção de índices compostos de Inflação e Atividade Econômica a partir de 7 ativos globais, combinados com clusterização K-Means, classificamos o ambiente macro em 4 regimes distintos. A estratégia long/short implementada entre S&amp;P 500 e Treasury 10Y no período 2000-2025 resultou em Sharpe Ratio de 0.47, inferior ao buy-and-hold do S&amp;P 500 (0.98), mas com comportamento defensivo superior ao ERC Risk Parity (0.62) e Treasury 10Y (0.22). Os resultados demonstram a </w:t>
      </w:r>
      <w:r w:rsidRPr="0010596B">
        <w:rPr>
          <w:b/>
          <w:bCs/>
          <w:lang w:val="pt-BR"/>
        </w:rPr>
        <w:t>complexidade de timing tático</w:t>
      </w:r>
      <w:r w:rsidRPr="0010596B">
        <w:rPr>
          <w:lang w:val="pt-BR"/>
        </w:rPr>
        <w:t>: embora o framework identifique corretamente regimes macroeconômicos, a frequência de rebalanceamento e custos de transação penalizam significativamente a performance, oferecendo lições valiosas sobre as limitações de estratégias TAA puramente quantitativas.</w:t>
      </w:r>
    </w:p>
    <w:p w14:paraId="3AC73AF0" w14:textId="77777777" w:rsidR="00F324BE" w:rsidRDefault="00000000">
      <w:pPr>
        <w:pStyle w:val="Corpodetexto"/>
      </w:pPr>
      <w:r>
        <w:rPr>
          <w:b/>
          <w:bCs/>
        </w:rPr>
        <w:t>Palavras-chave:</w:t>
      </w:r>
      <w:r>
        <w:t xml:space="preserve"> Regime Identification, K-Means Clustering, Tactical Asset Allocation, Machine Learning, Análise Crítica</w:t>
      </w:r>
    </w:p>
    <w:p w14:paraId="082CEA86" w14:textId="77777777" w:rsidR="00F324BE" w:rsidRDefault="00000000">
      <w:r>
        <w:pict w14:anchorId="04D0115D">
          <v:rect id="_x0000_i1026" style="width:0;height:1.5pt" o:hralign="center" o:hrstd="t" o:hr="t"/>
        </w:pict>
      </w:r>
    </w:p>
    <w:p w14:paraId="3E2DC848" w14:textId="77777777" w:rsidR="00F324BE" w:rsidRPr="0010596B" w:rsidRDefault="00000000">
      <w:pPr>
        <w:pStyle w:val="Ttulo2"/>
        <w:rPr>
          <w:lang w:val="pt-BR"/>
        </w:rPr>
      </w:pPr>
      <w:bookmarkStart w:id="2" w:name="introdução"/>
      <w:bookmarkEnd w:id="1"/>
      <w:r w:rsidRPr="0010596B">
        <w:rPr>
          <w:lang w:val="pt-BR"/>
        </w:rPr>
        <w:t>1. Introdução</w:t>
      </w:r>
    </w:p>
    <w:p w14:paraId="7D69556F" w14:textId="77777777" w:rsidR="00F324BE" w:rsidRPr="0010596B" w:rsidRDefault="00000000">
      <w:pPr>
        <w:pStyle w:val="Ttulo3"/>
        <w:rPr>
          <w:lang w:val="pt-BR"/>
        </w:rPr>
      </w:pPr>
      <w:bookmarkStart w:id="3" w:name="motivação-teórica"/>
      <w:r w:rsidRPr="0010596B">
        <w:rPr>
          <w:lang w:val="pt-BR"/>
        </w:rPr>
        <w:t>1.1 Motivação Teórica</w:t>
      </w:r>
    </w:p>
    <w:p w14:paraId="4CFF7703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lang w:val="pt-BR"/>
        </w:rPr>
        <w:t>A literatura de regime-switching (Ang &amp; Bekaert, 2002; Kritzman et al., 2012) demonstra que diferentes ambientes macroeconômicos apresentam características de risco-retorno substancialmente distintas. Portfólios que ajustam exposição dinamicamente superam estratégias estáticas em até 0.5 pontos de Sharpe Ratio, com reduções de drawdown superiores a 40%.</w:t>
      </w:r>
    </w:p>
    <w:p w14:paraId="7F85994F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lang w:val="pt-BR"/>
        </w:rPr>
        <w:t xml:space="preserve">Entretanto, indicadores macro tradicionais (PIB, CPI, desemprego) apresentam </w:t>
      </w:r>
      <w:r w:rsidRPr="0010596B">
        <w:rPr>
          <w:b/>
          <w:bCs/>
          <w:lang w:val="pt-BR"/>
        </w:rPr>
        <w:t>lag temporal de 2-4 semanas</w:t>
      </w:r>
      <w:r w:rsidRPr="0010596B">
        <w:rPr>
          <w:lang w:val="pt-BR"/>
        </w:rPr>
        <w:t xml:space="preserve"> e </w:t>
      </w:r>
      <w:r w:rsidRPr="0010596B">
        <w:rPr>
          <w:b/>
          <w:bCs/>
          <w:lang w:val="pt-BR"/>
        </w:rPr>
        <w:t>revisões retroativas</w:t>
      </w:r>
      <w:r w:rsidRPr="0010596B">
        <w:rPr>
          <w:lang w:val="pt-BR"/>
        </w:rPr>
        <w:t xml:space="preserve">, inadequados para trading </w:t>
      </w:r>
      <w:r w:rsidRPr="0010596B">
        <w:rPr>
          <w:lang w:val="pt-BR"/>
        </w:rPr>
        <w:lastRenderedPageBreak/>
        <w:t xml:space="preserve">sistemático. Nossa hipótese central: </w:t>
      </w:r>
      <w:r w:rsidRPr="0010596B">
        <w:rPr>
          <w:b/>
          <w:bCs/>
          <w:lang w:val="pt-BR"/>
        </w:rPr>
        <w:t>preços de mercado agregam expectativas em tempo real</w:t>
      </w:r>
      <w:r w:rsidRPr="0010596B">
        <w:rPr>
          <w:lang w:val="pt-BR"/>
        </w:rPr>
        <w:t>, oferecendo sinais superiores.</w:t>
      </w:r>
    </w:p>
    <w:p w14:paraId="43576921" w14:textId="77777777" w:rsidR="00F324BE" w:rsidRDefault="00000000">
      <w:pPr>
        <w:pStyle w:val="Ttulo3"/>
      </w:pPr>
      <w:bookmarkStart w:id="4" w:name="objetivos"/>
      <w:bookmarkEnd w:id="3"/>
      <w:r>
        <w:t>1.2 Objetivos</w:t>
      </w:r>
    </w:p>
    <w:p w14:paraId="0B68F387" w14:textId="77777777" w:rsidR="00F324BE" w:rsidRPr="0010596B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10596B">
        <w:rPr>
          <w:b/>
          <w:bCs/>
          <w:lang w:val="pt-BR"/>
        </w:rPr>
        <w:t>Teórico:</w:t>
      </w:r>
      <w:r w:rsidRPr="0010596B">
        <w:rPr>
          <w:lang w:val="pt-BR"/>
        </w:rPr>
        <w:t xml:space="preserve"> Avaliar se preços de ativos contêm informação exploitável sobre regimes macro</w:t>
      </w:r>
    </w:p>
    <w:p w14:paraId="54534208" w14:textId="77777777" w:rsidR="00F324BE" w:rsidRPr="0010596B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10596B">
        <w:rPr>
          <w:b/>
          <w:bCs/>
          <w:lang w:val="pt-BR"/>
        </w:rPr>
        <w:t>Metodológico:</w:t>
      </w:r>
      <w:r w:rsidRPr="0010596B">
        <w:rPr>
          <w:lang w:val="pt-BR"/>
        </w:rPr>
        <w:t xml:space="preserve"> Desenvolver framework automático de classificação via machine learning</w:t>
      </w:r>
    </w:p>
    <w:p w14:paraId="19190B65" w14:textId="77777777" w:rsidR="00F324BE" w:rsidRPr="0010596B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10596B">
        <w:rPr>
          <w:b/>
          <w:bCs/>
          <w:lang w:val="pt-BR"/>
        </w:rPr>
        <w:t>Prático:</w:t>
      </w:r>
      <w:r w:rsidRPr="0010596B">
        <w:rPr>
          <w:lang w:val="pt-BR"/>
        </w:rPr>
        <w:t xml:space="preserve"> Implementar estratégia TAA e analisar criticamente sua viabilidade vs. buy-and-hold</w:t>
      </w:r>
    </w:p>
    <w:p w14:paraId="70D6D70A" w14:textId="77777777" w:rsidR="00F324BE" w:rsidRPr="0010596B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10596B">
        <w:rPr>
          <w:b/>
          <w:bCs/>
          <w:lang w:val="pt-BR"/>
        </w:rPr>
        <w:t>Científico:</w:t>
      </w:r>
      <w:r w:rsidRPr="0010596B">
        <w:rPr>
          <w:lang w:val="pt-BR"/>
        </w:rPr>
        <w:t xml:space="preserve"> Documentar limitações e custos ocultos de estratégias quantitativas</w:t>
      </w:r>
    </w:p>
    <w:p w14:paraId="7D04810E" w14:textId="77777777" w:rsidR="00F324BE" w:rsidRDefault="00000000">
      <w:r>
        <w:pict w14:anchorId="3D36C493">
          <v:rect id="_x0000_i1027" style="width:0;height:1.5pt" o:hralign="center" o:hrstd="t" o:hr="t"/>
        </w:pict>
      </w:r>
    </w:p>
    <w:p w14:paraId="30D801FA" w14:textId="77777777" w:rsidR="00F324BE" w:rsidRPr="0010596B" w:rsidRDefault="00000000">
      <w:pPr>
        <w:pStyle w:val="Ttulo2"/>
        <w:rPr>
          <w:lang w:val="pt-BR"/>
        </w:rPr>
      </w:pPr>
      <w:bookmarkStart w:id="5" w:name="framework-teórico"/>
      <w:bookmarkEnd w:id="2"/>
      <w:bookmarkEnd w:id="4"/>
      <w:r w:rsidRPr="0010596B">
        <w:rPr>
          <w:lang w:val="pt-BR"/>
        </w:rPr>
        <w:t>2. Framework Teórico</w:t>
      </w:r>
    </w:p>
    <w:p w14:paraId="69D0B274" w14:textId="77777777" w:rsidR="00F324BE" w:rsidRPr="0010596B" w:rsidRDefault="00000000">
      <w:pPr>
        <w:pStyle w:val="Ttulo3"/>
        <w:rPr>
          <w:lang w:val="pt-BR"/>
        </w:rPr>
      </w:pPr>
      <w:bookmarkStart w:id="6" w:name="modelo-de-quadrantes-macroeconômicos"/>
      <w:r w:rsidRPr="0010596B">
        <w:rPr>
          <w:lang w:val="pt-BR"/>
        </w:rPr>
        <w:t>2.1 Modelo de Quadrantes Macroeconômicos</w:t>
      </w:r>
    </w:p>
    <w:p w14:paraId="065AF5CB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lang w:val="pt-BR"/>
        </w:rPr>
        <w:t>Baseado em Dalio (1996) e Bridgewater’s All Weather, o ambiente macro é definido por dois vetores ortogonais:</w:t>
      </w:r>
    </w:p>
    <w:p w14:paraId="6A942491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Eixo 1 - Inflação:</w:t>
      </w:r>
      <w:r w:rsidRPr="0010596B">
        <w:rPr>
          <w:lang w:val="pt-BR"/>
        </w:rPr>
        <w:t xml:space="preserve"> Expectativas de pressão inflacionária</w:t>
      </w:r>
      <w:r w:rsidRPr="0010596B">
        <w:rPr>
          <w:lang w:val="pt-BR"/>
        </w:rPr>
        <w:br/>
      </w:r>
      <w:r w:rsidRPr="0010596B">
        <w:rPr>
          <w:b/>
          <w:bCs/>
          <w:lang w:val="pt-BR"/>
        </w:rPr>
        <w:t>Eixo 2 - Atividade Econômica:</w:t>
      </w:r>
      <w:r w:rsidRPr="0010596B">
        <w:rPr>
          <w:lang w:val="pt-BR"/>
        </w:rPr>
        <w:t xml:space="preserve"> Crescimento e demanda agregada</w:t>
      </w:r>
    </w:p>
    <w:p w14:paraId="504BB4E1" w14:textId="77777777" w:rsidR="00F324BE" w:rsidRDefault="00000000">
      <w:pPr>
        <w:pStyle w:val="Corpodetexto"/>
      </w:pPr>
      <w:r>
        <w:t>Resultando em 4 regimes distintos: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0"/>
        <w:gridCol w:w="1059"/>
        <w:gridCol w:w="1182"/>
        <w:gridCol w:w="2481"/>
      </w:tblGrid>
      <w:tr w:rsidR="00F324BE" w14:paraId="7AC906C4" w14:textId="77777777" w:rsidTr="00F32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66EC4A" w14:textId="77777777" w:rsidR="00F324BE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1E83907A" w14:textId="77777777" w:rsidR="00F324BE" w:rsidRDefault="00000000">
            <w:pPr>
              <w:pStyle w:val="Compact"/>
            </w:pPr>
            <w:r>
              <w:t>Inflação</w:t>
            </w:r>
          </w:p>
        </w:tc>
        <w:tc>
          <w:tcPr>
            <w:tcW w:w="0" w:type="auto"/>
          </w:tcPr>
          <w:p w14:paraId="384A57A3" w14:textId="77777777" w:rsidR="00F324BE" w:rsidRDefault="00000000">
            <w:pPr>
              <w:pStyle w:val="Compact"/>
            </w:pPr>
            <w:r>
              <w:t>Atividade</w:t>
            </w:r>
          </w:p>
        </w:tc>
        <w:tc>
          <w:tcPr>
            <w:tcW w:w="0" w:type="auto"/>
          </w:tcPr>
          <w:p w14:paraId="1710CE5A" w14:textId="77777777" w:rsidR="00F324BE" w:rsidRDefault="00000000">
            <w:pPr>
              <w:pStyle w:val="Compact"/>
            </w:pPr>
            <w:r>
              <w:t>Asset Class Vencedor</w:t>
            </w:r>
          </w:p>
        </w:tc>
      </w:tr>
      <w:tr w:rsidR="00F324BE" w14:paraId="51B1B365" w14:textId="77777777">
        <w:tc>
          <w:tcPr>
            <w:tcW w:w="0" w:type="auto"/>
          </w:tcPr>
          <w:p w14:paraId="0D1596A0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Q1: Goldilocks</w:t>
            </w:r>
          </w:p>
        </w:tc>
        <w:tc>
          <w:tcPr>
            <w:tcW w:w="0" w:type="auto"/>
          </w:tcPr>
          <w:p w14:paraId="104030B3" w14:textId="77777777" w:rsidR="00F324BE" w:rsidRDefault="00000000">
            <w:pPr>
              <w:pStyle w:val="Compact"/>
            </w:pPr>
            <w:r>
              <w:t>↓</w:t>
            </w:r>
          </w:p>
        </w:tc>
        <w:tc>
          <w:tcPr>
            <w:tcW w:w="0" w:type="auto"/>
          </w:tcPr>
          <w:p w14:paraId="0998FBD4" w14:textId="77777777" w:rsidR="00F324BE" w:rsidRDefault="00000000">
            <w:pPr>
              <w:pStyle w:val="Compact"/>
            </w:pPr>
            <w:r>
              <w:t>↑</w:t>
            </w:r>
          </w:p>
        </w:tc>
        <w:tc>
          <w:tcPr>
            <w:tcW w:w="0" w:type="auto"/>
          </w:tcPr>
          <w:p w14:paraId="4D019B5A" w14:textId="77777777" w:rsidR="00F324BE" w:rsidRDefault="00000000">
            <w:pPr>
              <w:pStyle w:val="Compact"/>
            </w:pPr>
            <w:r>
              <w:t>Equity</w:t>
            </w:r>
          </w:p>
        </w:tc>
      </w:tr>
      <w:tr w:rsidR="00F324BE" w14:paraId="12673612" w14:textId="77777777">
        <w:tc>
          <w:tcPr>
            <w:tcW w:w="0" w:type="auto"/>
          </w:tcPr>
          <w:p w14:paraId="293C1285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Q2: Reflação</w:t>
            </w:r>
          </w:p>
        </w:tc>
        <w:tc>
          <w:tcPr>
            <w:tcW w:w="0" w:type="auto"/>
          </w:tcPr>
          <w:p w14:paraId="009F3038" w14:textId="77777777" w:rsidR="00F324BE" w:rsidRDefault="00000000">
            <w:pPr>
              <w:pStyle w:val="Compact"/>
            </w:pPr>
            <w:r>
              <w:t>↑</w:t>
            </w:r>
          </w:p>
        </w:tc>
        <w:tc>
          <w:tcPr>
            <w:tcW w:w="0" w:type="auto"/>
          </w:tcPr>
          <w:p w14:paraId="760974C9" w14:textId="77777777" w:rsidR="00F324BE" w:rsidRDefault="00000000">
            <w:pPr>
              <w:pStyle w:val="Compact"/>
            </w:pPr>
            <w:r>
              <w:t>↑</w:t>
            </w:r>
          </w:p>
        </w:tc>
        <w:tc>
          <w:tcPr>
            <w:tcW w:w="0" w:type="auto"/>
          </w:tcPr>
          <w:p w14:paraId="63D235CF" w14:textId="77777777" w:rsidR="00F324BE" w:rsidRDefault="00000000">
            <w:pPr>
              <w:pStyle w:val="Compact"/>
            </w:pPr>
            <w:r>
              <w:t>Commodities</w:t>
            </w:r>
          </w:p>
        </w:tc>
      </w:tr>
      <w:tr w:rsidR="00F324BE" w14:paraId="1898CCD5" w14:textId="77777777">
        <w:tc>
          <w:tcPr>
            <w:tcW w:w="0" w:type="auto"/>
          </w:tcPr>
          <w:p w14:paraId="1C920B49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Q3: Stagflação</w:t>
            </w:r>
          </w:p>
        </w:tc>
        <w:tc>
          <w:tcPr>
            <w:tcW w:w="0" w:type="auto"/>
          </w:tcPr>
          <w:p w14:paraId="29C7B295" w14:textId="77777777" w:rsidR="00F324BE" w:rsidRDefault="00000000">
            <w:pPr>
              <w:pStyle w:val="Compact"/>
            </w:pPr>
            <w:r>
              <w:t>↑</w:t>
            </w:r>
          </w:p>
        </w:tc>
        <w:tc>
          <w:tcPr>
            <w:tcW w:w="0" w:type="auto"/>
          </w:tcPr>
          <w:p w14:paraId="6D1AC768" w14:textId="77777777" w:rsidR="00F324BE" w:rsidRDefault="00000000">
            <w:pPr>
              <w:pStyle w:val="Compact"/>
            </w:pPr>
            <w:r>
              <w:t>↓</w:t>
            </w:r>
          </w:p>
        </w:tc>
        <w:tc>
          <w:tcPr>
            <w:tcW w:w="0" w:type="auto"/>
          </w:tcPr>
          <w:p w14:paraId="3760D359" w14:textId="77777777" w:rsidR="00F324BE" w:rsidRDefault="00000000">
            <w:pPr>
              <w:pStyle w:val="Compact"/>
            </w:pPr>
            <w:r>
              <w:t>Real Assets</w:t>
            </w:r>
          </w:p>
        </w:tc>
      </w:tr>
      <w:tr w:rsidR="00F324BE" w14:paraId="45AD2764" w14:textId="77777777">
        <w:tc>
          <w:tcPr>
            <w:tcW w:w="0" w:type="auto"/>
          </w:tcPr>
          <w:p w14:paraId="38F6D681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Q4: Deflação</w:t>
            </w:r>
          </w:p>
        </w:tc>
        <w:tc>
          <w:tcPr>
            <w:tcW w:w="0" w:type="auto"/>
          </w:tcPr>
          <w:p w14:paraId="708FE582" w14:textId="77777777" w:rsidR="00F324BE" w:rsidRDefault="00000000">
            <w:pPr>
              <w:pStyle w:val="Compact"/>
            </w:pPr>
            <w:r>
              <w:t>↓</w:t>
            </w:r>
          </w:p>
        </w:tc>
        <w:tc>
          <w:tcPr>
            <w:tcW w:w="0" w:type="auto"/>
          </w:tcPr>
          <w:p w14:paraId="5B64937A" w14:textId="77777777" w:rsidR="00F324BE" w:rsidRDefault="00000000">
            <w:pPr>
              <w:pStyle w:val="Compact"/>
            </w:pPr>
            <w:r>
              <w:t>↓</w:t>
            </w:r>
          </w:p>
        </w:tc>
        <w:tc>
          <w:tcPr>
            <w:tcW w:w="0" w:type="auto"/>
          </w:tcPr>
          <w:p w14:paraId="3C7A94D9" w14:textId="77777777" w:rsidR="00F324BE" w:rsidRDefault="00000000">
            <w:pPr>
              <w:pStyle w:val="Compact"/>
            </w:pPr>
            <w:r>
              <w:t>Bonds</w:t>
            </w:r>
          </w:p>
        </w:tc>
      </w:tr>
    </w:tbl>
    <w:p w14:paraId="1ECD0A03" w14:textId="77777777" w:rsidR="00F324BE" w:rsidRDefault="00000000">
      <w:pPr>
        <w:pStyle w:val="Ttulo3"/>
      </w:pPr>
      <w:bookmarkStart w:id="7" w:name="construção-de-índices-compostos"/>
      <w:bookmarkEnd w:id="6"/>
      <w:r>
        <w:t>2.2 Construção de Índices Compostos</w:t>
      </w:r>
    </w:p>
    <w:p w14:paraId="3B05D108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lang w:val="pt-BR"/>
        </w:rPr>
        <w:t>Cada índice agrega múltiplos ativos ponderados por relevância teórica:</w:t>
      </w:r>
    </w:p>
    <w:p w14:paraId="693105BB" w14:textId="77777777" w:rsidR="00F324BE" w:rsidRDefault="00000000">
      <w:pPr>
        <w:pStyle w:val="Corpodetexto"/>
      </w:pPr>
      <m:oMathPara>
        <m:oMathParaPr>
          <m:jc m:val="center"/>
        </m:oMathParaPr>
        <m:oMath>
          <m:r>
            <m:rPr>
              <m:nor/>
            </m:rPr>
            <m:t>Inflação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Trend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Oil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0.30</m:t>
          </m:r>
        </m:oMath>
      </m:oMathPara>
    </w:p>
    <w:p w14:paraId="18B5D15F" w14:textId="77777777" w:rsidR="00F324BE" w:rsidRPr="0010596B" w:rsidRDefault="00000000">
      <w:pPr>
        <w:pStyle w:val="FirstParagraph"/>
        <w:rPr>
          <w:lang w:val="pt-BR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pt-BR"/>
            </w:rPr>
            <m:t>Atividade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  <w:lang w:val="pt-BR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lang w:val="pt-BR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pt-BR"/>
                </w:rPr>
                <m:t>Trend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pt-BR"/>
            </w:rPr>
            <m:t> 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|</m:t>
          </m:r>
          <m:r>
            <w:rPr>
              <w:rFonts w:ascii="Cambria Math" w:hAnsi="Cambria Math"/>
              <w:lang w:val="pt-BR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lang w:val="pt-BR"/>
                </w:rPr>
                <m:t>SP500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t-BR"/>
            </w:rPr>
            <m:t>=</m:t>
          </m:r>
          <m:r>
            <w:rPr>
              <w:rFonts w:ascii="Cambria Math" w:hAnsi="Cambria Math"/>
              <w:lang w:val="pt-BR"/>
            </w:rPr>
            <m:t>0.35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,</m:t>
          </m:r>
          <m:r>
            <w:rPr>
              <w:rFonts w:ascii="Cambria Math" w:hAnsi="Cambria Math"/>
              <w:lang w:val="pt-BR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lang w:val="pt-BR"/>
                </w:rPr>
                <m:t>EM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t-BR"/>
            </w:rPr>
            <m:t>=</m:t>
          </m:r>
          <m:r>
            <w:rPr>
              <w:rFonts w:ascii="Cambria Math" w:hAnsi="Cambria Math"/>
              <w:lang w:val="pt-BR"/>
            </w:rPr>
            <m:t>0.25</m:t>
          </m:r>
        </m:oMath>
      </m:oMathPara>
    </w:p>
    <w:p w14:paraId="122DD559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Tendências</w:t>
      </w:r>
      <w:r w:rsidRPr="0010596B">
        <w:rPr>
          <w:lang w:val="pt-BR"/>
        </w:rPr>
        <w:t xml:space="preserve"> estimadas via regressão OLS em janela móvel de 60 dias, ponderadas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 w:rsidRPr="0010596B">
        <w:rPr>
          <w:lang w:val="pt-BR"/>
        </w:rPr>
        <w:t xml:space="preserve"> (confiança estatística).</w:t>
      </w:r>
    </w:p>
    <w:p w14:paraId="035E74C7" w14:textId="77777777" w:rsidR="00F324BE" w:rsidRPr="0010596B" w:rsidRDefault="00000000">
      <w:pPr>
        <w:pStyle w:val="Ttulo3"/>
        <w:rPr>
          <w:lang w:val="pt-BR"/>
        </w:rPr>
      </w:pPr>
      <w:bookmarkStart w:id="8" w:name="clusterização-k-means-para-intensidade"/>
      <w:bookmarkEnd w:id="7"/>
      <w:r w:rsidRPr="0010596B">
        <w:rPr>
          <w:lang w:val="pt-BR"/>
        </w:rPr>
        <w:lastRenderedPageBreak/>
        <w:t>2.3 Clusterização K-Means para Intensidade</w:t>
      </w:r>
    </w:p>
    <w:p w14:paraId="59B2A7AB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lang w:val="pt-BR"/>
        </w:rPr>
        <w:t xml:space="preserve">Aplicamos K-Means no espaço 2D (Inflação × Atividade) para segmentar observações em </w:t>
      </w:r>
      <w:r w:rsidRPr="0010596B">
        <w:rPr>
          <w:b/>
          <w:bCs/>
          <w:lang w:val="pt-BR"/>
        </w:rPr>
        <w:t>12 clusters</w:t>
      </w:r>
      <w:r w:rsidRPr="0010596B">
        <w:rPr>
          <w:lang w:val="pt-BR"/>
        </w:rPr>
        <w:t xml:space="preserve">, posteriormente mapeados em </w:t>
      </w:r>
      <w:r w:rsidRPr="0010596B">
        <w:rPr>
          <w:b/>
          <w:bCs/>
          <w:lang w:val="pt-BR"/>
        </w:rPr>
        <w:t>3 níveis de intensidade</w:t>
      </w:r>
      <w:r w:rsidRPr="0010596B">
        <w:rPr>
          <w:lang w:val="pt-BR"/>
        </w:rPr>
        <w:t xml:space="preserve"> (Forte/Moderado/Fraco) via distância ao centroid.</w:t>
      </w:r>
    </w:p>
    <w:p w14:paraId="35D73FDC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Justificativa:</w:t>
      </w:r>
      <w:r w:rsidRPr="0010596B">
        <w:rPr>
          <w:lang w:val="pt-BR"/>
        </w:rPr>
        <w:t xml:space="preserve"> Capturar heterogeneidade dentro de cada regime (ex: Goldilocks “fraco” vs “forte”).</w:t>
      </w:r>
    </w:p>
    <w:p w14:paraId="1DB9B49D" w14:textId="77777777" w:rsidR="00F324BE" w:rsidRDefault="00000000">
      <w:r>
        <w:pict w14:anchorId="7920002F">
          <v:rect id="_x0000_i1028" style="width:0;height:1.5pt" o:hralign="center" o:hrstd="t" o:hr="t"/>
        </w:pict>
      </w:r>
    </w:p>
    <w:p w14:paraId="7852AEC4" w14:textId="77777777" w:rsidR="00F324BE" w:rsidRPr="0010596B" w:rsidRDefault="00000000">
      <w:pPr>
        <w:pStyle w:val="Ttulo2"/>
        <w:rPr>
          <w:lang w:val="pt-BR"/>
        </w:rPr>
      </w:pPr>
      <w:bookmarkStart w:id="9" w:name="dados-e-implementação"/>
      <w:bookmarkEnd w:id="5"/>
      <w:bookmarkEnd w:id="8"/>
      <w:r w:rsidRPr="0010596B">
        <w:rPr>
          <w:lang w:val="pt-BR"/>
        </w:rPr>
        <w:t>3. Dados e Implementação</w:t>
      </w:r>
    </w:p>
    <w:p w14:paraId="17079D33" w14:textId="77777777" w:rsidR="00F324BE" w:rsidRPr="0010596B" w:rsidRDefault="00000000">
      <w:pPr>
        <w:pStyle w:val="Ttulo3"/>
        <w:rPr>
          <w:lang w:val="pt-BR"/>
        </w:rPr>
      </w:pPr>
      <w:bookmarkStart w:id="10" w:name="universo-de-ativos"/>
      <w:r w:rsidRPr="0010596B">
        <w:rPr>
          <w:lang w:val="pt-BR"/>
        </w:rPr>
        <w:t>3.1 Universo de Ativos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1529"/>
        <w:gridCol w:w="4182"/>
      </w:tblGrid>
      <w:tr w:rsidR="00F324BE" w14:paraId="5045EF2F" w14:textId="77777777" w:rsidTr="00F32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267B15" w14:textId="77777777" w:rsidR="00F324BE" w:rsidRDefault="00000000">
            <w:pPr>
              <w:pStyle w:val="Compact"/>
            </w:pPr>
            <w:r>
              <w:t>Classe</w:t>
            </w:r>
          </w:p>
        </w:tc>
        <w:tc>
          <w:tcPr>
            <w:tcW w:w="0" w:type="auto"/>
          </w:tcPr>
          <w:p w14:paraId="514C8807" w14:textId="77777777" w:rsidR="00F324BE" w:rsidRDefault="00000000">
            <w:pPr>
              <w:pStyle w:val="Compact"/>
            </w:pPr>
            <w:r>
              <w:t>Ticker</w:t>
            </w:r>
          </w:p>
        </w:tc>
        <w:tc>
          <w:tcPr>
            <w:tcW w:w="0" w:type="auto"/>
          </w:tcPr>
          <w:p w14:paraId="000B659D" w14:textId="77777777" w:rsidR="00F324BE" w:rsidRDefault="00000000">
            <w:pPr>
              <w:pStyle w:val="Compact"/>
            </w:pPr>
            <w:r>
              <w:t>Razão Teórica</w:t>
            </w:r>
          </w:p>
        </w:tc>
      </w:tr>
      <w:tr w:rsidR="00F324BE" w14:paraId="6FE3CAD3" w14:textId="77777777">
        <w:tc>
          <w:tcPr>
            <w:tcW w:w="0" w:type="auto"/>
          </w:tcPr>
          <w:p w14:paraId="25F5ABEE" w14:textId="77777777" w:rsidR="00F324BE" w:rsidRDefault="00000000">
            <w:pPr>
              <w:pStyle w:val="Compact"/>
            </w:pPr>
            <w:r>
              <w:t>Equity</w:t>
            </w:r>
          </w:p>
        </w:tc>
        <w:tc>
          <w:tcPr>
            <w:tcW w:w="0" w:type="auto"/>
          </w:tcPr>
          <w:p w14:paraId="5CD18002" w14:textId="77777777" w:rsidR="00F324BE" w:rsidRDefault="00000000">
            <w:pPr>
              <w:pStyle w:val="Compact"/>
            </w:pPr>
            <w:r>
              <w:t>^GSPC, EEM</w:t>
            </w:r>
          </w:p>
        </w:tc>
        <w:tc>
          <w:tcPr>
            <w:tcW w:w="0" w:type="auto"/>
          </w:tcPr>
          <w:p w14:paraId="6C28AF8E" w14:textId="77777777" w:rsidR="00F324BE" w:rsidRDefault="00000000">
            <w:pPr>
              <w:pStyle w:val="Compact"/>
            </w:pPr>
            <w:r>
              <w:t>Crescimento desenvolvido/emergente</w:t>
            </w:r>
          </w:p>
        </w:tc>
      </w:tr>
      <w:tr w:rsidR="00F324BE" w14:paraId="45AD0C50" w14:textId="77777777">
        <w:tc>
          <w:tcPr>
            <w:tcW w:w="0" w:type="auto"/>
          </w:tcPr>
          <w:p w14:paraId="10E904C1" w14:textId="77777777" w:rsidR="00F324BE" w:rsidRDefault="00000000">
            <w:pPr>
              <w:pStyle w:val="Compact"/>
            </w:pPr>
            <w:r>
              <w:t>Bonds</w:t>
            </w:r>
          </w:p>
        </w:tc>
        <w:tc>
          <w:tcPr>
            <w:tcW w:w="0" w:type="auto"/>
          </w:tcPr>
          <w:p w14:paraId="56681C94" w14:textId="77777777" w:rsidR="00F324BE" w:rsidRDefault="00000000">
            <w:pPr>
              <w:pStyle w:val="Compact"/>
            </w:pPr>
            <w:r>
              <w:t>^TNX, HYG</w:t>
            </w:r>
          </w:p>
        </w:tc>
        <w:tc>
          <w:tcPr>
            <w:tcW w:w="0" w:type="auto"/>
          </w:tcPr>
          <w:p w14:paraId="731D4A01" w14:textId="77777777" w:rsidR="00F324BE" w:rsidRDefault="00000000">
            <w:pPr>
              <w:pStyle w:val="Compact"/>
            </w:pPr>
            <w:r>
              <w:t>Expectativas de juros/crédito</w:t>
            </w:r>
          </w:p>
        </w:tc>
      </w:tr>
      <w:tr w:rsidR="00F324BE" w14:paraId="626104BA" w14:textId="77777777">
        <w:tc>
          <w:tcPr>
            <w:tcW w:w="0" w:type="auto"/>
          </w:tcPr>
          <w:p w14:paraId="1ABE2DF5" w14:textId="77777777" w:rsidR="00F324BE" w:rsidRDefault="00000000">
            <w:pPr>
              <w:pStyle w:val="Compact"/>
            </w:pPr>
            <w:r>
              <w:t>FX</w:t>
            </w:r>
          </w:p>
        </w:tc>
        <w:tc>
          <w:tcPr>
            <w:tcW w:w="0" w:type="auto"/>
          </w:tcPr>
          <w:p w14:paraId="0CF5E221" w14:textId="77777777" w:rsidR="00F324BE" w:rsidRDefault="00000000">
            <w:pPr>
              <w:pStyle w:val="Compact"/>
            </w:pPr>
            <w:r>
              <w:t>DX-Y.NYB</w:t>
            </w:r>
          </w:p>
        </w:tc>
        <w:tc>
          <w:tcPr>
            <w:tcW w:w="0" w:type="auto"/>
          </w:tcPr>
          <w:p w14:paraId="4FF0C276" w14:textId="77777777" w:rsidR="00F324BE" w:rsidRDefault="00000000">
            <w:pPr>
              <w:pStyle w:val="Compact"/>
            </w:pPr>
            <w:r>
              <w:t>Condições monetárias globais</w:t>
            </w:r>
          </w:p>
        </w:tc>
      </w:tr>
      <w:tr w:rsidR="00F324BE" w14:paraId="55B50E6E" w14:textId="77777777">
        <w:tc>
          <w:tcPr>
            <w:tcW w:w="0" w:type="auto"/>
          </w:tcPr>
          <w:p w14:paraId="3EFF47EF" w14:textId="77777777" w:rsidR="00F324BE" w:rsidRDefault="00000000">
            <w:pPr>
              <w:pStyle w:val="Compact"/>
            </w:pPr>
            <w:r>
              <w:t>Commodities</w:t>
            </w:r>
          </w:p>
        </w:tc>
        <w:tc>
          <w:tcPr>
            <w:tcW w:w="0" w:type="auto"/>
          </w:tcPr>
          <w:p w14:paraId="62777909" w14:textId="77777777" w:rsidR="00F324BE" w:rsidRDefault="00000000">
            <w:pPr>
              <w:pStyle w:val="Compact"/>
            </w:pPr>
            <w:r>
              <w:t>CL=F, GC=F</w:t>
            </w:r>
          </w:p>
        </w:tc>
        <w:tc>
          <w:tcPr>
            <w:tcW w:w="0" w:type="auto"/>
          </w:tcPr>
          <w:p w14:paraId="1C6B269D" w14:textId="77777777" w:rsidR="00F324BE" w:rsidRDefault="00000000">
            <w:pPr>
              <w:pStyle w:val="Compact"/>
            </w:pPr>
            <w:r>
              <w:t>Inflação realizada/hedge</w:t>
            </w:r>
          </w:p>
        </w:tc>
      </w:tr>
    </w:tbl>
    <w:p w14:paraId="1DF7710C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Período:</w:t>
      </w:r>
      <w:r w:rsidRPr="0010596B">
        <w:rPr>
          <w:lang w:val="pt-BR"/>
        </w:rPr>
        <w:t xml:space="preserve"> 2016-2025 (~520 semanas)</w:t>
      </w:r>
      <w:r w:rsidRPr="0010596B">
        <w:rPr>
          <w:lang w:val="pt-BR"/>
        </w:rPr>
        <w:br/>
      </w:r>
      <w:r w:rsidRPr="0010596B">
        <w:rPr>
          <w:b/>
          <w:bCs/>
          <w:lang w:val="pt-BR"/>
        </w:rPr>
        <w:t>Frequência:</w:t>
      </w:r>
      <w:r w:rsidRPr="0010596B">
        <w:rPr>
          <w:lang w:val="pt-BR"/>
        </w:rPr>
        <w:t xml:space="preserve"> Semanal (reduz ruído vs. diário)</w:t>
      </w:r>
    </w:p>
    <w:p w14:paraId="38B8A018" w14:textId="77777777" w:rsidR="00F324BE" w:rsidRDefault="00000000">
      <w:pPr>
        <w:pStyle w:val="Ttulo3"/>
      </w:pPr>
      <w:bookmarkStart w:id="11" w:name="pipeline-de-execução"/>
      <w:bookmarkEnd w:id="10"/>
      <w:r>
        <w:t>3.2 Pipeline de Execução</w:t>
      </w:r>
    </w:p>
    <w:p w14:paraId="1DE27E2E" w14:textId="77777777" w:rsidR="00F324BE" w:rsidRPr="0010596B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0596B">
        <w:rPr>
          <w:b/>
          <w:bCs/>
          <w:lang w:val="pt-BR"/>
        </w:rPr>
        <w:t>Coleta de dados</w:t>
      </w:r>
      <w:r w:rsidRPr="0010596B">
        <w:rPr>
          <w:lang w:val="pt-BR"/>
        </w:rPr>
        <w:t xml:space="preserve"> (yfinance) → validação de qualidade</w:t>
      </w:r>
    </w:p>
    <w:p w14:paraId="150F6CCD" w14:textId="77777777" w:rsidR="00F324BE" w:rsidRPr="0010596B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0596B">
        <w:rPr>
          <w:b/>
          <w:bCs/>
          <w:lang w:val="pt-BR"/>
        </w:rPr>
        <w:t>Regressões OLS</w:t>
      </w:r>
      <w:r w:rsidRPr="0010596B">
        <w:rPr>
          <w:lang w:val="pt-BR"/>
        </w:rPr>
        <w:t xml:space="preserve"> → estimação de tendências (slope × R²)</w:t>
      </w:r>
    </w:p>
    <w:p w14:paraId="0BCDAFE5" w14:textId="77777777" w:rsidR="00F324BE" w:rsidRPr="0010596B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0596B">
        <w:rPr>
          <w:b/>
          <w:bCs/>
          <w:lang w:val="pt-BR"/>
        </w:rPr>
        <w:t>Construção de scores</w:t>
      </w:r>
      <w:r w:rsidRPr="0010596B">
        <w:rPr>
          <w:lang w:val="pt-BR"/>
        </w:rPr>
        <w:t xml:space="preserve"> → Inflação e Atividade</w:t>
      </w:r>
    </w:p>
    <w:p w14:paraId="6CE1993D" w14:textId="77777777" w:rsidR="00F324BE" w:rsidRPr="0010596B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0596B">
        <w:rPr>
          <w:b/>
          <w:bCs/>
          <w:lang w:val="pt-BR"/>
        </w:rPr>
        <w:t>Classificação de regime</w:t>
      </w:r>
      <w:r w:rsidRPr="0010596B">
        <w:rPr>
          <w:lang w:val="pt-BR"/>
        </w:rPr>
        <w:t xml:space="preserve"> → lógica condicional baseada em limiares</w:t>
      </w:r>
    </w:p>
    <w:p w14:paraId="25C0AA14" w14:textId="77777777" w:rsidR="00F324B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K-Means</w:t>
      </w:r>
      <w:r>
        <w:t xml:space="preserve"> → determinação de intensidade</w:t>
      </w:r>
    </w:p>
    <w:p w14:paraId="6B4990E9" w14:textId="77777777" w:rsidR="00F324B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Alocação tática</w:t>
      </w:r>
      <w:r>
        <w:t xml:space="preserve"> → Long SPY (Q1) ou Long IEF (Q4)</w:t>
      </w:r>
    </w:p>
    <w:p w14:paraId="00493E13" w14:textId="77777777" w:rsidR="00F324BE" w:rsidRPr="0010596B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0596B">
        <w:rPr>
          <w:b/>
          <w:bCs/>
          <w:lang w:val="pt-BR"/>
        </w:rPr>
        <w:t>Backtest</w:t>
      </w:r>
      <w:r w:rsidRPr="0010596B">
        <w:rPr>
          <w:lang w:val="pt-BR"/>
        </w:rPr>
        <w:t xml:space="preserve"> → simulação com custos (10 bps por trade)</w:t>
      </w:r>
    </w:p>
    <w:p w14:paraId="14DF0318" w14:textId="77777777" w:rsidR="00F324BE" w:rsidRDefault="00000000">
      <w:r>
        <w:pict w14:anchorId="5BB40189">
          <v:rect id="_x0000_i1029" style="width:0;height:1.5pt" o:hralign="center" o:hrstd="t" o:hr="t"/>
        </w:pict>
      </w:r>
    </w:p>
    <w:p w14:paraId="4A867F4B" w14:textId="77777777" w:rsidR="00F324BE" w:rsidRPr="0010596B" w:rsidRDefault="00000000">
      <w:pPr>
        <w:pStyle w:val="Ttulo2"/>
        <w:rPr>
          <w:lang w:val="pt-BR"/>
        </w:rPr>
      </w:pPr>
      <w:bookmarkStart w:id="12" w:name="resultados-empíricos"/>
      <w:bookmarkEnd w:id="9"/>
      <w:bookmarkEnd w:id="11"/>
      <w:r w:rsidRPr="0010596B">
        <w:rPr>
          <w:lang w:val="pt-BR"/>
        </w:rPr>
        <w:t>4. Resultados Empíricos</w:t>
      </w:r>
    </w:p>
    <w:p w14:paraId="24CE44B5" w14:textId="77777777" w:rsidR="00F324BE" w:rsidRPr="0010596B" w:rsidRDefault="00000000">
      <w:pPr>
        <w:pStyle w:val="Ttulo3"/>
        <w:rPr>
          <w:lang w:val="pt-BR"/>
        </w:rPr>
      </w:pPr>
      <w:bookmarkStart w:id="13" w:name="distribuição-de-regimes-2000-2025"/>
      <w:r w:rsidRPr="0010596B">
        <w:rPr>
          <w:lang w:val="pt-BR"/>
        </w:rPr>
        <w:t>4.1 Distribuição de Regimes (2000-2025)</w:t>
      </w:r>
    </w:p>
    <w:p w14:paraId="182EA55B" w14:textId="77777777" w:rsidR="00F324BE" w:rsidRDefault="00000000">
      <w:pPr>
        <w:pStyle w:val="FirstParagraph"/>
      </w:pPr>
      <w:r>
        <w:rPr>
          <w:b/>
          <w:bCs/>
        </w:rPr>
        <w:t>Frequência Observada: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07"/>
        <w:gridCol w:w="1429"/>
        <w:gridCol w:w="2144"/>
        <w:gridCol w:w="3574"/>
      </w:tblGrid>
      <w:tr w:rsidR="00F324BE" w14:paraId="016D8B05" w14:textId="77777777" w:rsidTr="00F32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508A401E" w14:textId="77777777" w:rsidR="00F324BE" w:rsidRDefault="00000000">
            <w:pPr>
              <w:pStyle w:val="Compact"/>
            </w:pPr>
            <w:r>
              <w:t>Regime</w:t>
            </w:r>
          </w:p>
        </w:tc>
        <w:tc>
          <w:tcPr>
            <w:tcW w:w="1250" w:type="dxa"/>
          </w:tcPr>
          <w:p w14:paraId="62CA913E" w14:textId="77777777" w:rsidR="00F324BE" w:rsidRDefault="00000000">
            <w:pPr>
              <w:pStyle w:val="Compact"/>
            </w:pPr>
            <w:r>
              <w:t>Dias</w:t>
            </w:r>
          </w:p>
        </w:tc>
        <w:tc>
          <w:tcPr>
            <w:tcW w:w="1875" w:type="dxa"/>
          </w:tcPr>
          <w:p w14:paraId="1032E945" w14:textId="77777777" w:rsidR="00F324BE" w:rsidRDefault="00000000">
            <w:pPr>
              <w:pStyle w:val="Compact"/>
            </w:pPr>
            <w:r>
              <w:t>% Total</w:t>
            </w:r>
          </w:p>
        </w:tc>
        <w:tc>
          <w:tcPr>
            <w:tcW w:w="3126" w:type="dxa"/>
          </w:tcPr>
          <w:p w14:paraId="0C2BA535" w14:textId="77777777" w:rsidR="00F324BE" w:rsidRDefault="00000000">
            <w:pPr>
              <w:pStyle w:val="Compact"/>
            </w:pPr>
            <w:r>
              <w:t>Interpretação</w:t>
            </w:r>
          </w:p>
        </w:tc>
      </w:tr>
      <w:tr w:rsidR="00F324BE" w14:paraId="60D4D0C6" w14:textId="77777777">
        <w:tc>
          <w:tcPr>
            <w:tcW w:w="1667" w:type="dxa"/>
          </w:tcPr>
          <w:p w14:paraId="627AEB19" w14:textId="77777777" w:rsidR="00F324BE" w:rsidRDefault="00000000">
            <w:pPr>
              <w:pStyle w:val="Compact"/>
            </w:pPr>
            <w:r>
              <w:t>Q4 Deflação/Contração</w:t>
            </w:r>
          </w:p>
        </w:tc>
        <w:tc>
          <w:tcPr>
            <w:tcW w:w="1250" w:type="dxa"/>
          </w:tcPr>
          <w:p w14:paraId="209A0556" w14:textId="77777777" w:rsidR="00F324BE" w:rsidRDefault="00000000">
            <w:pPr>
              <w:pStyle w:val="Compact"/>
            </w:pPr>
            <w:r>
              <w:t>~750</w:t>
            </w:r>
          </w:p>
        </w:tc>
        <w:tc>
          <w:tcPr>
            <w:tcW w:w="1875" w:type="dxa"/>
          </w:tcPr>
          <w:p w14:paraId="4FCB7EB8" w14:textId="77777777" w:rsidR="00F324BE" w:rsidRDefault="00000000">
            <w:pPr>
              <w:pStyle w:val="Compact"/>
            </w:pPr>
            <w:r>
              <w:t>55%</w:t>
            </w:r>
          </w:p>
        </w:tc>
        <w:tc>
          <w:tcPr>
            <w:tcW w:w="3126" w:type="dxa"/>
          </w:tcPr>
          <w:p w14:paraId="4CC947D0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Regime dominante</w:t>
            </w:r>
            <w:r>
              <w:t xml:space="preserve"> (crises 2008, 2020)</w:t>
            </w:r>
          </w:p>
        </w:tc>
      </w:tr>
      <w:tr w:rsidR="00F324BE" w14:paraId="026DD6E5" w14:textId="77777777">
        <w:tc>
          <w:tcPr>
            <w:tcW w:w="1667" w:type="dxa"/>
          </w:tcPr>
          <w:p w14:paraId="5F5A3071" w14:textId="77777777" w:rsidR="00F324BE" w:rsidRDefault="00000000">
            <w:pPr>
              <w:pStyle w:val="Compact"/>
            </w:pPr>
            <w:r>
              <w:lastRenderedPageBreak/>
              <w:t>Q2 Reflação</w:t>
            </w:r>
          </w:p>
        </w:tc>
        <w:tc>
          <w:tcPr>
            <w:tcW w:w="1250" w:type="dxa"/>
          </w:tcPr>
          <w:p w14:paraId="22014A33" w14:textId="77777777" w:rsidR="00F324BE" w:rsidRDefault="00000000">
            <w:pPr>
              <w:pStyle w:val="Compact"/>
            </w:pPr>
            <w:r>
              <w:t>~250</w:t>
            </w:r>
          </w:p>
        </w:tc>
        <w:tc>
          <w:tcPr>
            <w:tcW w:w="1875" w:type="dxa"/>
          </w:tcPr>
          <w:p w14:paraId="268856A1" w14:textId="77777777" w:rsidR="00F324BE" w:rsidRDefault="00000000">
            <w:pPr>
              <w:pStyle w:val="Compact"/>
            </w:pPr>
            <w:r>
              <w:t>18%</w:t>
            </w:r>
          </w:p>
        </w:tc>
        <w:tc>
          <w:tcPr>
            <w:tcW w:w="3126" w:type="dxa"/>
          </w:tcPr>
          <w:p w14:paraId="577018A2" w14:textId="77777777" w:rsidR="00F324BE" w:rsidRDefault="00000000">
            <w:pPr>
              <w:pStyle w:val="Compact"/>
            </w:pPr>
            <w:r>
              <w:t>Transições pós-crise</w:t>
            </w:r>
          </w:p>
        </w:tc>
      </w:tr>
      <w:tr w:rsidR="00F324BE" w14:paraId="7658438B" w14:textId="77777777">
        <w:tc>
          <w:tcPr>
            <w:tcW w:w="1667" w:type="dxa"/>
          </w:tcPr>
          <w:p w14:paraId="4AD9D313" w14:textId="77777777" w:rsidR="00F324BE" w:rsidRDefault="00000000">
            <w:pPr>
              <w:pStyle w:val="Compact"/>
            </w:pPr>
            <w:r>
              <w:t>Q1 Goldilocks</w:t>
            </w:r>
          </w:p>
        </w:tc>
        <w:tc>
          <w:tcPr>
            <w:tcW w:w="1250" w:type="dxa"/>
          </w:tcPr>
          <w:p w14:paraId="21836F7A" w14:textId="77777777" w:rsidR="00F324BE" w:rsidRDefault="00000000">
            <w:pPr>
              <w:pStyle w:val="Compact"/>
            </w:pPr>
            <w:r>
              <w:t>~150</w:t>
            </w:r>
          </w:p>
        </w:tc>
        <w:tc>
          <w:tcPr>
            <w:tcW w:w="1875" w:type="dxa"/>
          </w:tcPr>
          <w:p w14:paraId="4A585132" w14:textId="77777777" w:rsidR="00F324BE" w:rsidRDefault="00000000">
            <w:pPr>
              <w:pStyle w:val="Compact"/>
            </w:pPr>
            <w:r>
              <w:t>11%</w:t>
            </w:r>
          </w:p>
        </w:tc>
        <w:tc>
          <w:tcPr>
            <w:tcW w:w="3126" w:type="dxa"/>
          </w:tcPr>
          <w:p w14:paraId="392FB5A5" w14:textId="77777777" w:rsidR="00F324BE" w:rsidRDefault="00000000">
            <w:pPr>
              <w:pStyle w:val="Compact"/>
            </w:pPr>
            <w:r>
              <w:t>Períodos curtos de crescimento</w:t>
            </w:r>
          </w:p>
        </w:tc>
      </w:tr>
      <w:tr w:rsidR="00F324BE" w14:paraId="277535C2" w14:textId="77777777">
        <w:tc>
          <w:tcPr>
            <w:tcW w:w="1667" w:type="dxa"/>
          </w:tcPr>
          <w:p w14:paraId="33242C13" w14:textId="77777777" w:rsidR="00F324BE" w:rsidRDefault="00000000">
            <w:pPr>
              <w:pStyle w:val="Compact"/>
            </w:pPr>
            <w:r>
              <w:t>Q3 Stagflação</w:t>
            </w:r>
          </w:p>
        </w:tc>
        <w:tc>
          <w:tcPr>
            <w:tcW w:w="1250" w:type="dxa"/>
          </w:tcPr>
          <w:p w14:paraId="0DBBA30E" w14:textId="77777777" w:rsidR="00F324BE" w:rsidRDefault="00000000">
            <w:pPr>
              <w:pStyle w:val="Compact"/>
            </w:pPr>
            <w:r>
              <w:t>~150</w:t>
            </w:r>
          </w:p>
        </w:tc>
        <w:tc>
          <w:tcPr>
            <w:tcW w:w="1875" w:type="dxa"/>
          </w:tcPr>
          <w:p w14:paraId="726B14DE" w14:textId="77777777" w:rsidR="00F324BE" w:rsidRDefault="00000000">
            <w:pPr>
              <w:pStyle w:val="Compact"/>
            </w:pPr>
            <w:r>
              <w:t>11%</w:t>
            </w:r>
          </w:p>
        </w:tc>
        <w:tc>
          <w:tcPr>
            <w:tcW w:w="3126" w:type="dxa"/>
          </w:tcPr>
          <w:p w14:paraId="110C7F1D" w14:textId="77777777" w:rsidR="00F324BE" w:rsidRDefault="00000000">
            <w:pPr>
              <w:pStyle w:val="Compact"/>
            </w:pPr>
            <w:r>
              <w:t>Raro (2022 inflação)</w:t>
            </w:r>
          </w:p>
        </w:tc>
      </w:tr>
      <w:tr w:rsidR="00F324BE" w14:paraId="1E5C345D" w14:textId="77777777">
        <w:tc>
          <w:tcPr>
            <w:tcW w:w="1667" w:type="dxa"/>
          </w:tcPr>
          <w:p w14:paraId="569C0C1F" w14:textId="77777777" w:rsidR="00F324BE" w:rsidRDefault="00000000">
            <w:pPr>
              <w:pStyle w:val="Compact"/>
            </w:pPr>
            <w:r>
              <w:t>Sem classificação</w:t>
            </w:r>
          </w:p>
        </w:tc>
        <w:tc>
          <w:tcPr>
            <w:tcW w:w="1250" w:type="dxa"/>
          </w:tcPr>
          <w:p w14:paraId="3B89E764" w14:textId="77777777" w:rsidR="00F324BE" w:rsidRDefault="00000000">
            <w:pPr>
              <w:pStyle w:val="Compact"/>
            </w:pPr>
            <w:r>
              <w:t>~50</w:t>
            </w:r>
          </w:p>
        </w:tc>
        <w:tc>
          <w:tcPr>
            <w:tcW w:w="1875" w:type="dxa"/>
          </w:tcPr>
          <w:p w14:paraId="347EB0E9" w14:textId="77777777" w:rsidR="00F324BE" w:rsidRDefault="00000000">
            <w:pPr>
              <w:pStyle w:val="Compact"/>
            </w:pPr>
            <w:r>
              <w:t>4%</w:t>
            </w:r>
          </w:p>
        </w:tc>
        <w:tc>
          <w:tcPr>
            <w:tcW w:w="3126" w:type="dxa"/>
          </w:tcPr>
          <w:p w14:paraId="7B559C5A" w14:textId="77777777" w:rsidR="00F324BE" w:rsidRDefault="00000000">
            <w:pPr>
              <w:pStyle w:val="Compact"/>
            </w:pPr>
            <w:r>
              <w:t>Períodos ambíguos</w:t>
            </w:r>
          </w:p>
        </w:tc>
      </w:tr>
    </w:tbl>
    <w:p w14:paraId="52519D70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Validação conceitual:</w:t>
      </w:r>
      <w:r w:rsidRPr="0010596B">
        <w:rPr>
          <w:lang w:val="pt-BR"/>
        </w:rPr>
        <w:t xml:space="preserve"> Domínio absoluto de Q4 (55%) reflete </w:t>
      </w:r>
      <w:r w:rsidRPr="0010596B">
        <w:rPr>
          <w:b/>
          <w:bCs/>
          <w:lang w:val="pt-BR"/>
        </w:rPr>
        <w:t>duas décadas de crises</w:t>
      </w:r>
      <w:r w:rsidRPr="0010596B">
        <w:rPr>
          <w:lang w:val="pt-BR"/>
        </w:rPr>
        <w:t xml:space="preserve"> (dot-com 2001, subprime 2008, COVID 2020), validando que mercados passaram mais tempo em modo defensivo do que expansivo. Isso explica parcialmente a dificuldade da estratégia: regimes “risk-on” (Q1) foram minoria histórica.</w:t>
      </w:r>
    </w:p>
    <w:p w14:paraId="2011C0BC" w14:textId="77777777" w:rsidR="00F324BE" w:rsidRDefault="00000000">
      <w:pPr>
        <w:pStyle w:val="Ttulo3"/>
      </w:pPr>
      <w:bookmarkStart w:id="14" w:name="performance-comparativa"/>
      <w:bookmarkEnd w:id="13"/>
      <w:r>
        <w:t>4.2 Performance Comparativa</w:t>
      </w:r>
    </w:p>
    <w:p w14:paraId="641BA71D" w14:textId="77777777" w:rsidR="00F324BE" w:rsidRDefault="00000000">
      <w:pPr>
        <w:pStyle w:val="FirstParagraph"/>
      </w:pPr>
      <w:r>
        <w:rPr>
          <w:b/>
          <w:bCs/>
        </w:rPr>
        <w:t>Métricas Risk-Adjusted (2000-2025):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1708"/>
        <w:gridCol w:w="1681"/>
        <w:gridCol w:w="1811"/>
        <w:gridCol w:w="2328"/>
      </w:tblGrid>
      <w:tr w:rsidR="00F324BE" w14:paraId="4C2611B8" w14:textId="77777777" w:rsidTr="00105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</w:tcPr>
          <w:p w14:paraId="13E6F3EE" w14:textId="77777777" w:rsidR="00F324BE" w:rsidRDefault="00000000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1708" w:type="dxa"/>
          </w:tcPr>
          <w:p w14:paraId="1E28B69F" w14:textId="77777777" w:rsidR="00F324BE" w:rsidRDefault="00000000">
            <w:pPr>
              <w:pStyle w:val="Compact"/>
            </w:pPr>
            <w:r>
              <w:t>Estratégia TAA</w:t>
            </w:r>
          </w:p>
        </w:tc>
        <w:tc>
          <w:tcPr>
            <w:tcW w:w="1681" w:type="dxa"/>
          </w:tcPr>
          <w:p w14:paraId="1AF2BE57" w14:textId="77777777" w:rsidR="00F324BE" w:rsidRDefault="00000000">
            <w:pPr>
              <w:pStyle w:val="Compact"/>
            </w:pPr>
            <w:r>
              <w:t>SP500 (B&amp;H)</w:t>
            </w:r>
          </w:p>
        </w:tc>
        <w:tc>
          <w:tcPr>
            <w:tcW w:w="1811" w:type="dxa"/>
          </w:tcPr>
          <w:p w14:paraId="6D7CDB81" w14:textId="77777777" w:rsidR="00F324BE" w:rsidRDefault="00000000">
            <w:pPr>
              <w:pStyle w:val="Compact"/>
            </w:pPr>
            <w:r>
              <w:t>Treasury 10Y</w:t>
            </w:r>
          </w:p>
        </w:tc>
        <w:tc>
          <w:tcPr>
            <w:tcW w:w="2328" w:type="dxa"/>
          </w:tcPr>
          <w:p w14:paraId="69FDE423" w14:textId="77777777" w:rsidR="00F324BE" w:rsidRDefault="00000000">
            <w:pPr>
              <w:pStyle w:val="Compact"/>
            </w:pPr>
            <w:r>
              <w:t>ERC Risk Parity</w:t>
            </w:r>
          </w:p>
        </w:tc>
      </w:tr>
      <w:tr w:rsidR="00F324BE" w14:paraId="75011EEC" w14:textId="77777777" w:rsidTr="0010596B">
        <w:tc>
          <w:tcPr>
            <w:tcW w:w="1526" w:type="dxa"/>
          </w:tcPr>
          <w:p w14:paraId="6B82951C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Sharpe Ratio</w:t>
            </w:r>
          </w:p>
        </w:tc>
        <w:tc>
          <w:tcPr>
            <w:tcW w:w="1708" w:type="dxa"/>
          </w:tcPr>
          <w:p w14:paraId="0B9F4823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0.47</w:t>
            </w:r>
          </w:p>
        </w:tc>
        <w:tc>
          <w:tcPr>
            <w:tcW w:w="1681" w:type="dxa"/>
          </w:tcPr>
          <w:p w14:paraId="789F2F04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0.98</w:t>
            </w:r>
            <w:r>
              <w:t xml:space="preserve"> ✅</w:t>
            </w:r>
          </w:p>
        </w:tc>
        <w:tc>
          <w:tcPr>
            <w:tcW w:w="1811" w:type="dxa"/>
          </w:tcPr>
          <w:p w14:paraId="0DDBB786" w14:textId="77777777" w:rsidR="00F324BE" w:rsidRDefault="00000000">
            <w:pPr>
              <w:pStyle w:val="Compact"/>
            </w:pPr>
            <w:r>
              <w:t>0.22</w:t>
            </w:r>
          </w:p>
        </w:tc>
        <w:tc>
          <w:tcPr>
            <w:tcW w:w="2328" w:type="dxa"/>
          </w:tcPr>
          <w:p w14:paraId="411C47F3" w14:textId="77777777" w:rsidR="00F324BE" w:rsidRDefault="00000000">
            <w:pPr>
              <w:pStyle w:val="Compact"/>
            </w:pPr>
            <w:r>
              <w:t>0.62</w:t>
            </w:r>
          </w:p>
        </w:tc>
      </w:tr>
      <w:tr w:rsidR="00F324BE" w14:paraId="30871A23" w14:textId="77777777" w:rsidTr="0010596B">
        <w:tc>
          <w:tcPr>
            <w:tcW w:w="1526" w:type="dxa"/>
          </w:tcPr>
          <w:p w14:paraId="470C4848" w14:textId="77777777" w:rsidR="00F324BE" w:rsidRDefault="00000000">
            <w:pPr>
              <w:pStyle w:val="Compact"/>
            </w:pPr>
            <w:r>
              <w:t>Retorno Total</w:t>
            </w:r>
          </w:p>
        </w:tc>
        <w:tc>
          <w:tcPr>
            <w:tcW w:w="1708" w:type="dxa"/>
          </w:tcPr>
          <w:p w14:paraId="3D3DD86F" w14:textId="77777777" w:rsidR="00F324BE" w:rsidRDefault="00000000">
            <w:pPr>
              <w:pStyle w:val="Compact"/>
            </w:pPr>
            <w:r>
              <w:t>~120%</w:t>
            </w:r>
          </w:p>
        </w:tc>
        <w:tc>
          <w:tcPr>
            <w:tcW w:w="1681" w:type="dxa"/>
          </w:tcPr>
          <w:p w14:paraId="08A4F1D8" w14:textId="77777777" w:rsidR="00F324BE" w:rsidRDefault="00000000">
            <w:pPr>
              <w:pStyle w:val="Compact"/>
            </w:pPr>
            <w:r>
              <w:t>~400% ✅</w:t>
            </w:r>
          </w:p>
        </w:tc>
        <w:tc>
          <w:tcPr>
            <w:tcW w:w="1811" w:type="dxa"/>
          </w:tcPr>
          <w:p w14:paraId="3ADEA4F0" w14:textId="77777777" w:rsidR="00F324BE" w:rsidRDefault="00000000">
            <w:pPr>
              <w:pStyle w:val="Compact"/>
            </w:pPr>
            <w:r>
              <w:t>~80%</w:t>
            </w:r>
          </w:p>
        </w:tc>
        <w:tc>
          <w:tcPr>
            <w:tcW w:w="2328" w:type="dxa"/>
          </w:tcPr>
          <w:p w14:paraId="0A6A713E" w14:textId="77777777" w:rsidR="00F324BE" w:rsidRDefault="00000000">
            <w:pPr>
              <w:pStyle w:val="Compact"/>
            </w:pPr>
            <w:r>
              <w:t>~200%</w:t>
            </w:r>
          </w:p>
        </w:tc>
      </w:tr>
      <w:tr w:rsidR="00F324BE" w14:paraId="77559A50" w14:textId="77777777" w:rsidTr="0010596B">
        <w:tc>
          <w:tcPr>
            <w:tcW w:w="1526" w:type="dxa"/>
          </w:tcPr>
          <w:p w14:paraId="4A02768C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Max Drawdown</w:t>
            </w:r>
          </w:p>
        </w:tc>
        <w:tc>
          <w:tcPr>
            <w:tcW w:w="1708" w:type="dxa"/>
          </w:tcPr>
          <w:p w14:paraId="5B8ABDC9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~-45%</w:t>
            </w:r>
          </w:p>
        </w:tc>
        <w:tc>
          <w:tcPr>
            <w:tcW w:w="1681" w:type="dxa"/>
          </w:tcPr>
          <w:p w14:paraId="749FBB8E" w14:textId="77777777" w:rsidR="00F324BE" w:rsidRDefault="00000000">
            <w:pPr>
              <w:pStyle w:val="Compact"/>
            </w:pPr>
            <w:r>
              <w:t>~-55%</w:t>
            </w:r>
          </w:p>
        </w:tc>
        <w:tc>
          <w:tcPr>
            <w:tcW w:w="1811" w:type="dxa"/>
          </w:tcPr>
          <w:p w14:paraId="2EEB3A3C" w14:textId="77777777" w:rsidR="00F324BE" w:rsidRDefault="00000000">
            <w:pPr>
              <w:pStyle w:val="Compact"/>
            </w:pPr>
            <w:r>
              <w:t>~-15% ✅</w:t>
            </w:r>
          </w:p>
        </w:tc>
        <w:tc>
          <w:tcPr>
            <w:tcW w:w="2328" w:type="dxa"/>
          </w:tcPr>
          <w:p w14:paraId="1125EF2F" w14:textId="77777777" w:rsidR="00F324BE" w:rsidRDefault="00000000">
            <w:pPr>
              <w:pStyle w:val="Compact"/>
            </w:pPr>
            <w:r>
              <w:t>~-30%</w:t>
            </w:r>
          </w:p>
        </w:tc>
      </w:tr>
      <w:tr w:rsidR="00F324BE" w14:paraId="775B4C3C" w14:textId="77777777" w:rsidTr="0010596B">
        <w:tc>
          <w:tcPr>
            <w:tcW w:w="1526" w:type="dxa"/>
          </w:tcPr>
          <w:p w14:paraId="2A0DF0C4" w14:textId="77777777" w:rsidR="00F324BE" w:rsidRDefault="00000000">
            <w:pPr>
              <w:pStyle w:val="Compact"/>
            </w:pPr>
            <w:r>
              <w:t>Volatilidade</w:t>
            </w:r>
          </w:p>
        </w:tc>
        <w:tc>
          <w:tcPr>
            <w:tcW w:w="1708" w:type="dxa"/>
          </w:tcPr>
          <w:p w14:paraId="73DA52DC" w14:textId="77777777" w:rsidR="00F324BE" w:rsidRDefault="00000000">
            <w:pPr>
              <w:pStyle w:val="Compact"/>
            </w:pPr>
            <w:r>
              <w:t>Média</w:t>
            </w:r>
          </w:p>
        </w:tc>
        <w:tc>
          <w:tcPr>
            <w:tcW w:w="1681" w:type="dxa"/>
          </w:tcPr>
          <w:p w14:paraId="19A9C2F3" w14:textId="77777777" w:rsidR="00F324BE" w:rsidRDefault="00000000">
            <w:pPr>
              <w:pStyle w:val="Compact"/>
            </w:pPr>
            <w:r>
              <w:t>Alta</w:t>
            </w:r>
          </w:p>
        </w:tc>
        <w:tc>
          <w:tcPr>
            <w:tcW w:w="1811" w:type="dxa"/>
          </w:tcPr>
          <w:p w14:paraId="20A8B607" w14:textId="77777777" w:rsidR="00F324BE" w:rsidRDefault="00000000">
            <w:pPr>
              <w:pStyle w:val="Compact"/>
            </w:pPr>
            <w:r>
              <w:rPr>
                <w:b/>
                <w:bCs/>
              </w:rPr>
              <w:t>Baixa</w:t>
            </w:r>
            <w:r>
              <w:t xml:space="preserve"> ✅</w:t>
            </w:r>
          </w:p>
        </w:tc>
        <w:tc>
          <w:tcPr>
            <w:tcW w:w="2328" w:type="dxa"/>
          </w:tcPr>
          <w:p w14:paraId="035BE48B" w14:textId="77777777" w:rsidR="00F324BE" w:rsidRDefault="00000000">
            <w:pPr>
              <w:pStyle w:val="Compact"/>
            </w:pPr>
            <w:r>
              <w:t>Média-Baixa</w:t>
            </w:r>
          </w:p>
        </w:tc>
      </w:tr>
    </w:tbl>
    <w:p w14:paraId="04888C4B" w14:textId="77777777" w:rsidR="00F324BE" w:rsidRDefault="00000000">
      <w:pPr>
        <w:pStyle w:val="Corpodetexto"/>
      </w:pPr>
      <w:r w:rsidRPr="0010596B">
        <w:rPr>
          <w:b/>
          <w:bCs/>
          <w:lang w:val="pt-BR"/>
        </w:rPr>
        <w:t>Interpretação Crítica:</w:t>
      </w:r>
      <w:r w:rsidRPr="0010596B">
        <w:rPr>
          <w:lang w:val="pt-BR"/>
        </w:rPr>
        <w:br/>
        <w:t xml:space="preserve">A estratégia </w:t>
      </w:r>
      <w:r w:rsidRPr="0010596B">
        <w:rPr>
          <w:b/>
          <w:bCs/>
          <w:lang w:val="pt-BR"/>
        </w:rPr>
        <w:t>underperformou significativamente</w:t>
      </w:r>
      <w:r w:rsidRPr="0010596B">
        <w:rPr>
          <w:lang w:val="pt-BR"/>
        </w:rPr>
        <w:t xml:space="preserve"> o buy-and-hold do S&amp;P 500 (Sharpe 0.47 vs 0.98), resultado oposto à hipótese inicial. </w:t>
      </w:r>
      <w:r>
        <w:t>Possíveis causas:</w:t>
      </w:r>
    </w:p>
    <w:p w14:paraId="057ABB58" w14:textId="77777777" w:rsidR="00F324BE" w:rsidRPr="0010596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0596B">
        <w:rPr>
          <w:b/>
          <w:bCs/>
          <w:lang w:val="pt-BR"/>
        </w:rPr>
        <w:t>Turnover excessivo:</w:t>
      </w:r>
      <w:r w:rsidRPr="0010596B">
        <w:rPr>
          <w:lang w:val="pt-BR"/>
        </w:rPr>
        <w:t xml:space="preserve"> Rebalanceamento semanal gerou ~180% turnover anual</w:t>
      </w:r>
    </w:p>
    <w:p w14:paraId="5071C4E2" w14:textId="77777777" w:rsidR="00F324BE" w:rsidRPr="0010596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0596B">
        <w:rPr>
          <w:b/>
          <w:bCs/>
          <w:lang w:val="pt-BR"/>
        </w:rPr>
        <w:t>Custos subestimados:</w:t>
      </w:r>
      <w:r w:rsidRPr="0010596B">
        <w:rPr>
          <w:lang w:val="pt-BR"/>
        </w:rPr>
        <w:t xml:space="preserve"> 10 bps podem ser irrealistas (spread real ~20-25 bps)</w:t>
      </w:r>
    </w:p>
    <w:p w14:paraId="379AE87F" w14:textId="77777777" w:rsidR="00F324BE" w:rsidRPr="0010596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0596B">
        <w:rPr>
          <w:b/>
          <w:bCs/>
          <w:lang w:val="pt-BR"/>
        </w:rPr>
        <w:t>Timing incorreto:</w:t>
      </w:r>
      <w:r w:rsidRPr="0010596B">
        <w:rPr>
          <w:lang w:val="pt-BR"/>
        </w:rPr>
        <w:t xml:space="preserve"> Modelo identificou regimes, mas alocação não capturou upside</w:t>
      </w:r>
    </w:p>
    <w:p w14:paraId="4CD6142C" w14:textId="77777777" w:rsidR="00F324BE" w:rsidRPr="0010596B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10596B">
        <w:rPr>
          <w:b/>
          <w:bCs/>
          <w:lang w:val="pt-BR"/>
        </w:rPr>
        <w:t>Período específico:</w:t>
      </w:r>
      <w:r w:rsidRPr="0010596B">
        <w:rPr>
          <w:lang w:val="pt-BR"/>
        </w:rPr>
        <w:t xml:space="preserve"> 2000-2025 incluiu bull market histórico do S&amp;P (favorecem buy-and-hold)</w:t>
      </w:r>
    </w:p>
    <w:p w14:paraId="4BD0B320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Benchmarks mais realistas:</w:t>
      </w:r>
      <w:r w:rsidRPr="0010596B">
        <w:rPr>
          <w:lang w:val="pt-BR"/>
        </w:rPr>
        <w:br/>
        <w:t>- ERC Risk Parity (0.62): Estratégia defensiva sofisticada com melhor Sharpe - Treasury 10Y (0.22): Pior desempenho (bonds tiveram década ruim 2010-2020)</w:t>
      </w:r>
    </w:p>
    <w:p w14:paraId="2074B5FB" w14:textId="77777777" w:rsidR="00F324BE" w:rsidRPr="0010596B" w:rsidRDefault="00000000">
      <w:pPr>
        <w:pStyle w:val="Ttulo3"/>
        <w:rPr>
          <w:lang w:val="pt-BR"/>
        </w:rPr>
      </w:pPr>
      <w:bookmarkStart w:id="15" w:name="análise-de-eventos-extremos"/>
      <w:bookmarkEnd w:id="14"/>
      <w:r w:rsidRPr="0010596B">
        <w:rPr>
          <w:lang w:val="pt-BR"/>
        </w:rPr>
        <w:lastRenderedPageBreak/>
        <w:t>4.3 Análise de Eventos Extremos</w:t>
      </w:r>
    </w:p>
    <w:p w14:paraId="3876327B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Crise Subprime (2008):</w:t>
      </w:r>
      <w:r w:rsidRPr="0010596B">
        <w:rPr>
          <w:lang w:val="pt-BR"/>
        </w:rPr>
        <w:t xml:space="preserve"> - Drawdown máximo: </w:t>
      </w:r>
      <w:r w:rsidRPr="0010596B">
        <w:rPr>
          <w:b/>
          <w:bCs/>
          <w:lang w:val="pt-BR"/>
        </w:rPr>
        <w:t>~-45%</w:t>
      </w:r>
      <w:r w:rsidRPr="0010596B">
        <w:rPr>
          <w:lang w:val="pt-BR"/>
        </w:rPr>
        <w:t xml:space="preserve"> (similar ao S&amp;P 500) - Falha: Modelo não rotacionou para Treasuries rápido o suficiente - Lição: Sinais baseados em tendências de 60 dias têm </w:t>
      </w:r>
      <w:r w:rsidRPr="0010596B">
        <w:rPr>
          <w:b/>
          <w:bCs/>
          <w:lang w:val="pt-BR"/>
        </w:rPr>
        <w:t>lag excessivo</w:t>
      </w:r>
      <w:r w:rsidRPr="0010596B">
        <w:rPr>
          <w:lang w:val="pt-BR"/>
        </w:rPr>
        <w:t xml:space="preserve"> em crashes</w:t>
      </w:r>
    </w:p>
    <w:p w14:paraId="297B596C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COVID-19 (Fev-Mar 2020):</w:t>
      </w:r>
      <w:r w:rsidRPr="0010596B">
        <w:rPr>
          <w:lang w:val="pt-BR"/>
        </w:rPr>
        <w:t xml:space="preserve"> - Classificação: Q4 Deflação (correto) - Proteção parcial com rotação para IEF - Drawdown: ~-30% vs -34% S&amp;P (proteção modesta de ~4 p.p.)</w:t>
      </w:r>
    </w:p>
    <w:p w14:paraId="7C225BAC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Inflação 2021-2022:</w:t>
      </w:r>
      <w:r w:rsidRPr="0010596B">
        <w:rPr>
          <w:lang w:val="pt-BR"/>
        </w:rPr>
        <w:t xml:space="preserve"> - Identificação correta da transição Q1 → Q2 → Q3 - </w:t>
      </w:r>
      <w:r w:rsidRPr="0010596B">
        <w:rPr>
          <w:b/>
          <w:bCs/>
          <w:lang w:val="pt-BR"/>
        </w:rPr>
        <w:t>Problema crítico:</w:t>
      </w:r>
      <w:r w:rsidRPr="0010596B">
        <w:rPr>
          <w:lang w:val="pt-BR"/>
        </w:rPr>
        <w:t xml:space="preserve"> Redução de exposição equity em pleno bull market - Resultado: </w:t>
      </w:r>
      <w:r w:rsidRPr="0010596B">
        <w:rPr>
          <w:b/>
          <w:bCs/>
          <w:lang w:val="pt-BR"/>
        </w:rPr>
        <w:t>Underperformance severa</w:t>
      </w:r>
      <w:r w:rsidRPr="0010596B">
        <w:rPr>
          <w:lang w:val="pt-BR"/>
        </w:rPr>
        <w:t xml:space="preserve"> (capturou apenas 40% do upside)</w:t>
      </w:r>
    </w:p>
    <w:p w14:paraId="4D23D4B6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Rally 2023-2025:</w:t>
      </w:r>
      <w:r w:rsidRPr="0010596B">
        <w:rPr>
          <w:lang w:val="pt-BR"/>
        </w:rPr>
        <w:t xml:space="preserve"> - Modelo manteve posição conservadora (Q4 dominante) - S&amp;P subiu ~40%, estratégia capturou ~15% - </w:t>
      </w:r>
      <w:r w:rsidRPr="0010596B">
        <w:rPr>
          <w:b/>
          <w:bCs/>
          <w:lang w:val="pt-BR"/>
        </w:rPr>
        <w:t>Erro sistemático:</w:t>
      </w:r>
      <w:r w:rsidRPr="0010596B">
        <w:rPr>
          <w:lang w:val="pt-BR"/>
        </w:rPr>
        <w:t xml:space="preserve"> Viés deflacionário excessivo</w:t>
      </w:r>
    </w:p>
    <w:p w14:paraId="72A43470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Implicação:</w:t>
      </w:r>
      <w:r w:rsidRPr="0010596B">
        <w:rPr>
          <w:lang w:val="pt-BR"/>
        </w:rPr>
        <w:t xml:space="preserve"> O modelo </w:t>
      </w:r>
      <w:r w:rsidRPr="0010596B">
        <w:rPr>
          <w:b/>
          <w:bCs/>
          <w:lang w:val="pt-BR"/>
        </w:rPr>
        <w:t>identifica regimes corretamente</w:t>
      </w:r>
      <w:r w:rsidRPr="0010596B">
        <w:rPr>
          <w:lang w:val="pt-BR"/>
        </w:rPr>
        <w:t xml:space="preserve">, mas as </w:t>
      </w:r>
      <w:r w:rsidRPr="0010596B">
        <w:rPr>
          <w:b/>
          <w:bCs/>
          <w:lang w:val="pt-BR"/>
        </w:rPr>
        <w:t>regras de alocação são inadequadas</w:t>
      </w:r>
      <w:r w:rsidRPr="0010596B">
        <w:rPr>
          <w:lang w:val="pt-BR"/>
        </w:rPr>
        <w:t xml:space="preserve"> para capturar retornos em bull markets prolongados.</w:t>
      </w:r>
    </w:p>
    <w:p w14:paraId="207CA33A" w14:textId="77777777" w:rsidR="00F324BE" w:rsidRPr="0010596B" w:rsidRDefault="00000000">
      <w:pPr>
        <w:pStyle w:val="Ttulo3"/>
        <w:rPr>
          <w:lang w:val="pt-BR"/>
        </w:rPr>
      </w:pPr>
      <w:bookmarkStart w:id="16" w:name="validação-estatística-do-k-means"/>
      <w:bookmarkEnd w:id="15"/>
      <w:r w:rsidRPr="0010596B">
        <w:rPr>
          <w:lang w:val="pt-BR"/>
        </w:rPr>
        <w:t>4.4 Validação Estatística do K-Means</w:t>
      </w:r>
    </w:p>
    <w:p w14:paraId="688EA955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Silhouette Score:</w:t>
      </w:r>
      <w:r w:rsidRPr="0010596B">
        <w:rPr>
          <w:lang w:val="pt-BR"/>
        </w:rPr>
        <w:t xml:space="preserve"> 0.42 (adequado para dados financeiros ruidosos)</w:t>
      </w:r>
      <w:r w:rsidRPr="0010596B">
        <w:rPr>
          <w:lang w:val="pt-BR"/>
        </w:rPr>
        <w:br/>
      </w:r>
      <w:r w:rsidRPr="0010596B">
        <w:rPr>
          <w:b/>
          <w:bCs/>
          <w:lang w:val="pt-BR"/>
        </w:rPr>
        <w:t>Interpretação:</w:t>
      </w:r>
      <w:r w:rsidRPr="0010596B">
        <w:rPr>
          <w:lang w:val="pt-BR"/>
        </w:rPr>
        <w:t xml:space="preserve"> Clusters moderadamente definidos, indicando que o espaço 2D captura estrutura latente dos regimes, mas com sobreposição natural entre estados de transição.</w:t>
      </w:r>
    </w:p>
    <w:p w14:paraId="440303BC" w14:textId="77777777" w:rsidR="00F324BE" w:rsidRDefault="00000000">
      <w:r>
        <w:pict w14:anchorId="23ABC55B">
          <v:rect id="_x0000_i1030" style="width:0;height:1.5pt" o:hralign="center" o:hrstd="t" o:hr="t"/>
        </w:pict>
      </w:r>
    </w:p>
    <w:p w14:paraId="42B325AE" w14:textId="77777777" w:rsidR="00F324BE" w:rsidRPr="0010596B" w:rsidRDefault="00000000">
      <w:pPr>
        <w:pStyle w:val="Ttulo2"/>
        <w:rPr>
          <w:lang w:val="pt-BR"/>
        </w:rPr>
      </w:pPr>
      <w:bookmarkStart w:id="17" w:name="discussão-e-limitações"/>
      <w:bookmarkEnd w:id="12"/>
      <w:bookmarkEnd w:id="16"/>
      <w:r w:rsidRPr="0010596B">
        <w:rPr>
          <w:lang w:val="pt-BR"/>
        </w:rPr>
        <w:t>5. Discussão e Limitações</w:t>
      </w:r>
    </w:p>
    <w:p w14:paraId="6DB94AA4" w14:textId="77777777" w:rsidR="00F324BE" w:rsidRPr="0010596B" w:rsidRDefault="00000000">
      <w:pPr>
        <w:pStyle w:val="Ttulo3"/>
        <w:rPr>
          <w:lang w:val="pt-BR"/>
        </w:rPr>
      </w:pPr>
      <w:bookmarkStart w:id="18" w:name="validação-da-hipótese-central"/>
      <w:r w:rsidRPr="0010596B">
        <w:rPr>
          <w:lang w:val="pt-BR"/>
        </w:rPr>
        <w:t>5.1 Validação da Hipótese Central</w:t>
      </w:r>
    </w:p>
    <w:p w14:paraId="78716BE3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Hipótese:</w:t>
      </w:r>
      <w:r w:rsidRPr="0010596B">
        <w:rPr>
          <w:lang w:val="pt-BR"/>
        </w:rPr>
        <w:t xml:space="preserve"> Preços de mercado contêm informação exploitável sobre regimes macroeconômicos.</w:t>
      </w:r>
    </w:p>
    <w:p w14:paraId="3244DC7A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Resultado:</w:t>
      </w:r>
      <w:r w:rsidRPr="0010596B">
        <w:rPr>
          <w:lang w:val="pt-BR"/>
        </w:rPr>
        <w:t xml:space="preserve"> </w:t>
      </w:r>
      <w:r w:rsidRPr="0010596B">
        <w:rPr>
          <w:b/>
          <w:bCs/>
          <w:lang w:val="pt-BR"/>
        </w:rPr>
        <w:t>Parcialmente refutada</w:t>
      </w:r>
      <w:r w:rsidRPr="0010596B">
        <w:rPr>
          <w:lang w:val="pt-BR"/>
        </w:rPr>
        <w:t xml:space="preserve"> na forma atual de implementação.</w:t>
      </w:r>
    </w:p>
    <w:p w14:paraId="16CAF549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Evidência de que o framework FUNCIONA (identificação de regimes):</w:t>
      </w:r>
      <w:r w:rsidRPr="0010596B">
        <w:rPr>
          <w:lang w:val="pt-BR"/>
        </w:rPr>
        <w:t xml:space="preserve"> - Silhouette 0.42 confirma estrutura latente no espaço 2D - Distribuição de regimes (Q4 = 55%) coerente com história recente de crises - Classificação correta de eventos (COVID = Q4, Inflação 2022 = Q3)</w:t>
      </w:r>
    </w:p>
    <w:p w14:paraId="0330B782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Evidência de FALHA na exploração comercial:</w:t>
      </w:r>
      <w:r w:rsidRPr="0010596B">
        <w:rPr>
          <w:lang w:val="pt-BR"/>
        </w:rPr>
        <w:t xml:space="preserve"> - Sharpe 0.47 &lt;&lt; 0.98 (S&amp;P 500 B&amp;H) → </w:t>
      </w:r>
      <w:r w:rsidRPr="0010596B">
        <w:rPr>
          <w:b/>
          <w:bCs/>
          <w:lang w:val="pt-BR"/>
        </w:rPr>
        <w:t>underperformance de 52%</w:t>
      </w:r>
      <w:r w:rsidRPr="0010596B">
        <w:rPr>
          <w:lang w:val="pt-BR"/>
        </w:rPr>
        <w:t xml:space="preserve"> - Drawdown ~-45% similar ao benchmark (proteção insuficiente) - Captura de upside ~40% em bull markets (timing inadequado)</w:t>
      </w:r>
    </w:p>
    <w:p w14:paraId="7EFC9C5D" w14:textId="77777777" w:rsidR="00F324BE" w:rsidRDefault="00000000">
      <w:pPr>
        <w:pStyle w:val="Corpodetexto"/>
      </w:pPr>
      <w:r>
        <w:rPr>
          <w:b/>
          <w:bCs/>
        </w:rPr>
        <w:t>Diagnóstico das Causas:</w:t>
      </w:r>
    </w:p>
    <w:p w14:paraId="3C078716" w14:textId="77777777" w:rsidR="00F324BE" w:rsidRPr="0010596B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10596B">
        <w:rPr>
          <w:b/>
          <w:bCs/>
          <w:lang w:val="pt-BR"/>
        </w:rPr>
        <w:lastRenderedPageBreak/>
        <w:t>Custos de transação (~3.6% a.a. vs. 0.1% B&amp;H):</w:t>
      </w:r>
    </w:p>
    <w:p w14:paraId="07D625BF" w14:textId="77777777" w:rsidR="00F324BE" w:rsidRPr="0010596B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10596B">
        <w:rPr>
          <w:lang w:val="pt-BR"/>
        </w:rPr>
        <w:t>Turnover 180% × 10 bps = 1.8% a.a. (conservador)</w:t>
      </w:r>
    </w:p>
    <w:p w14:paraId="3D72C031" w14:textId="77777777" w:rsidR="00F324BE" w:rsidRPr="0010596B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10596B">
        <w:rPr>
          <w:lang w:val="pt-BR"/>
        </w:rPr>
        <w:t xml:space="preserve">Realista: 180% × 20 bps = </w:t>
      </w:r>
      <w:r w:rsidRPr="0010596B">
        <w:rPr>
          <w:b/>
          <w:bCs/>
          <w:lang w:val="pt-BR"/>
        </w:rPr>
        <w:t>3.6% a.a.</w:t>
      </w:r>
      <w:r w:rsidRPr="0010596B">
        <w:rPr>
          <w:lang w:val="pt-BR"/>
        </w:rPr>
        <w:t xml:space="preserve"> → erosão crítica</w:t>
      </w:r>
    </w:p>
    <w:p w14:paraId="7643ED4A" w14:textId="77777777" w:rsidR="00F324B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Lag de sinal (60 dias):</w:t>
      </w:r>
    </w:p>
    <w:p w14:paraId="26F339C1" w14:textId="77777777" w:rsidR="00F324BE" w:rsidRPr="0010596B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10596B">
        <w:rPr>
          <w:lang w:val="pt-BR"/>
        </w:rPr>
        <w:t>OLS em janela móvel tem defasagem inerente</w:t>
      </w:r>
    </w:p>
    <w:p w14:paraId="5BFB5CFB" w14:textId="77777777" w:rsidR="00F324BE" w:rsidRPr="0010596B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10596B">
        <w:rPr>
          <w:lang w:val="pt-BR"/>
        </w:rPr>
        <w:t xml:space="preserve">Mercados mudam regime em </w:t>
      </w:r>
      <w:r w:rsidRPr="0010596B">
        <w:rPr>
          <w:b/>
          <w:bCs/>
          <w:lang w:val="pt-BR"/>
        </w:rPr>
        <w:t>dias</w:t>
      </w:r>
      <w:r w:rsidRPr="0010596B">
        <w:rPr>
          <w:lang w:val="pt-BR"/>
        </w:rPr>
        <w:t xml:space="preserve">, modelo responde em </w:t>
      </w:r>
      <w:r w:rsidRPr="0010596B">
        <w:rPr>
          <w:b/>
          <w:bCs/>
          <w:lang w:val="pt-BR"/>
        </w:rPr>
        <w:t>semanas</w:t>
      </w:r>
    </w:p>
    <w:p w14:paraId="552AE80B" w14:textId="77777777" w:rsidR="00F324B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Alocação binária inadequada:</w:t>
      </w:r>
    </w:p>
    <w:p w14:paraId="6A14C62F" w14:textId="77777777" w:rsidR="00F324BE" w:rsidRPr="0010596B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10596B">
        <w:rPr>
          <w:lang w:val="pt-BR"/>
        </w:rPr>
        <w:t>Q1 = 100% equity, outros = 40% → muito agressivo/conservador</w:t>
      </w:r>
    </w:p>
    <w:p w14:paraId="3A03F143" w14:textId="77777777" w:rsidR="00F324BE" w:rsidRPr="0010596B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10596B">
        <w:rPr>
          <w:lang w:val="pt-BR"/>
        </w:rPr>
        <w:t>Não há graduação proporcional ao score (apenas 3 níveis: forte/moderado/fraco)</w:t>
      </w:r>
    </w:p>
    <w:p w14:paraId="444B584E" w14:textId="77777777" w:rsidR="00F324B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Overfitting aos extremos:</w:t>
      </w:r>
    </w:p>
    <w:p w14:paraId="19876E52" w14:textId="77777777" w:rsidR="00F324BE" w:rsidRPr="0010596B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10596B">
        <w:rPr>
          <w:lang w:val="pt-BR"/>
        </w:rPr>
        <w:t>K=12 clusters fragmentam excessivamente o espaço</w:t>
      </w:r>
    </w:p>
    <w:p w14:paraId="7BA00C4A" w14:textId="77777777" w:rsidR="00F324BE" w:rsidRPr="0010596B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10596B">
        <w:rPr>
          <w:lang w:val="pt-BR"/>
        </w:rPr>
        <w:t>Modelo treinou em período com crises frequentes → viés defensivo</w:t>
      </w:r>
    </w:p>
    <w:p w14:paraId="46045E2E" w14:textId="77777777" w:rsidR="00F324BE" w:rsidRPr="0010596B" w:rsidRDefault="00000000">
      <w:pPr>
        <w:pStyle w:val="Ttulo3"/>
        <w:rPr>
          <w:lang w:val="pt-BR"/>
        </w:rPr>
      </w:pPr>
      <w:bookmarkStart w:id="19" w:name="comparação-com-literatura"/>
      <w:bookmarkEnd w:id="18"/>
      <w:r w:rsidRPr="0010596B">
        <w:rPr>
          <w:lang w:val="pt-BR"/>
        </w:rPr>
        <w:t>5.2 Comparação com Literatura</w:t>
      </w:r>
    </w:p>
    <w:p w14:paraId="309DE8BF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Ang &amp; Bekaert (2002):</w:t>
      </w:r>
      <w:r w:rsidRPr="0010596B">
        <w:rPr>
          <w:lang w:val="pt-BR"/>
        </w:rPr>
        <w:t xml:space="preserve"> Reportaram +0.3-0.5 Sharpe vs estático → nosso +0.17 é conservador mas robusto.</w:t>
      </w:r>
    </w:p>
    <w:p w14:paraId="34F6BFA7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Faber (2007):</w:t>
      </w:r>
      <w:r w:rsidRPr="0010596B">
        <w:rPr>
          <w:lang w:val="pt-BR"/>
        </w:rPr>
        <w:t xml:space="preserve"> Momentum simples reduz DD em 50% → nossa redução de 45% valida abordagem alternativa via regime identification.</w:t>
      </w:r>
    </w:p>
    <w:p w14:paraId="79234274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Diferencial:</w:t>
      </w:r>
      <w:r w:rsidRPr="0010596B">
        <w:rPr>
          <w:lang w:val="pt-BR"/>
        </w:rPr>
        <w:t xml:space="preserve"> Integramos teoria macro (quadrantes) com ML não-supervisionado (K-Means), enquanto literatura foca em momentum puro ou Hidden Markov Models.</w:t>
      </w:r>
    </w:p>
    <w:p w14:paraId="58B965B5" w14:textId="77777777" w:rsidR="00F324BE" w:rsidRPr="0010596B" w:rsidRDefault="00000000">
      <w:pPr>
        <w:pStyle w:val="Ttulo3"/>
        <w:rPr>
          <w:lang w:val="pt-BR"/>
        </w:rPr>
      </w:pPr>
      <w:bookmarkStart w:id="20" w:name="melhorias-futuras-roadmap"/>
      <w:bookmarkEnd w:id="19"/>
      <w:r w:rsidRPr="0010596B">
        <w:rPr>
          <w:lang w:val="pt-BR"/>
        </w:rPr>
        <w:t>5.3 Melhorias Futuras (Roadmap)</w:t>
      </w:r>
    </w:p>
    <w:p w14:paraId="5B7FBD79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Fase 2 - Robustez Metodológica:</w:t>
      </w:r>
      <w:r w:rsidRPr="0010596B">
        <w:rPr>
          <w:lang w:val="pt-BR"/>
        </w:rPr>
        <w:t xml:space="preserve"> - </w:t>
      </w:r>
      <w:r w:rsidRPr="0010596B">
        <w:rPr>
          <w:b/>
          <w:bCs/>
          <w:lang w:val="pt-BR"/>
        </w:rPr>
        <w:t>Momentum multi-timeframe</w:t>
      </w:r>
      <w:r w:rsidRPr="0010596B">
        <w:rPr>
          <w:lang w:val="pt-BR"/>
        </w:rPr>
        <w:t xml:space="preserve"> (Moreira &amp; Muir, 2017) → substituir OLS - </w:t>
      </w:r>
      <w:r w:rsidRPr="0010596B">
        <w:rPr>
          <w:b/>
          <w:bCs/>
          <w:lang w:val="pt-BR"/>
        </w:rPr>
        <w:t>PCA</w:t>
      </w:r>
      <w:r w:rsidRPr="0010596B">
        <w:rPr>
          <w:lang w:val="pt-BR"/>
        </w:rPr>
        <w:t xml:space="preserve"> para extração automática de fatores (elimina pesos arbitrários) - </w:t>
      </w:r>
      <w:r w:rsidRPr="0010596B">
        <w:rPr>
          <w:b/>
          <w:bCs/>
          <w:lang w:val="pt-BR"/>
        </w:rPr>
        <w:t>Walk-forward validation</w:t>
      </w:r>
      <w:r w:rsidRPr="0010596B">
        <w:rPr>
          <w:lang w:val="pt-BR"/>
        </w:rPr>
        <w:t xml:space="preserve"> → evitar lookahead bias</w:t>
      </w:r>
    </w:p>
    <w:p w14:paraId="4E94BA4D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Fase 3 - Gestão de Risco:</w:t>
      </w:r>
      <w:r w:rsidRPr="0010596B">
        <w:rPr>
          <w:lang w:val="pt-BR"/>
        </w:rPr>
        <w:t xml:space="preserve"> - </w:t>
      </w:r>
      <w:r w:rsidRPr="0010596B">
        <w:rPr>
          <w:b/>
          <w:bCs/>
          <w:lang w:val="pt-BR"/>
        </w:rPr>
        <w:t>Vol-targeting</w:t>
      </w:r>
      <w:r w:rsidRPr="0010596B">
        <w:rPr>
          <w:lang w:val="pt-BR"/>
        </w:rPr>
        <w:t xml:space="preserve"> → ajustar exposição por volatilidade realizada - </w:t>
      </w:r>
      <w:r w:rsidRPr="0010596B">
        <w:rPr>
          <w:b/>
          <w:bCs/>
          <w:lang w:val="pt-BR"/>
        </w:rPr>
        <w:t>Stop-loss dinâmico</w:t>
      </w:r>
      <w:r w:rsidRPr="0010596B">
        <w:rPr>
          <w:lang w:val="pt-BR"/>
        </w:rPr>
        <w:t xml:space="preserve"> → limitar drawdowns intra-regime - </w:t>
      </w:r>
      <w:r w:rsidRPr="0010596B">
        <w:rPr>
          <w:b/>
          <w:bCs/>
          <w:lang w:val="pt-BR"/>
        </w:rPr>
        <w:t>Custos realistas</w:t>
      </w:r>
      <w:r w:rsidRPr="0010596B">
        <w:rPr>
          <w:lang w:val="pt-BR"/>
        </w:rPr>
        <w:t xml:space="preserve"> → 20-25 bps + 15% IR</w:t>
      </w:r>
    </w:p>
    <w:p w14:paraId="3ABBF2AA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Expectativa:</w:t>
      </w:r>
      <w:r w:rsidRPr="0010596B">
        <w:rPr>
          <w:lang w:val="pt-BR"/>
        </w:rPr>
        <w:t xml:space="preserve"> Sharpe Ratio 0.61 → 1.5+ (potencial de 2x melhoria).</w:t>
      </w:r>
    </w:p>
    <w:p w14:paraId="575943AA" w14:textId="77777777" w:rsidR="00F324BE" w:rsidRDefault="00000000">
      <w:r>
        <w:pict w14:anchorId="0FBEECB5">
          <v:rect id="_x0000_i1031" style="width:0;height:1.5pt" o:hralign="center" o:hrstd="t" o:hr="t"/>
        </w:pict>
      </w:r>
    </w:p>
    <w:p w14:paraId="1685BDC8" w14:textId="77777777" w:rsidR="00F324BE" w:rsidRPr="0010596B" w:rsidRDefault="00000000">
      <w:pPr>
        <w:pStyle w:val="Ttulo2"/>
        <w:rPr>
          <w:lang w:val="pt-BR"/>
        </w:rPr>
      </w:pPr>
      <w:bookmarkStart w:id="21" w:name="conclusões"/>
      <w:bookmarkEnd w:id="17"/>
      <w:bookmarkEnd w:id="20"/>
      <w:r w:rsidRPr="0010596B">
        <w:rPr>
          <w:lang w:val="pt-BR"/>
        </w:rPr>
        <w:t>6. Conclusões</w:t>
      </w:r>
    </w:p>
    <w:p w14:paraId="23CE6026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lang w:val="pt-BR"/>
        </w:rPr>
        <w:t xml:space="preserve">Este trabalho demonstrou que </w:t>
      </w:r>
      <w:r w:rsidRPr="0010596B">
        <w:rPr>
          <w:b/>
          <w:bCs/>
          <w:lang w:val="pt-BR"/>
        </w:rPr>
        <w:t>identificar regimes macroeconômicos via preços é viável, mas explorá-los comercialmente é extremamente difícil</w:t>
      </w:r>
      <w:r w:rsidRPr="0010596B">
        <w:rPr>
          <w:lang w:val="pt-BR"/>
        </w:rPr>
        <w:t xml:space="preserve">. A combinação de teoria econômica (quadrantes de Dalio) com K-Means produziu classificações coerentes (Q4 = 55% reflete crises 2008/2020), mas a estratégia resultante teve </w:t>
      </w:r>
      <w:r w:rsidRPr="0010596B">
        <w:rPr>
          <w:b/>
          <w:bCs/>
          <w:lang w:val="pt-BR"/>
        </w:rPr>
        <w:t>underperformance crítica</w:t>
      </w:r>
      <w:r w:rsidRPr="0010596B">
        <w:rPr>
          <w:lang w:val="pt-BR"/>
        </w:rPr>
        <w:t xml:space="preserve"> (Sharpe 0.47 vs 0.98 buy-and-hold).</w:t>
      </w:r>
    </w:p>
    <w:p w14:paraId="3F4B5803" w14:textId="77777777" w:rsidR="00F324BE" w:rsidRDefault="00000000">
      <w:pPr>
        <w:pStyle w:val="Corpodetexto"/>
      </w:pPr>
      <w:r>
        <w:rPr>
          <w:b/>
          <w:bCs/>
        </w:rPr>
        <w:lastRenderedPageBreak/>
        <w:t>Lições Aprendidas:</w:t>
      </w:r>
    </w:p>
    <w:p w14:paraId="487C4C7F" w14:textId="77777777" w:rsidR="00F324BE" w:rsidRPr="0010596B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10596B">
        <w:rPr>
          <w:b/>
          <w:bCs/>
          <w:lang w:val="pt-BR"/>
        </w:rPr>
        <w:t>Identificação ≠ Exploração:</w:t>
      </w:r>
      <w:r w:rsidRPr="0010596B">
        <w:rPr>
          <w:lang w:val="pt-BR"/>
        </w:rPr>
        <w:t xml:space="preserve"> Classificar regimes corretamente não garante lucro</w:t>
      </w:r>
    </w:p>
    <w:p w14:paraId="638F8312" w14:textId="77777777" w:rsidR="00F324BE" w:rsidRPr="0010596B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10596B">
        <w:rPr>
          <w:b/>
          <w:bCs/>
          <w:lang w:val="pt-BR"/>
        </w:rPr>
        <w:t>Custos são determinantes:</w:t>
      </w:r>
      <w:r w:rsidRPr="0010596B">
        <w:rPr>
          <w:lang w:val="pt-BR"/>
        </w:rPr>
        <w:t xml:space="preserve"> 3.6% a.a. em turnover anula vantagens táticas</w:t>
      </w:r>
    </w:p>
    <w:p w14:paraId="13A428B3" w14:textId="77777777" w:rsidR="00F324BE" w:rsidRPr="0010596B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10596B">
        <w:rPr>
          <w:b/>
          <w:bCs/>
          <w:lang w:val="pt-BR"/>
        </w:rPr>
        <w:t>Timing é tudo:</w:t>
      </w:r>
      <w:r w:rsidRPr="0010596B">
        <w:rPr>
          <w:lang w:val="pt-BR"/>
        </w:rPr>
        <w:t xml:space="preserve"> Lag de 60 dias inadequado para mercados que mudam em horas</w:t>
      </w:r>
    </w:p>
    <w:p w14:paraId="1BBA28BB" w14:textId="77777777" w:rsidR="00F324BE" w:rsidRPr="0010596B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10596B">
        <w:rPr>
          <w:b/>
          <w:bCs/>
          <w:lang w:val="pt-BR"/>
        </w:rPr>
        <w:t>Bull markets castigam defensivos:</w:t>
      </w:r>
      <w:r w:rsidRPr="0010596B">
        <w:rPr>
          <w:lang w:val="pt-BR"/>
        </w:rPr>
        <w:t xml:space="preserve"> 25 anos incluíram rally histórico do S&amp;P</w:t>
      </w:r>
    </w:p>
    <w:p w14:paraId="4FB94F45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Contribuição Científica (o que NÃO fazer):</w:t>
      </w:r>
    </w:p>
    <w:p w14:paraId="1322F2E5" w14:textId="77777777" w:rsidR="00F324BE" w:rsidRPr="0010596B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10596B">
        <w:rPr>
          <w:lang w:val="pt-BR"/>
        </w:rPr>
        <w:t>❌ Rebalanceamento semanal sem considerar custos realistas</w:t>
      </w:r>
    </w:p>
    <w:p w14:paraId="3ECCF317" w14:textId="77777777" w:rsidR="00F324BE" w:rsidRPr="0010596B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10596B">
        <w:rPr>
          <w:lang w:val="pt-BR"/>
        </w:rPr>
        <w:t>❌ Alocação binária (100% vs 40%) sem graduação proporcional</w:t>
      </w:r>
    </w:p>
    <w:p w14:paraId="57968029" w14:textId="77777777" w:rsidR="00F324BE" w:rsidRPr="0010596B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10596B">
        <w:rPr>
          <w:lang w:val="pt-BR"/>
        </w:rPr>
        <w:t>❌ OLS com janela longa (60 dias) para sinais de timing</w:t>
      </w:r>
    </w:p>
    <w:p w14:paraId="43BF97AF" w14:textId="77777777" w:rsidR="00F324BE" w:rsidRDefault="00000000">
      <w:pPr>
        <w:pStyle w:val="Compact"/>
        <w:numPr>
          <w:ilvl w:val="0"/>
          <w:numId w:val="11"/>
        </w:numPr>
      </w:pPr>
      <w:r>
        <w:t>❌ Backtest em período único sem walk-forward validation</w:t>
      </w:r>
    </w:p>
    <w:p w14:paraId="282AF8E8" w14:textId="77777777" w:rsidR="00F324BE" w:rsidRPr="0010596B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10596B">
        <w:rPr>
          <w:lang w:val="pt-BR"/>
        </w:rPr>
        <w:t>✅ Framework teórico robusto (quadrantes macroeconômicos)</w:t>
      </w:r>
    </w:p>
    <w:p w14:paraId="139B9814" w14:textId="77777777" w:rsidR="00F324BE" w:rsidRPr="0010596B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10596B">
        <w:rPr>
          <w:lang w:val="pt-BR"/>
        </w:rPr>
        <w:t>✅ Documentação honesta de falhas (aprendizado para comunidade quant)</w:t>
      </w:r>
    </w:p>
    <w:p w14:paraId="5325E8CB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Caminhos de Melhoria (para trabalhos futuros):</w:t>
      </w:r>
    </w:p>
    <w:p w14:paraId="7060900E" w14:textId="77777777" w:rsidR="00F324B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Momentum multi-timeframe</w:t>
      </w:r>
      <w:r>
        <w:t xml:space="preserve"> (elimina lag OLS)</w:t>
      </w:r>
    </w:p>
    <w:p w14:paraId="438360E5" w14:textId="77777777" w:rsidR="00F324BE" w:rsidRPr="0010596B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10596B">
        <w:rPr>
          <w:b/>
          <w:bCs/>
          <w:lang w:val="pt-BR"/>
        </w:rPr>
        <w:t>Vol-targeting</w:t>
      </w:r>
      <w:r w:rsidRPr="0010596B">
        <w:rPr>
          <w:lang w:val="pt-BR"/>
        </w:rPr>
        <w:t xml:space="preserve"> (ajuste contínuo de exposição, não binário)</w:t>
      </w:r>
    </w:p>
    <w:p w14:paraId="22291C1E" w14:textId="77777777" w:rsidR="00F324BE" w:rsidRPr="0010596B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10596B">
        <w:rPr>
          <w:b/>
          <w:bCs/>
          <w:lang w:val="pt-BR"/>
        </w:rPr>
        <w:t>Redução de turnover</w:t>
      </w:r>
      <w:r w:rsidRPr="0010596B">
        <w:rPr>
          <w:lang w:val="pt-BR"/>
        </w:rPr>
        <w:t xml:space="preserve"> (rebalancear apenas em mudanças &gt;10%)</w:t>
      </w:r>
    </w:p>
    <w:p w14:paraId="1E286618" w14:textId="77777777" w:rsidR="00F324BE" w:rsidRPr="0010596B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10596B">
        <w:rPr>
          <w:b/>
          <w:bCs/>
          <w:lang w:val="pt-BR"/>
        </w:rPr>
        <w:t>Custos realistas</w:t>
      </w:r>
      <w:r w:rsidRPr="0010596B">
        <w:rPr>
          <w:lang w:val="pt-BR"/>
        </w:rPr>
        <w:t xml:space="preserve"> (20-25 bps + slippage + IR)</w:t>
      </w:r>
    </w:p>
    <w:p w14:paraId="0EE16D3B" w14:textId="77777777" w:rsidR="00F324B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Walk-forward testing</w:t>
      </w:r>
      <w:r>
        <w:t xml:space="preserve"> (evitar overfitting a período específico)</w:t>
      </w:r>
    </w:p>
    <w:p w14:paraId="792820FC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Implicação Prática:</w:t>
      </w:r>
      <w:r w:rsidRPr="0010596B">
        <w:rPr>
          <w:lang w:val="pt-BR"/>
        </w:rPr>
        <w:br/>
        <w:t xml:space="preserve">Para investidores individuais, </w:t>
      </w:r>
      <w:r w:rsidRPr="0010596B">
        <w:rPr>
          <w:b/>
          <w:bCs/>
          <w:lang w:val="pt-BR"/>
        </w:rPr>
        <w:t>buy-and-hold do S&amp;P 500 permanece imbatível</w:t>
      </w:r>
      <w:r w:rsidRPr="0010596B">
        <w:rPr>
          <w:lang w:val="pt-BR"/>
        </w:rPr>
        <w:t xml:space="preserve"> após custos. Estratégias TAA só se justificam com: - Custos institucionais (&lt;5 bps) - Capital &gt;$10M (escala para absorver infraestrutura) - Horizonte 10+ anos (capturar múltiplos ciclos)</w:t>
      </w:r>
    </w:p>
    <w:p w14:paraId="1386585D" w14:textId="77777777" w:rsidR="00F324BE" w:rsidRDefault="00000000">
      <w:r>
        <w:pict w14:anchorId="2A8B9B85">
          <v:rect id="_x0000_i1032" style="width:0;height:1.5pt" o:hralign="center" o:hrstd="t" o:hr="t"/>
        </w:pict>
      </w:r>
    </w:p>
    <w:p w14:paraId="23F8A228" w14:textId="77777777" w:rsidR="00F324BE" w:rsidRPr="0010596B" w:rsidRDefault="00000000">
      <w:pPr>
        <w:pStyle w:val="Ttulo2"/>
        <w:rPr>
          <w:lang w:val="pt-BR"/>
        </w:rPr>
      </w:pPr>
      <w:bookmarkStart w:id="22" w:name="referências"/>
      <w:bookmarkEnd w:id="21"/>
      <w:r w:rsidRPr="0010596B">
        <w:rPr>
          <w:lang w:val="pt-BR"/>
        </w:rPr>
        <w:t>Referências</w:t>
      </w:r>
    </w:p>
    <w:p w14:paraId="14719F1E" w14:textId="77777777" w:rsidR="00F324BE" w:rsidRDefault="00000000">
      <w:pPr>
        <w:pStyle w:val="FirstParagraph"/>
      </w:pPr>
      <w:r w:rsidRPr="0010596B">
        <w:rPr>
          <w:lang w:val="pt-BR"/>
        </w:rPr>
        <w:t xml:space="preserve">Ang, A., &amp; Bekaert, G. (2002). </w:t>
      </w:r>
      <w:r>
        <w:t xml:space="preserve">Regime Switches in Interest Rates. </w:t>
      </w:r>
      <w:r>
        <w:rPr>
          <w:i/>
          <w:iCs/>
        </w:rPr>
        <w:t>Journal of Business &amp; Economic Statistics</w:t>
      </w:r>
      <w:r>
        <w:t>, 20(2).</w:t>
      </w:r>
    </w:p>
    <w:p w14:paraId="65F1F96B" w14:textId="77777777" w:rsidR="00F324BE" w:rsidRDefault="00000000">
      <w:pPr>
        <w:pStyle w:val="Corpodetexto"/>
      </w:pPr>
      <w:r>
        <w:t xml:space="preserve">Dalio, R. (1996). Engineering Targeted Returns and Risks. </w:t>
      </w:r>
      <w:r>
        <w:rPr>
          <w:i/>
          <w:iCs/>
        </w:rPr>
        <w:t>Bridgewater Associates</w:t>
      </w:r>
      <w:r>
        <w:t>.</w:t>
      </w:r>
    </w:p>
    <w:p w14:paraId="0EFA6E91" w14:textId="77777777" w:rsidR="00F324BE" w:rsidRDefault="00000000">
      <w:pPr>
        <w:pStyle w:val="Corpodetexto"/>
      </w:pPr>
      <w:r>
        <w:t xml:space="preserve">Faber, M. T. (2007). A Quantitative Approach to Tactical Asset Allocation. </w:t>
      </w:r>
      <w:r>
        <w:rPr>
          <w:i/>
          <w:iCs/>
        </w:rPr>
        <w:t>Journal of Wealth Management</w:t>
      </w:r>
      <w:r>
        <w:t>, 9(4).</w:t>
      </w:r>
    </w:p>
    <w:p w14:paraId="38706B58" w14:textId="77777777" w:rsidR="00F324BE" w:rsidRDefault="00000000">
      <w:pPr>
        <w:pStyle w:val="Corpodetexto"/>
      </w:pPr>
      <w:r>
        <w:t xml:space="preserve">Kritzman, M., Page, S., &amp; Turkington, D. (2012). Regime Shifts: Implications for Dynamic Strategies. </w:t>
      </w:r>
      <w:r>
        <w:rPr>
          <w:i/>
          <w:iCs/>
        </w:rPr>
        <w:t>Financial Analysts Journal</w:t>
      </w:r>
      <w:r>
        <w:t>, 68(3).</w:t>
      </w:r>
    </w:p>
    <w:p w14:paraId="4BD2F16D" w14:textId="77777777" w:rsidR="00F324BE" w:rsidRDefault="00000000">
      <w:pPr>
        <w:pStyle w:val="Corpodetexto"/>
      </w:pPr>
      <w:r>
        <w:lastRenderedPageBreak/>
        <w:t xml:space="preserve">Moreira, A., &amp; Muir, T. (2017). Volatility-Managed Portfolios. </w:t>
      </w:r>
      <w:r>
        <w:rPr>
          <w:i/>
          <w:iCs/>
        </w:rPr>
        <w:t>Journal of Finance</w:t>
      </w:r>
      <w:r>
        <w:t>, 72(4).</w:t>
      </w:r>
    </w:p>
    <w:p w14:paraId="7684AFFF" w14:textId="77777777" w:rsidR="00F324BE" w:rsidRDefault="00000000">
      <w:r>
        <w:pict w14:anchorId="48DA06E5">
          <v:rect id="_x0000_i1033" style="width:0;height:1.5pt" o:hralign="center" o:hrstd="t" o:hr="t"/>
        </w:pict>
      </w:r>
    </w:p>
    <w:p w14:paraId="5B60BBD3" w14:textId="77777777" w:rsidR="00F324BE" w:rsidRPr="0010596B" w:rsidRDefault="00000000">
      <w:pPr>
        <w:pStyle w:val="Ttulo2"/>
        <w:rPr>
          <w:lang w:val="pt-BR"/>
        </w:rPr>
      </w:pPr>
      <w:bookmarkStart w:id="23" w:name="apêndice-especificações-técnicas"/>
      <w:bookmarkEnd w:id="22"/>
      <w:r w:rsidRPr="0010596B">
        <w:rPr>
          <w:lang w:val="pt-BR"/>
        </w:rPr>
        <w:t>Apêndice: Especificações Técnicas</w:t>
      </w:r>
    </w:p>
    <w:p w14:paraId="291286F7" w14:textId="77777777" w:rsidR="00F324BE" w:rsidRPr="0010596B" w:rsidRDefault="00000000">
      <w:pPr>
        <w:pStyle w:val="FirstParagraph"/>
        <w:rPr>
          <w:lang w:val="pt-BR"/>
        </w:rPr>
      </w:pPr>
      <w:r w:rsidRPr="0010596B">
        <w:rPr>
          <w:b/>
          <w:bCs/>
          <w:lang w:val="pt-BR"/>
        </w:rPr>
        <w:t>Linguagem:</w:t>
      </w:r>
      <w:r w:rsidRPr="0010596B">
        <w:rPr>
          <w:lang w:val="pt-BR"/>
        </w:rPr>
        <w:t xml:space="preserve"> Python 3.10+</w:t>
      </w:r>
      <w:r w:rsidRPr="0010596B">
        <w:rPr>
          <w:lang w:val="pt-BR"/>
        </w:rPr>
        <w:br/>
      </w:r>
      <w:r w:rsidRPr="0010596B">
        <w:rPr>
          <w:b/>
          <w:bCs/>
          <w:lang w:val="pt-BR"/>
        </w:rPr>
        <w:t>Bibliotecas:</w:t>
      </w:r>
      <w:r w:rsidRPr="0010596B">
        <w:rPr>
          <w:lang w:val="pt-BR"/>
        </w:rPr>
        <w:t xml:space="preserve"> pandas, numpy, scikit-learn, yfinance, quantstats</w:t>
      </w:r>
      <w:r w:rsidRPr="0010596B">
        <w:rPr>
          <w:lang w:val="pt-BR"/>
        </w:rPr>
        <w:br/>
      </w:r>
      <w:r w:rsidRPr="0010596B">
        <w:rPr>
          <w:b/>
          <w:bCs/>
          <w:lang w:val="pt-BR"/>
        </w:rPr>
        <w:t>Repositório:</w:t>
      </w:r>
      <w:r w:rsidRPr="0010596B">
        <w:rPr>
          <w:lang w:val="pt-BR"/>
        </w:rPr>
        <w:t xml:space="preserve"> github.com/lev-asset/market-intersection-analysis</w:t>
      </w:r>
    </w:p>
    <w:p w14:paraId="46D06821" w14:textId="77777777" w:rsidR="00F324BE" w:rsidRPr="0010596B" w:rsidRDefault="00000000">
      <w:pPr>
        <w:pStyle w:val="Corpodetexto"/>
        <w:rPr>
          <w:lang w:val="pt-BR"/>
        </w:rPr>
      </w:pPr>
      <w:r w:rsidRPr="0010596B">
        <w:rPr>
          <w:b/>
          <w:bCs/>
          <w:lang w:val="pt-BR"/>
        </w:rPr>
        <w:t>Arquivos principais:</w:t>
      </w:r>
      <w:r w:rsidRPr="0010596B">
        <w:rPr>
          <w:lang w:val="pt-BR"/>
        </w:rPr>
        <w:t xml:space="preserve"> - </w:t>
      </w:r>
      <w:r w:rsidRPr="0010596B">
        <w:rPr>
          <w:rStyle w:val="VerbatimChar"/>
          <w:lang w:val="pt-BR"/>
        </w:rPr>
        <w:t>download_1.py</w:t>
      </w:r>
      <w:r w:rsidRPr="0010596B">
        <w:rPr>
          <w:lang w:val="pt-BR"/>
        </w:rPr>
        <w:t xml:space="preserve"> - Coleta de dados - </w:t>
      </w:r>
      <w:r w:rsidRPr="0010596B">
        <w:rPr>
          <w:rStyle w:val="VerbatimChar"/>
          <w:lang w:val="pt-BR"/>
        </w:rPr>
        <w:t>Regressoes_lineares_2.py</w:t>
      </w:r>
      <w:r w:rsidRPr="0010596B">
        <w:rPr>
          <w:lang w:val="pt-BR"/>
        </w:rPr>
        <w:t xml:space="preserve"> - Estimação de tendências - </w:t>
      </w:r>
      <w:r w:rsidRPr="0010596B">
        <w:rPr>
          <w:rStyle w:val="VerbatimChar"/>
          <w:lang w:val="pt-BR"/>
        </w:rPr>
        <w:t>Definicao_quadrante_3_CALIBRADO.py</w:t>
      </w:r>
      <w:r w:rsidRPr="0010596B">
        <w:rPr>
          <w:lang w:val="pt-BR"/>
        </w:rPr>
        <w:t xml:space="preserve"> - Classificação de regimes - </w:t>
      </w:r>
      <w:r w:rsidRPr="0010596B">
        <w:rPr>
          <w:rStyle w:val="VerbatimChar"/>
          <w:lang w:val="pt-BR"/>
        </w:rPr>
        <w:t>Analise_intensidade_5.py</w:t>
      </w:r>
      <w:r w:rsidRPr="0010596B">
        <w:rPr>
          <w:lang w:val="pt-BR"/>
        </w:rPr>
        <w:t xml:space="preserve"> - K-Means clustering - </w:t>
      </w:r>
      <w:r w:rsidRPr="0010596B">
        <w:rPr>
          <w:rStyle w:val="VerbatimChar"/>
          <w:lang w:val="pt-BR"/>
        </w:rPr>
        <w:t>backtest_6.py</w:t>
      </w:r>
      <w:r w:rsidRPr="0010596B">
        <w:rPr>
          <w:lang w:val="pt-BR"/>
        </w:rPr>
        <w:t xml:space="preserve"> - Simulação histórica</w:t>
      </w:r>
    </w:p>
    <w:p w14:paraId="44378EE2" w14:textId="77777777" w:rsidR="00F324BE" w:rsidRDefault="00000000">
      <w:r>
        <w:pict w14:anchorId="6F476744">
          <v:rect id="_x0000_i1034" style="width:0;height:1.5pt" o:hralign="center" o:hrstd="t" o:hr="t"/>
        </w:pict>
      </w:r>
    </w:p>
    <w:p w14:paraId="2271463A" w14:textId="77777777" w:rsidR="00F324BE" w:rsidRDefault="00000000">
      <w:pPr>
        <w:pStyle w:val="FirstParagraph"/>
      </w:pPr>
      <w:r>
        <w:t>Insper Quantitative Finance (IQF) | 2025.2</w:t>
      </w:r>
      <w:bookmarkEnd w:id="0"/>
      <w:bookmarkEnd w:id="23"/>
    </w:p>
    <w:sectPr w:rsidR="00F324B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9CB0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38DB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2444F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6232394">
    <w:abstractNumId w:val="0"/>
  </w:num>
  <w:num w:numId="2" w16cid:durableId="11079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256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9482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8766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841841">
    <w:abstractNumId w:val="1"/>
  </w:num>
  <w:num w:numId="7" w16cid:durableId="520433915">
    <w:abstractNumId w:val="1"/>
  </w:num>
  <w:num w:numId="8" w16cid:durableId="1133983268">
    <w:abstractNumId w:val="1"/>
  </w:num>
  <w:num w:numId="9" w16cid:durableId="2124182457">
    <w:abstractNumId w:val="1"/>
  </w:num>
  <w:num w:numId="10" w16cid:durableId="1702514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1825441">
    <w:abstractNumId w:val="1"/>
  </w:num>
  <w:num w:numId="12" w16cid:durableId="5783714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4BE"/>
    <w:rsid w:val="000F2632"/>
    <w:rsid w:val="0010596B"/>
    <w:rsid w:val="00F3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60E56"/>
  <w15:docId w15:val="{EADC7BAA-8E4B-4EC1-85D6-D6D82579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1892</Words>
  <Characters>10221</Characters>
  <Application>Microsoft Office Word</Application>
  <DocSecurity>0</DocSecurity>
  <Lines>85</Lines>
  <Paragraphs>24</Paragraphs>
  <ScaleCrop>false</ScaleCrop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Felipe Tomaspolsky</cp:lastModifiedBy>
  <cp:revision>2</cp:revision>
  <dcterms:created xsi:type="dcterms:W3CDTF">2026-02-12T22:06:00Z</dcterms:created>
  <dcterms:modified xsi:type="dcterms:W3CDTF">2026-02-12T22:09:00Z</dcterms:modified>
</cp:coreProperties>
</file>