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0" w:lineRule="auto"/>
        <w:ind w:firstLine="0"/>
        <w:jc w:val="center"/>
        <w:rPr>
          <w:sz w:val="22"/>
          <w:szCs w:val="22"/>
        </w:rPr>
      </w:pPr>
      <w:bookmarkStart w:colFirst="0" w:colLast="0" w:name="_bq9u60lb21fw" w:id="0"/>
      <w:bookmarkEnd w:id="0"/>
      <w:r w:rsidDel="00000000" w:rsidR="00000000" w:rsidRPr="00000000">
        <w:rPr>
          <w:sz w:val="22"/>
          <w:szCs w:val="22"/>
          <w:rtl w:val="0"/>
        </w:rPr>
        <w:t xml:space="preserve">UNIVERSIDADE POSITIVO</w:t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ind w:firstLine="0"/>
        <w:jc w:val="center"/>
        <w:rPr>
          <w:sz w:val="22"/>
          <w:szCs w:val="22"/>
        </w:rPr>
      </w:pPr>
      <w:bookmarkStart w:colFirst="0" w:colLast="0" w:name="_kj5gwd48rsyk" w:id="1"/>
      <w:bookmarkEnd w:id="1"/>
      <w:r w:rsidDel="00000000" w:rsidR="00000000" w:rsidRPr="00000000">
        <w:rPr>
          <w:sz w:val="22"/>
          <w:szCs w:val="22"/>
          <w:rtl w:val="0"/>
        </w:rPr>
        <w:t xml:space="preserve">PROJETO DE PESQUISA E SOCIEDADE</w:t>
      </w:r>
    </w:p>
    <w:p w:rsidR="00000000" w:rsidDel="00000000" w:rsidP="00000000" w:rsidRDefault="00000000" w:rsidRPr="00000000" w14:paraId="00000003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UM NOVO CAMINHO PARA HOMENS PRIVADOS DE LIBERDADE DA UNIDADE DE PROGRESSÃO DE PIRAQUARA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/>
      </w:pPr>
      <w:bookmarkStart w:colFirst="0" w:colLast="0" w:name="_gjdgx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>
          <w:sz w:val="24"/>
          <w:szCs w:val="24"/>
        </w:rPr>
        <w:sectPr>
          <w:headerReference r:id="rId6" w:type="default"/>
          <w:headerReference r:id="rId7" w:type="first"/>
          <w:footerReference r:id="rId8" w:type="first"/>
          <w:pgSz w:h="16838" w:w="11906" w:orient="portrait"/>
          <w:pgMar w:bottom="1417" w:top="1417" w:left="1701" w:right="1701" w:header="426" w:footer="708"/>
          <w:pgNumType w:start="0"/>
          <w:titlePg w:val="1"/>
        </w:sectPr>
      </w:pPr>
      <w:r w:rsidDel="00000000" w:rsidR="00000000" w:rsidRPr="00000000">
        <w:rPr>
          <w:sz w:val="24"/>
          <w:szCs w:val="24"/>
          <w:rtl w:val="0"/>
        </w:rPr>
        <w:t xml:space="preserve">Curitiba, 2024</w:t>
      </w:r>
    </w:p>
    <w:p w:rsidR="00000000" w:rsidDel="00000000" w:rsidP="00000000" w:rsidRDefault="00000000" w:rsidRPr="00000000" w14:paraId="0000001C">
      <w:pPr>
        <w:pStyle w:val="Subtitle"/>
        <w:widowControl w:val="0"/>
        <w:spacing w:after="200" w:line="240" w:lineRule="auto"/>
        <w:ind w:left="432" w:hanging="432"/>
        <w:rPr>
          <w:vertAlign w:val="baseline"/>
        </w:rPr>
      </w:pPr>
      <w:bookmarkStart w:colFirst="0" w:colLast="0" w:name="_30j0zll" w:id="3"/>
      <w:bookmarkEnd w:id="3"/>
      <w:r w:rsidDel="00000000" w:rsidR="00000000" w:rsidRPr="00000000">
        <w:rPr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Identificação da proposta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4"/>
            </w:tabs>
            <w:spacing w:after="100" w:before="160" w:line="276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dos alunos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4"/>
            </w:tabs>
            <w:spacing w:after="100" w:before="160" w:line="276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Parceria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4"/>
            </w:tabs>
            <w:spacing w:after="100" w:before="160" w:line="276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Patrocínio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4"/>
            </w:tabs>
            <w:spacing w:after="100" w:before="160" w:line="276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 geral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8494"/>
            </w:tabs>
            <w:spacing w:after="100" w:before="160" w:line="276" w:lineRule="auto"/>
            <w:ind w:left="220" w:right="0" w:firstLine="489.00000000000006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∙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 específicos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Justificativas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Material e métodos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esperados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 de atividades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Orçamento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Equipe participante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Parcerias e financiamento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Anexos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8494"/>
            </w:tabs>
            <w:spacing w:after="100" w:before="160" w:line="276" w:lineRule="auto"/>
            <w:ind w:left="0" w:right="0" w:firstLine="709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1fob9te" w:id="4"/>
      <w:bookmarkEnd w:id="4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Identificação da proposta</w:t>
      </w:r>
    </w:p>
    <w:p w:rsidR="00000000" w:rsidDel="00000000" w:rsidP="00000000" w:rsidRDefault="00000000" w:rsidRPr="00000000" w14:paraId="00000032">
      <w:pPr>
        <w:ind w:left="432" w:firstLine="0"/>
        <w:rPr/>
      </w:pPr>
      <w:r w:rsidDel="00000000" w:rsidR="00000000" w:rsidRPr="00000000">
        <w:rPr>
          <w:rtl w:val="0"/>
        </w:rPr>
        <w:t xml:space="preserve">Desenvolvimento de um plano de direcionamento para reinserção profissional.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numPr>
          <w:ilvl w:val="1"/>
          <w:numId w:val="2"/>
        </w:numPr>
        <w:rPr>
          <w:sz w:val="24"/>
          <w:szCs w:val="24"/>
        </w:rPr>
      </w:pPr>
      <w:bookmarkStart w:colFirst="0" w:colLast="0" w:name="_3znysh7" w:id="5"/>
      <w:bookmarkEnd w:id="5"/>
      <w:r w:rsidDel="00000000" w:rsidR="00000000" w:rsidRPr="00000000">
        <w:rPr>
          <w:sz w:val="24"/>
          <w:szCs w:val="24"/>
          <w:rtl w:val="0"/>
        </w:rPr>
        <w:t xml:space="preserve">Nome dos alunos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Alif Pietrobelli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Bruna Voss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Gabriela Silva de Paula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João Vitor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Leandro José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 Matheus Novalski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teoria, a legislação brasileira prevê que o processo de privação de liberdade tem como objetivo remodelar o cidadão para que possa se reinserir à sociedade através de reeducação e readaptação ao convívio social (Bitencourt, 2001). Em termos práticos, o sistema prisional acaba por tornar-se um espaço de punição, repressão e perpetuação da criminalização (Santos e Santos, 2019). 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dificuldades encontradas pelos PPLS para que possam se reintroduzir na sociedade são inúmeras, principalmente quando o sistema não oferece o acesso básico à educação, qualificações para desenvolvimento social e dignidade. As pessoas privadas de liberdade possuem direitos nos quais muitas vezes não são atendidos pelo sistema carcerário como por exemplo saúde  e educação básica (Martins et. al; 2014).</w:t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continuidade aos estudos, e capacitações profissionais dentro do sistema prisional é o primeiro passo para que os PPLS possam se desenvolver profissionalmente e após sair do sistema prisional, ter a oportunidade de aprender novas atividades para que possam </w:t>
      </w:r>
      <w:r w:rsidDel="00000000" w:rsidR="00000000" w:rsidRPr="00000000">
        <w:rPr>
          <w:sz w:val="24"/>
          <w:szCs w:val="24"/>
          <w:rtl w:val="0"/>
        </w:rPr>
        <w:t xml:space="preserve">desenvolve</w:t>
      </w:r>
      <w:r w:rsidDel="00000000" w:rsidR="00000000" w:rsidRPr="00000000">
        <w:rPr>
          <w:sz w:val="24"/>
          <w:szCs w:val="24"/>
          <w:rtl w:val="0"/>
        </w:rPr>
        <w:t xml:space="preserve">-las (Ribeiro; Brito; Oliveira, 2018). </w:t>
      </w:r>
    </w:p>
    <w:p w:rsidR="00000000" w:rsidDel="00000000" w:rsidP="00000000" w:rsidRDefault="00000000" w:rsidRPr="00000000" w14:paraId="0000004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sentido, a extensão universitária pode ofertar alternativas de apoio frente às lacunas deixadas pelo sistema prisional, minimizando o impacto inicial da reinserção social. Portanto, gerando novas possibilidades formais ao egresso do sistema prisional, face aos desafios contemporâneos do mercado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Subtitle"/>
        <w:numPr>
          <w:ilvl w:val="1"/>
          <w:numId w:val="2"/>
        </w:numPr>
        <w:rPr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sz w:val="24"/>
          <w:szCs w:val="24"/>
          <w:rtl w:val="0"/>
        </w:rPr>
        <w:t xml:space="preserve">Objetivo geral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Elaborar um plano de ação para a reinserção dos PPLs ao mercado de trabalho, após privação de liberdade.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numPr>
          <w:ilvl w:val="1"/>
          <w:numId w:val="2"/>
        </w:numPr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Objetivos específicos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Elaborar apostilas individuais de acordo com o ofício escolhido por cada PPL, com direções quanto a : formas de anúncio do seu trabalho, cursos de capacitação e reciclagem, tendências de mercado, regularização de documentação, orçamento de materiais.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Contudo, será oportunizado a todos uma outra forma/perspectiva de como manter-se economicamente frente aos desafios que podem ser enfrentados no pós reclusão. Portanto, a base para toda possível progressão profissional  advinda do plano de negócio proporcionado pelo projeto.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widowControl w:val="0"/>
        <w:spacing w:after="200" w:line="240" w:lineRule="auto"/>
        <w:ind w:left="432" w:firstLine="0"/>
        <w:rPr>
          <w:sz w:val="24"/>
          <w:szCs w:val="24"/>
        </w:rPr>
      </w:pPr>
      <w:bookmarkStart w:colFirst="0" w:colLast="0" w:name="_3rdcrjn" w:id="10"/>
      <w:bookmarkEnd w:id="10"/>
      <w:r w:rsidDel="00000000" w:rsidR="00000000" w:rsidRPr="00000000">
        <w:rPr>
          <w:sz w:val="24"/>
          <w:szCs w:val="24"/>
          <w:rtl w:val="0"/>
        </w:rPr>
        <w:t xml:space="preserve">4 -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Material e métodos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Subtitle"/>
        <w:ind w:firstLine="0"/>
        <w:rPr/>
      </w:pPr>
      <w:bookmarkStart w:colFirst="0" w:colLast="0" w:name="_tz17d4ub4kwq" w:id="11"/>
      <w:bookmarkEnd w:id="11"/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.1 - Divulgação do trabalho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as redes sociais são a principal fonte de possibilidades voltadas à divulgação. A partir disso, podemos relacionar toda e qualquer atividade a ser desenvolvida no meio empreendedor a outra face no meio digital que representa sua função social.</w:t>
      </w:r>
    </w:p>
    <w:p w:rsidR="00000000" w:rsidDel="00000000" w:rsidP="00000000" w:rsidRDefault="00000000" w:rsidRPr="00000000" w14:paraId="0000004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principais redes de captação de leads são: Google Ads, Facebook, Instagram, ou mesmo portais de vendas como: GetNinjas, Marketplaces diversos, Olx.</w:t>
      </w:r>
    </w:p>
    <w:p w:rsidR="00000000" w:rsidDel="00000000" w:rsidP="00000000" w:rsidRDefault="00000000" w:rsidRPr="00000000" w14:paraId="00000050">
      <w:pPr>
        <w:pStyle w:val="Subtitle"/>
        <w:ind w:firstLine="0"/>
        <w:rPr>
          <w:sz w:val="24"/>
          <w:szCs w:val="24"/>
        </w:rPr>
      </w:pPr>
      <w:bookmarkStart w:colFirst="0" w:colLast="0" w:name="_8si98w3cap6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ind w:firstLine="0"/>
        <w:rPr>
          <w:sz w:val="24"/>
          <w:szCs w:val="24"/>
        </w:rPr>
      </w:pPr>
      <w:bookmarkStart w:colFirst="0" w:colLast="0" w:name="_vr2p7hhzf8bw" w:id="13"/>
      <w:bookmarkEnd w:id="13"/>
      <w:r w:rsidDel="00000000" w:rsidR="00000000" w:rsidRPr="00000000">
        <w:rPr>
          <w:sz w:val="24"/>
          <w:szCs w:val="24"/>
          <w:rtl w:val="0"/>
        </w:rPr>
        <w:t xml:space="preserve">4.2 - Regularização de documentação</w:t>
      </w:r>
    </w:p>
    <w:p w:rsidR="00000000" w:rsidDel="00000000" w:rsidP="00000000" w:rsidRDefault="00000000" w:rsidRPr="00000000" w14:paraId="0000005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regularização de documentação é um passo fundamental no processo de reintegração social para homens privados de liberdade que estão ingressando no regime semiaberto. A obtenção de documentos como RG, CPF e certidões é essencial para garantir o acesso a serviços básicos, oportunidades de emprego e outros benefícios sociais. Nossa abordagem inclui o fornecimento de suporte e assistência para que esses indivíduos possam obter todos os documentos necessários, removendo assim barreiras burocráticas que possam dificultar sua reintegração à sociedade.</w:t>
      </w:r>
    </w:p>
    <w:p w:rsidR="00000000" w:rsidDel="00000000" w:rsidP="00000000" w:rsidRDefault="00000000" w:rsidRPr="00000000" w14:paraId="00000053">
      <w:pPr>
        <w:pStyle w:val="Subtitle"/>
        <w:ind w:firstLine="0"/>
        <w:rPr>
          <w:sz w:val="24"/>
          <w:szCs w:val="24"/>
        </w:rPr>
      </w:pPr>
      <w:bookmarkStart w:colFirst="0" w:colLast="0" w:name="_tt34u2fvs0vu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ind w:firstLine="0"/>
        <w:rPr>
          <w:sz w:val="24"/>
          <w:szCs w:val="24"/>
        </w:rPr>
      </w:pPr>
      <w:bookmarkStart w:colFirst="0" w:colLast="0" w:name="_2t0jflbcvcd6" w:id="15"/>
      <w:bookmarkEnd w:id="15"/>
      <w:r w:rsidDel="00000000" w:rsidR="00000000" w:rsidRPr="00000000">
        <w:rPr>
          <w:sz w:val="24"/>
          <w:szCs w:val="24"/>
          <w:rtl w:val="0"/>
        </w:rPr>
        <w:t xml:space="preserve">4.3 -  Capacitação e Profissionalização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Investir na capacitação e profissionalização dos indivíduos em regime semiaberto é essencial para prepará-los para uma reintegração bem-sucedida ao mercado de trabalho. Por meio de programas de formação técnica, cursos profissionalizantes e desenvolvimento de habilidades socioemocionais, estamos fornecendo as ferramentas necessárias para que esses indivíduos possam adquirir competências valorizadas pelo mercado e alcançar independência financeira.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Subtitle"/>
        <w:ind w:firstLine="0"/>
        <w:rPr>
          <w:sz w:val="24"/>
          <w:szCs w:val="24"/>
        </w:rPr>
      </w:pPr>
      <w:bookmarkStart w:colFirst="0" w:colLast="0" w:name="_wcrsg3yfovhs" w:id="16"/>
      <w:bookmarkEnd w:id="16"/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.4 - Tendências de mercado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Estar por dentro das tendências do mercado é fundamental, especialmente para aqueles que estão em processo de reintegração. Nosso foco não é apenas encontrar empregos disponíveis agora, mas também preparar os indivíduos para as oportunidades que estão surgindo dentro do ramo por eles já conhecido.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bookmarkStart w:colFirst="0" w:colLast="0" w:name="_26in1rg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Subtitle"/>
        <w:widowControl w:val="0"/>
        <w:spacing w:after="200" w:line="240" w:lineRule="auto"/>
        <w:ind w:left="432" w:firstLine="0"/>
        <w:rPr>
          <w:sz w:val="24"/>
          <w:szCs w:val="24"/>
          <w:vertAlign w:val="baseline"/>
        </w:rPr>
      </w:pPr>
      <w:bookmarkStart w:colFirst="0" w:colLast="0" w:name="_lnxbz9" w:id="18"/>
      <w:bookmarkEnd w:id="18"/>
      <w:r w:rsidDel="00000000" w:rsidR="00000000" w:rsidRPr="00000000">
        <w:rPr>
          <w:sz w:val="24"/>
          <w:szCs w:val="24"/>
          <w:rtl w:val="0"/>
        </w:rPr>
        <w:t xml:space="preserve">5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Resultados esperados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Espera-se entregar a cada PPL entrevistado, u</w:t>
      </w:r>
      <w:r w:rsidDel="00000000" w:rsidR="00000000" w:rsidRPr="00000000">
        <w:rPr>
          <w:rtl w:val="0"/>
        </w:rPr>
        <w:t xml:space="preserve">ma apostila individualizada voltada para o ofício de escolha dos PPLs entrevistados, sendo eles: Eletricista, Pintor, Estofador, Construção Civil com ênfase em pisos aquecidos.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Desta maneira, dentre as preferências e competências individuais, será fomentada a busca por capacitações diretamente ligadas a cada ofício escolhido. Assim, a cada etapa deste processo o foco será busca por um maior engajamento frente a possibilidade formulada. Por fim, será avaliado o desenvolvimento de cada um e como foram aplicados os conceitos.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  <w:sectPr>
          <w:headerReference r:id="rId9" w:type="first"/>
          <w:footerReference r:id="rId10" w:type="default"/>
          <w:footerReference r:id="rId11" w:type="first"/>
          <w:type w:val="nextPage"/>
          <w:pgSz w:h="16838" w:w="11906" w:orient="portrait"/>
          <w:pgMar w:bottom="1418" w:top="1418" w:left="1701" w:right="1701" w:header="709" w:footer="709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Subtitle"/>
        <w:widowControl w:val="0"/>
        <w:spacing w:after="200" w:line="240" w:lineRule="auto"/>
        <w:ind w:left="432" w:firstLine="0"/>
        <w:rPr>
          <w:sz w:val="24"/>
          <w:szCs w:val="24"/>
        </w:rPr>
      </w:pPr>
      <w:bookmarkStart w:colFirst="0" w:colLast="0" w:name="_35nkun2" w:id="19"/>
      <w:bookmarkEnd w:id="19"/>
      <w:r w:rsidDel="00000000" w:rsidR="00000000" w:rsidRPr="00000000">
        <w:rPr>
          <w:sz w:val="24"/>
          <w:szCs w:val="24"/>
          <w:rtl w:val="0"/>
        </w:rPr>
        <w:t xml:space="preserve">6 </w:t>
      </w: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Cronograma de atividades</w:t>
      </w:r>
      <w:r w:rsidDel="00000000" w:rsidR="00000000" w:rsidRPr="00000000">
        <w:rPr>
          <w:rtl w:val="0"/>
        </w:rPr>
      </w:r>
    </w:p>
    <w:tbl>
      <w:tblPr>
        <w:tblStyle w:val="Table1"/>
        <w:tblW w:w="10932.000000000004" w:type="dxa"/>
        <w:jc w:val="center"/>
        <w:tblLayout w:type="fixed"/>
        <w:tblLook w:val="0400"/>
      </w:tblPr>
      <w:tblGrid>
        <w:gridCol w:w="1988"/>
        <w:gridCol w:w="5737"/>
        <w:gridCol w:w="242"/>
        <w:gridCol w:w="242"/>
        <w:gridCol w:w="242"/>
        <w:gridCol w:w="242"/>
        <w:gridCol w:w="242"/>
        <w:gridCol w:w="242"/>
        <w:gridCol w:w="242"/>
        <w:gridCol w:w="242"/>
        <w:gridCol w:w="242"/>
        <w:gridCol w:w="343"/>
        <w:gridCol w:w="343"/>
        <w:gridCol w:w="343"/>
        <w:tblGridChange w:id="0">
          <w:tblGrid>
            <w:gridCol w:w="1988"/>
            <w:gridCol w:w="5737"/>
            <w:gridCol w:w="242"/>
            <w:gridCol w:w="242"/>
            <w:gridCol w:w="242"/>
            <w:gridCol w:w="242"/>
            <w:gridCol w:w="242"/>
            <w:gridCol w:w="242"/>
            <w:gridCol w:w="242"/>
            <w:gridCol w:w="242"/>
            <w:gridCol w:w="242"/>
            <w:gridCol w:w="343"/>
            <w:gridCol w:w="343"/>
            <w:gridCol w:w="343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bookmarkStart w:colFirst="0" w:colLast="0" w:name="_1ksv4uv" w:id="20"/>
            <w:bookmarkEnd w:id="20"/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Produtos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Atividades</w:t>
            </w:r>
          </w:p>
        </w:tc>
        <w:tc>
          <w:tcPr>
            <w:gridSpan w:val="1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Semanas (ou colocar os dias de aula)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Planejamento das 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Entrega do plano de Trabalho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Planejamento de 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Planejamento de 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7">
            <w:pPr>
              <w:spacing w:before="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Segunda visita aos PPLs / Devolutiva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Planejamento e execução das 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Planejamento e execução das 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1">
            <w:pPr>
              <w:spacing w:before="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Terceira visita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E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EF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Entrega do relatório final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Avaliação de pares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B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Divulgação dos resultados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57171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767171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ind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ind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Subtitle"/>
        <w:widowControl w:val="0"/>
        <w:numPr>
          <w:ilvl w:val="0"/>
          <w:numId w:val="3"/>
        </w:numPr>
        <w:spacing w:after="200" w:lineRule="auto"/>
        <w:ind w:left="1134" w:hanging="432"/>
        <w:rPr>
          <w:sz w:val="24"/>
          <w:szCs w:val="24"/>
        </w:rPr>
      </w:pPr>
      <w:bookmarkStart w:colFirst="0" w:colLast="0" w:name="_44sinio" w:id="21"/>
      <w:bookmarkEnd w:id="21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134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sz w:val="19"/>
          <w:szCs w:val="19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sz w:val="19"/>
          <w:szCs w:val="19"/>
          <w:u w:val="none"/>
          <w:shd w:fill="auto" w:val="clear"/>
          <w:vertAlign w:val="baseline"/>
          <w:rtl w:val="0"/>
        </w:rPr>
        <w:t xml:space="preserve">Tabela 1. Itens previstos para a execução do projeto.</w:t>
      </w:r>
      <w:r w:rsidDel="00000000" w:rsidR="00000000" w:rsidRPr="00000000">
        <w:rPr>
          <w:rtl w:val="0"/>
        </w:rPr>
      </w:r>
    </w:p>
    <w:tbl>
      <w:tblPr>
        <w:tblStyle w:val="Table2"/>
        <w:tblW w:w="8045.999999999999" w:type="dxa"/>
        <w:jc w:val="center"/>
        <w:tblBorders>
          <w:top w:color="000000" w:space="0" w:sz="4" w:val="single"/>
          <w:bottom w:color="000000" w:space="0" w:sz="4" w:val="single"/>
        </w:tblBorders>
        <w:tblLayout w:type="fixed"/>
        <w:tblLook w:val="0400"/>
      </w:tblPr>
      <w:tblGrid>
        <w:gridCol w:w="3328"/>
        <w:gridCol w:w="1007"/>
        <w:gridCol w:w="1814"/>
        <w:gridCol w:w="954"/>
        <w:gridCol w:w="943"/>
        <w:tblGridChange w:id="0">
          <w:tblGrid>
            <w:gridCol w:w="3328"/>
            <w:gridCol w:w="1007"/>
            <w:gridCol w:w="1814"/>
            <w:gridCol w:w="954"/>
            <w:gridCol w:w="943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bottom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bottom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tcBorders>
              <w:bottom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UNIDADE</w:t>
            </w:r>
          </w:p>
        </w:tc>
        <w:tc>
          <w:tcPr>
            <w:tcBorders>
              <w:bottom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UNITÁRIO</w:t>
            </w:r>
          </w:p>
        </w:tc>
        <w:tc>
          <w:tcPr>
            <w:tcBorders>
              <w:bottom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VALOR TOTAL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Impressão de apostilas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R$ 40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before="0" w:line="240" w:lineRule="auto"/>
              <w:ind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before="0"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8496b0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TOTAL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8496b0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before="0" w:line="240" w:lineRule="auto"/>
              <w:ind w:firstLine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R$   </w:t>
            </w: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,00 </w:t>
            </w:r>
          </w:p>
        </w:tc>
      </w:tr>
    </w:tbl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2jxsxqh" w:id="22"/>
      <w:bookmarkEnd w:id="22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Equipe participante</w:t>
      </w: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</w:tcPr>
          <w:p w:rsidR="00000000" w:rsidDel="00000000" w:rsidP="00000000" w:rsidRDefault="00000000" w:rsidRPr="00000000" w14:paraId="00000175">
            <w:pPr>
              <w:spacing w:before="0" w:line="24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176">
            <w:pPr>
              <w:spacing w:before="0" w:line="24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FORMAÇÃO</w:t>
            </w:r>
          </w:p>
        </w:tc>
        <w:tc>
          <w:tcPr>
            <w:shd w:fill="002060" w:val="clear"/>
          </w:tcPr>
          <w:p w:rsidR="00000000" w:rsidDel="00000000" w:rsidP="00000000" w:rsidRDefault="00000000" w:rsidRPr="00000000" w14:paraId="00000177">
            <w:pPr>
              <w:spacing w:before="0" w:line="240" w:lineRule="auto"/>
              <w:ind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ATUAÇÃO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8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Alif Pietrobelli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9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Direito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Elaboração da apostila de Estofador. Visita técnica n 1. Elaboração do plano de trabalho.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B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Bruna Voss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Medicina Veterinária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Elaboração da apostila de Pintor. Visita técnica n 2. Elaboração do plano de trabalho.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E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Gabriela Silva de Paula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Medicina Veterinária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0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Elaboração da apostila de Pintor. Visita técnica n 1. Elaboração do plano de trabalho.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1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Vitor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Elaboração da apostila de Instalação de Piso aquecido. Visita técnica n 3. Elaboração do plano de trabalho.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Leandro José Streidenberger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Engenharia Civil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Elaboração da apostila de Eletricista. Visita técnica n 3. Elaboração do plano de trabalho.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Matheus Novalski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Análise e desenvolvimento de sistemas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Elaboração da apostila de Eletricista. Visita técnica n 2. Elaboração do plano de trabalho.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A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Ruy Suplicy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Medicina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spacing w:before="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Elaboração da apostila de Instalação de piso aquecido.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D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E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F">
            <w:pPr>
              <w:spacing w:before="0" w:line="240" w:lineRule="auto"/>
              <w:ind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z337ya" w:id="23"/>
      <w:bookmarkEnd w:id="23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Parcerias e financiamento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3j2qqm3" w:id="24"/>
      <w:bookmarkEnd w:id="24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BITENCOURT, Roberto Cezar. Falência da pena de prisão: Causas e alternativas.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São Paulo, Saraiva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2001.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before="0" w:line="259" w:lineRule="auto"/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MARTINS. E. l .C,  et al. O contraditório direito à saúde de pessoas em privação de liberdade. O caso de uma unidade prisional de Minas Gerais. </w:t>
      </w:r>
      <w:r w:rsidDel="00000000" w:rsidR="00000000" w:rsidRPr="00000000">
        <w:rPr>
          <w:b w:val="1"/>
          <w:sz w:val="24"/>
          <w:szCs w:val="24"/>
          <w:rtl w:val="0"/>
        </w:rPr>
        <w:t xml:space="preserve">Saúde Soc. São Paulo</w:t>
      </w:r>
      <w:r w:rsidDel="00000000" w:rsidR="00000000" w:rsidRPr="00000000">
        <w:rPr>
          <w:sz w:val="24"/>
          <w:szCs w:val="24"/>
          <w:rtl w:val="0"/>
        </w:rPr>
        <w:t xml:space="preserve">, v.23, n.4, p.1222-1234, 2014.</w:t>
      </w:r>
    </w:p>
    <w:p w:rsidR="00000000" w:rsidDel="00000000" w:rsidP="00000000" w:rsidRDefault="00000000" w:rsidRPr="00000000" w14:paraId="00000199">
      <w:pPr>
        <w:spacing w:before="0" w:line="259" w:lineRule="auto"/>
        <w:ind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SANTOS, Raquel; SANTOS, Carla Janaina. Serviço Social: uma análise crítica sobre o Sistema Prisional Brasileiro como espaço ocupacional do/a Assistente Social. In: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Congresso Brasileiro de Assistentes Sociais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2019.</w:t>
      </w:r>
    </w:p>
    <w:p w:rsidR="00000000" w:rsidDel="00000000" w:rsidP="00000000" w:rsidRDefault="00000000" w:rsidRPr="00000000" w14:paraId="0000019A">
      <w:pPr>
        <w:spacing w:before="0" w:line="259" w:lineRule="auto"/>
        <w:ind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RIBEIRO, José R. F.; BRITO, Rafael Giordano Gonçalves; OLIVEIRA, Tarsis Barreto. A ressocialização do apenado por meio da participação da sociedade: o trabalho como instrumento no processo de reintegração.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Revista Vertentes do Direito.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Volume 5, n.1, p. 191-208,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0" w:line="259" w:lineRule="auto"/>
        <w:ind w:firstLine="0"/>
        <w:jc w:val="left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Subtitle"/>
        <w:widowControl w:val="0"/>
        <w:numPr>
          <w:ilvl w:val="0"/>
          <w:numId w:val="3"/>
        </w:numPr>
        <w:spacing w:after="200" w:line="240" w:lineRule="auto"/>
        <w:ind w:left="432" w:hanging="432"/>
        <w:rPr>
          <w:sz w:val="24"/>
          <w:szCs w:val="24"/>
        </w:rPr>
      </w:pPr>
      <w:bookmarkStart w:colFirst="0" w:colLast="0" w:name="_1y810tw" w:id="25"/>
      <w:bookmarkEnd w:id="25"/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19D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 xml:space="preserve">AQUI AS APOSTILAS INDIVIDUALIZADAS!!</w:t>
      </w:r>
    </w:p>
    <w:p w:rsidR="00000000" w:rsidDel="00000000" w:rsidP="00000000" w:rsidRDefault="00000000" w:rsidRPr="00000000" w14:paraId="0000019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first"/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Impac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7975600</wp:posOffset>
              </wp:positionH>
              <wp:positionV relativeFrom="paragraph">
                <wp:posOffset>3238500</wp:posOffset>
              </wp:positionV>
              <wp:extent cx="1172845" cy="20637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72278" y="3689513"/>
                        <a:ext cx="1147445" cy="180975"/>
                      </a:xfrm>
                      <a:prstGeom prst="rect">
                        <a:avLst/>
                      </a:prstGeom>
                      <a:solidFill>
                        <a:srgbClr val="006BB5"/>
                      </a:solidFill>
                      <a:ln cap="flat" cmpd="sng" w="25400">
                        <a:solidFill>
                          <a:srgbClr val="366092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7975600</wp:posOffset>
              </wp:positionH>
              <wp:positionV relativeFrom="paragraph">
                <wp:posOffset>3238500</wp:posOffset>
              </wp:positionV>
              <wp:extent cx="1172845" cy="20637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72845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3263900</wp:posOffset>
              </wp:positionV>
              <wp:extent cx="1106170" cy="2063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05615" y="3689513"/>
                        <a:ext cx="1080770" cy="180975"/>
                      </a:xfrm>
                      <a:prstGeom prst="rect">
                        <a:avLst/>
                      </a:prstGeom>
                      <a:solidFill>
                        <a:srgbClr val="006BB5"/>
                      </a:solidFill>
                      <a:ln cap="flat" cmpd="sng" w="25400">
                        <a:solidFill>
                          <a:srgbClr val="24406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5537200</wp:posOffset>
              </wp:positionH>
              <wp:positionV relativeFrom="paragraph">
                <wp:posOffset>3263900</wp:posOffset>
              </wp:positionV>
              <wp:extent cx="1106170" cy="20637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6170" cy="206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60" w:line="240" w:lineRule="auto"/>
      <w:ind w:left="0" w:right="0" w:firstLine="709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1">
    <w:pPr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"/>
      <w:lvlJc w:val="left"/>
      <w:pPr>
        <w:ind w:left="720" w:hanging="720"/>
      </w:pPr>
      <w:rPr/>
    </w:lvl>
    <w:lvl w:ilvl="3">
      <w:start w:val="1"/>
      <w:numFmt w:val="decimal"/>
      <w:lvlText w:val="%1.●.%3.%4"/>
      <w:lvlJc w:val="left"/>
      <w:pPr>
        <w:ind w:left="864" w:hanging="864"/>
      </w:pPr>
      <w:rPr/>
    </w:lvl>
    <w:lvl w:ilvl="4">
      <w:start w:val="1"/>
      <w:numFmt w:val="decimal"/>
      <w:lvlText w:val="%1.●.%3.%4.%5"/>
      <w:lvlJc w:val="left"/>
      <w:pPr>
        <w:ind w:left="1008" w:hanging="1008"/>
      </w:pPr>
      <w:rPr/>
    </w:lvl>
    <w:lvl w:ilvl="5">
      <w:start w:val="1"/>
      <w:numFmt w:val="decimal"/>
      <w:lvlText w:val="%1.●.%3.%4.%5.%6"/>
      <w:lvlJc w:val="left"/>
      <w:pPr>
        <w:ind w:left="1152" w:hanging="1152"/>
      </w:pPr>
      <w:rPr/>
    </w:lvl>
    <w:lvl w:ilvl="6">
      <w:start w:val="1"/>
      <w:numFmt w:val="decimal"/>
      <w:lvlText w:val="%1.●.%3.%4.%5.%6.%7"/>
      <w:lvlJc w:val="left"/>
      <w:pPr>
        <w:ind w:left="1296" w:hanging="1296"/>
      </w:pPr>
      <w:rPr/>
    </w:lvl>
    <w:lvl w:ilvl="7">
      <w:start w:val="1"/>
      <w:numFmt w:val="decimal"/>
      <w:lvlText w:val="%1.●.%3.%4.%5.%6.%7.%8"/>
      <w:lvlJc w:val="left"/>
      <w:pPr>
        <w:ind w:left="1440" w:hanging="1440"/>
      </w:pPr>
      <w:rPr/>
    </w:lvl>
    <w:lvl w:ilvl="8">
      <w:start w:val="1"/>
      <w:numFmt w:val="decimal"/>
      <w:lvlText w:val="%1.●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before="160" w:line="276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432" w:hanging="432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Rule="auto"/>
      <w:ind w:left="360" w:hanging="360"/>
      <w:jc w:val="left"/>
    </w:pPr>
    <w:rPr>
      <w:color w:val="0020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  <w:jc w:val="left"/>
    </w:pPr>
    <w:rPr>
      <w:color w:val="002060"/>
      <w:sz w:val="24"/>
      <w:szCs w:val="24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color w:val="00206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240" w:before="0" w:line="240" w:lineRule="auto"/>
    </w:pPr>
    <w:rPr>
      <w:color w:val="3d5673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footer" Target="footer4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