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Desenho experimental para alinhamento</w:t>
      </w:r>
    </w:p>
    <w:p>
      <w:r>
        <w:t>Matheus Henrique Braun Nunes  •  29/09/2026  •  Proposta revisada, ainda não validada</w:t>
      </w:r>
    </w:p>
    <w:p>
      <w:pPr>
        <w:pStyle w:val="Heading1"/>
      </w:pPr>
      <w:r>
        <w:t>O que pretendo avaliar e entregar</w:t>
      </w:r>
    </w:p>
    <w:p>
      <w:r>
        <w:t>Comparar a qualidade dos conjuntos de requisitos impactados e testes de regressão indicados por um único LLM, diante de quatro mudanças no mesmo módulo. A entrega será um protocolo, um gabarito justificado e uma análise das respostas. O módulo de autorização é a bancada de apoio; não se pretende criar um framework geral.</w:t>
      </w:r>
    </w:p>
    <w:p>
      <w:r>
        <w:t>Recorte: quatro requisitos, três papéis, duas operações, herança de um nível e onze testes. RF-01 bloqueia contas não ativas; RF-02 trata permissões diretas; RF-03 expande herança; RF-04 aplica incompatibilidade. Consulta visualiza, Supervisão herda Consulta e Auditoria exporta; Consulta e Auditoria são incompatíveis. Impacto inclui alteração funcional de uma dependência, mesmo sem alterar seu texto.</w:t>
      </w:r>
    </w:p>
    <w:p>
      <w:pPr>
        <w:pStyle w:val="Heading1"/>
      </w:pPr>
      <w:r>
        <w:t>Quais mudanças e quais respostas serão verificadas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82"/>
        <w:gridCol w:w="1757"/>
        <w:gridCol w:w="4025"/>
      </w:tblGrid>
      <w:tr>
        <w:trPr>
          <w:cantSplit/>
        </w:trPr>
        <w:tc>
          <w:tcPr>
            <w:tcW w:type="dxa" w:w="4082"/>
            <w:vAlign w:val="center"/>
            <w:shd w:fill="E9EFF3"/>
          </w:tcPr>
          <w:p>
            <w:pPr>
              <w:spacing w:after="60" w:before="60" w:line="245" w:lineRule="auto"/>
            </w:pPr>
            <w:r>
              <w:rPr>
                <w:b/>
                <w:sz w:val="17"/>
              </w:rPr>
              <w:t>Mudança candidata</w:t>
            </w:r>
          </w:p>
        </w:tc>
        <w:tc>
          <w:tcPr>
            <w:tcW w:type="dxa" w:w="1757"/>
            <w:vAlign w:val="center"/>
            <w:shd w:fill="E9EFF3"/>
          </w:tcPr>
          <w:p>
            <w:pPr>
              <w:spacing w:after="60" w:before="60" w:line="245" w:lineRule="auto"/>
              <w:jc w:val="center"/>
            </w:pPr>
            <w:r>
              <w:rPr>
                <w:b/>
                <w:sz w:val="17"/>
              </w:rPr>
              <w:t>Requisitos esperados</w:t>
            </w:r>
          </w:p>
        </w:tc>
        <w:tc>
          <w:tcPr>
            <w:tcW w:type="dxa" w:w="4025"/>
            <w:vAlign w:val="center"/>
            <w:shd w:fill="E9EFF3"/>
          </w:tcPr>
          <w:p>
            <w:pPr>
              <w:spacing w:after="60" w:before="60" w:line="245" w:lineRule="auto"/>
            </w:pPr>
            <w:r>
              <w:rPr>
                <w:b/>
                <w:sz w:val="17"/>
              </w:rPr>
              <w:t>Testes relevantes¹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MC-01: retirar exportar de Auditoria.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45" w:lineRule="auto"/>
              <w:jc w:val="center"/>
            </w:pPr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T04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MC-02: retirar conflito Consulta + Auditoria.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45" w:lineRule="auto"/>
              <w:jc w:val="center"/>
            </w:pPr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T06, T07, T11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MC-03: retirar visualizar de Consulta; afeta Supervisão por herança.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45" w:lineRule="auto"/>
              <w:jc w:val="center"/>
            </w:pPr>
            <w:r>
              <w:rPr>
                <w:b w:val="0"/>
                <w:sz w:val="17"/>
              </w:rPr>
              <w:t>RF-02 e RF-03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T01, T02, T05, T06, T07, T09, T10, T11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MC-04-v2: retirar a herança Supervisão → Consulta; altera o conflito herdado.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45" w:lineRule="auto"/>
              <w:jc w:val="center"/>
            </w:pPr>
            <w:r>
              <w:rPr>
                <w:b w:val="0"/>
                <w:sz w:val="17"/>
              </w:rPr>
              <w:t>RF-03 e RF-04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 w:line="245" w:lineRule="auto"/>
            </w:pPr>
            <w:r>
              <w:rPr>
                <w:b w:val="0"/>
                <w:sz w:val="17"/>
              </w:rPr>
              <w:t>T05, T07, T08, T10</w:t>
            </w:r>
          </w:p>
        </w:tc>
      </w:tr>
    </w:tbl>
    <w:p>
      <w:r>
        <w:rPr>
          <w:sz w:val="18"/>
        </w:rPr>
        <w:t>¹ Gabarito candidato. Selecionar todos os casos cuja entrada se enquadra no item alterado, inclusive quando outro bloqueio preserva o resultado. Para permissões: papel efetivo + operação; conflito: par efetivo; herança: papel filho. Critério conhecido pelo LLM; IDs corretos ficam apenas com o avaliador. Cada mudança parte da mesma baseline.</w:t>
      </w:r>
    </w:p>
    <w:p>
      <w:r>
        <w:rPr>
          <w:sz w:val="18"/>
        </w:rPr>
        <w:t>MC-04-v2 substitui, para validação, a antiga liberação de contas em revisão. Em T07, retirar a herança mantém “negar”, mas troca o motivo de conflito para ausência de permissão. Isso torna a propagação observável. As inclusões, exclusões e expectativas dos onze testes estão no guia de apoio.</w:t>
      </w:r>
    </w:p>
    <w:p>
      <w:pPr>
        <w:pStyle w:val="Heading1"/>
      </w:pPr>
      <w:r>
        <w:t>Como comparar e dizer que uma resposta foi melhor</w:t>
      </w:r>
    </w:p>
    <w:p>
      <w:r>
        <w:t>D0: direta sem notas; D1: direta com notas; E0: etapas sem notas; E1: etapas com notas. Mesmos documentos, formato JSON, modelo e parâmetros; uma chamada independente por execução. Notas comuns, preparadas pelo pesquisador como analista de testes, sem IDs corretos ou exemplos resolvidos.</w:t>
      </w:r>
    </w:p>
    <w:p>
      <w:r>
        <w:t>Medir separadamente RFs e testes: revocação (acertos ÷ esperados), precisão (acertos ÷ selecionados) e F1; usar Jaccard para consistência entre repetições. Mostrar omissões antes da redução nominal de testes. Redução só é favorável se todos os relevantes forem incluídos; não prova economia de tempo nem detecção de defeitos.</w:t>
      </w:r>
    </w:p>
    <w:p>
      <w:r>
        <w:rPr>
          <w:sz w:val="18"/>
        </w:rPr>
        <w:t>Exemplo MC-02: T06/T07 verificam conflito direto/herdado; T11 verifica bloqueio por estado. Selecionar os três dá 100% de precisão e revocação; selecionar só T06/T07 dá 66,7% de revocação. Selecionar zero dá revocação zero, ainda que a redução nominal seja 100%. São exemplos calculados, não resultados observados.</w:t>
      </w:r>
    </w:p>
    <w:p/>
    <w:p>
      <w:r>
        <w:br w:type="page"/>
      </w:r>
    </w:p>
    <w:p>
      <w:pPr>
        <w:pStyle w:val="Title"/>
      </w:pPr>
      <w:r>
        <w:t>Caminho da pesquisa e decisões necessárias</w:t>
      </w:r>
    </w:p>
    <w:p>
      <w:r>
        <w:drawing>
          <wp:inline xmlns:a="http://schemas.openxmlformats.org/drawingml/2006/main" xmlns:pic="http://schemas.openxmlformats.org/drawingml/2006/picture">
            <wp:extent cx="6012000" cy="4887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minho_pesqui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88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— Elaboração própria, com apoio de IA, a partir da proposta, da pauta e do feedback. Fluxo candidato; a referência entra somente no avaliador.</w:t>
      </w:r>
    </w:p>
    <w:p>
      <w:pPr>
        <w:pStyle w:val="Heading1"/>
      </w:pPr>
      <w:r>
        <w:t>Preparação, piloto e coleta</w:t>
      </w:r>
    </w:p>
    <w:p>
      <w:r>
        <w:t>Desenvolvimento incremental com Spec Kit: especificar → planejar → dividir tarefas → implementar → verificar e atualizar documentos. Preparar/revisar gabarito e notas antes do piloto. Ensaio proposto: 2 mudanças × 4 condições × 2 repetições = 16 chamadas, fora da análise principal. Congelar o protocolo; proposta de coleta: 4 × 4 × 5 = 80 chamadas. Análise descritiva, sem generalização para outros sistemas.</w:t>
      </w:r>
    </w:p>
    <w:p>
      <w:pPr>
        <w:pStyle w:val="Heading1"/>
      </w:pPr>
      <w:r>
        <w:t>Três decisões para prosseguir</w:t>
      </w:r>
    </w:p>
    <w:p>
      <w:r>
        <w:t>1. Podemos manter esse objeto e a definição de impacto funcional, substituindo a quarta mudança pela retirada da herança, sem ampliar para um framework geral?</w:t>
      </w:r>
    </w:p>
    <w:p>
      <w:r>
        <w:t>2. A política de seleção e as medidas acima são adequadas? O senhor pode revisar o gabarito e as notas, ou indica outro revisor?</w:t>
      </w:r>
    </w:p>
    <w:p>
      <w:r>
        <w:t>3. Podemos seguir com quatro condições em uma chamada, piloto de 16 e proposta de 80 execuções principais, com versões e quantidade final fixadas após o piloto?</w:t>
      </w:r>
    </w:p>
    <w:p>
      <w:pPr>
        <w:pStyle w:val="Heading1"/>
      </w:pPr>
      <w:r>
        <w:t>Base e limites da avaliação</w:t>
      </w:r>
    </w:p>
    <w:p>
      <w:r>
        <w:rPr>
          <w:sz w:val="17"/>
        </w:rPr>
        <w:t>ISTQB CTFL 4.0.1 apoia rastreabilidade e regressão; ISO/IEC/IEEE 29119-3:2021 delimita documentação de testes (consultada apenas a página pública, sem alegar conformidade). Manning, Raghavan e Schütze fundamentam precisão/recall/F1; Rothermel e Harrold (1996), a avaliação de seleção. O gabarito deriva das regras locais e da revisão humana, não diretamente dessas fontes. Links e detalhes constam no guia.</w:t>
      </w:r>
    </w:p>
    <w:sectPr w:rsidR="00FC693F" w:rsidRPr="0006063C" w:rsidSect="00034616"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Proposta para validação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