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82275" w14:textId="12072F7B" w:rsidR="00982AB4" w:rsidRDefault="00982AB4" w:rsidP="009D47F7">
      <w:pPr>
        <w:spacing w:before="240" w:after="240" w:line="480" w:lineRule="auto"/>
        <w:jc w:val="both"/>
        <w:rPr>
          <w:b/>
        </w:rPr>
      </w:pPr>
      <w:bookmarkStart w:id="0" w:name="_Toc9111055"/>
      <w:r w:rsidRPr="00424187">
        <w:rPr>
          <w:b/>
        </w:rPr>
        <w:t>Resumo</w:t>
      </w:r>
    </w:p>
    <w:p w14:paraId="230AF622" w14:textId="4612C2E9" w:rsidR="000A1DBB" w:rsidRDefault="008217B7" w:rsidP="009D47F7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 evolução da tecnologia da informação tem sido uma constante nas últimas décadas, e uma das responsáveis para isto, além a de atender as demandas das necessidades sociais, é a de compreender seu funcionamento e otimizar as tecnologias envolvidas a fim de permitir que os veículos responsáveis pela transmissão e recepção de dados estejam cada vez mais acessíveis.</w:t>
      </w:r>
      <w:r>
        <w:rPr>
          <w:rFonts w:cs="Arial"/>
        </w:rPr>
        <w:t xml:space="preserve"> </w:t>
      </w:r>
      <w:r>
        <w:rPr>
          <w:rFonts w:cs="Arial"/>
        </w:rPr>
        <w:t xml:space="preserve">O desenvolvimento de </w:t>
      </w:r>
      <w:proofErr w:type="spellStart"/>
      <w:r w:rsidRPr="006D3FA5">
        <w:rPr>
          <w:rFonts w:cs="Arial"/>
          <w:i/>
        </w:rPr>
        <w:t>SDR’s</w:t>
      </w:r>
      <w:proofErr w:type="spellEnd"/>
      <w:r>
        <w:rPr>
          <w:rFonts w:cs="Arial"/>
        </w:rPr>
        <w:t xml:space="preserve"> para investigação, estudo e aplicação em transmissão e recepção de dados </w:t>
      </w:r>
      <w:r w:rsidR="000A1DBB">
        <w:rPr>
          <w:rFonts w:cs="Arial"/>
        </w:rPr>
        <w:t xml:space="preserve">foi </w:t>
      </w:r>
      <w:r>
        <w:rPr>
          <w:rFonts w:cs="Arial"/>
        </w:rPr>
        <w:t xml:space="preserve">um grande passo para simplificação, acesso e redução de custos de uma tecnologia, até então, de acesso restrito a grandes empresas e institutos de pesquisa. Como estudo base, </w:t>
      </w:r>
      <w:r w:rsidR="000A1DBB">
        <w:rPr>
          <w:rFonts w:cs="Arial"/>
        </w:rPr>
        <w:t xml:space="preserve">esta </w:t>
      </w:r>
      <w:r>
        <w:rPr>
          <w:rFonts w:cs="Arial"/>
        </w:rPr>
        <w:t xml:space="preserve">pesquisa </w:t>
      </w:r>
      <w:r w:rsidR="000A1DBB">
        <w:rPr>
          <w:rFonts w:cs="Arial"/>
        </w:rPr>
        <w:t xml:space="preserve">constitui uma fonte de informação para aqueles que desejarem </w:t>
      </w:r>
      <w:r>
        <w:rPr>
          <w:rFonts w:cs="Arial"/>
        </w:rPr>
        <w:t>estabelecer um link de recepção de dados em forma de imagens meteorológicas da constelação NOAA por meio de um segmento solo,</w:t>
      </w:r>
      <w:r w:rsidR="000A1DBB">
        <w:rPr>
          <w:rFonts w:cs="Arial"/>
        </w:rPr>
        <w:t xml:space="preserve"> empregando</w:t>
      </w:r>
      <w:r>
        <w:rPr>
          <w:rFonts w:cs="Arial"/>
        </w:rPr>
        <w:t xml:space="preserve"> recursos simples e acessíveis, como antena de polarização circular, um </w:t>
      </w:r>
      <w:proofErr w:type="spellStart"/>
      <w:r w:rsidRPr="006D3FA5">
        <w:rPr>
          <w:rFonts w:cs="Arial"/>
          <w:i/>
        </w:rPr>
        <w:t>Dongle</w:t>
      </w:r>
      <w:proofErr w:type="spellEnd"/>
      <w:r w:rsidRPr="006D3FA5">
        <w:rPr>
          <w:rFonts w:cs="Arial"/>
          <w:i/>
        </w:rPr>
        <w:t xml:space="preserve"> SDR</w:t>
      </w:r>
      <w:r>
        <w:rPr>
          <w:rFonts w:cs="Arial"/>
        </w:rPr>
        <w:t xml:space="preserve"> e </w:t>
      </w:r>
      <w:r w:rsidRPr="006D3FA5">
        <w:rPr>
          <w:rFonts w:cs="Arial"/>
          <w:i/>
        </w:rPr>
        <w:t>software</w:t>
      </w:r>
      <w:r>
        <w:rPr>
          <w:rFonts w:cs="Arial"/>
        </w:rPr>
        <w:t xml:space="preserve"> para decodificação dos dados. </w:t>
      </w:r>
      <w:r>
        <w:rPr>
          <w:rFonts w:cs="Arial"/>
        </w:rPr>
        <w:t xml:space="preserve"> </w:t>
      </w:r>
      <w:r w:rsidR="000A1DBB">
        <w:rPr>
          <w:rFonts w:cs="Arial"/>
        </w:rPr>
        <w:t>A dinâmica se dá</w:t>
      </w:r>
      <w:r>
        <w:rPr>
          <w:rFonts w:cs="Arial"/>
        </w:rPr>
        <w:t xml:space="preserve"> no desenvolvimento de cada segmento, culminando na integração das partes e estabelecendo uma estação espacial solo de baixo custo e funcional, aproximando o estudante de engenharia da prática dos fundamentos de telecomunicações e o auxiliando a visualizar na prática a teoria assimilada em sala de aula também elucidando o princípio de funcionamento de um segmento espacial solo e sua importância no cenário econômico e inovação tecnológica.</w:t>
      </w:r>
    </w:p>
    <w:p w14:paraId="58CC3305" w14:textId="77777777" w:rsidR="000A1DBB" w:rsidRDefault="000A1DBB" w:rsidP="009D47F7">
      <w:pPr>
        <w:spacing w:after="160" w:line="480" w:lineRule="auto"/>
        <w:rPr>
          <w:rFonts w:cs="Arial"/>
        </w:rPr>
      </w:pPr>
      <w:r>
        <w:rPr>
          <w:rFonts w:cs="Arial"/>
        </w:rPr>
        <w:br w:type="page"/>
      </w:r>
    </w:p>
    <w:p w14:paraId="63B0EA91" w14:textId="53E4D821" w:rsidR="00982AB4" w:rsidRDefault="00982AB4" w:rsidP="009D47F7">
      <w:pPr>
        <w:spacing w:before="240" w:after="240" w:line="480" w:lineRule="auto"/>
        <w:jc w:val="both"/>
        <w:rPr>
          <w:b/>
        </w:rPr>
      </w:pPr>
      <w:r w:rsidRPr="00424187">
        <w:rPr>
          <w:b/>
        </w:rPr>
        <w:lastRenderedPageBreak/>
        <w:t>Introdução</w:t>
      </w:r>
    </w:p>
    <w:p w14:paraId="07DFDBEE" w14:textId="77777777" w:rsidR="009D47F7" w:rsidRDefault="006A5AE8" w:rsidP="009D47F7">
      <w:pPr>
        <w:spacing w:before="240" w:after="240" w:line="480" w:lineRule="auto"/>
        <w:jc w:val="both"/>
      </w:pPr>
      <w:r>
        <w:t>Ainda que o acesso a informação por meios digitais, proporcionado pela rede mundial de computadores, continue aumentando em recursos e demanda, é necessário que os usuários que desejam agregar valor aos seus produtos e serviços compreendam como o acesso e fornecimento da informação</w:t>
      </w:r>
      <w:r w:rsidR="0053117E">
        <w:t>, em forma de dados,</w:t>
      </w:r>
      <w:r>
        <w:t xml:space="preserve"> circula o globo</w:t>
      </w:r>
      <w:r w:rsidR="0053117E">
        <w:t xml:space="preserve"> através dos dispositivos. Portanto, conceitos fundamentais de telecomunicações devem ser levados em consideração no estudo e investigação de quem se propõe a essa tarefa. O emprego de Rádio Definido por Software trouxe uma abordagem mais acessível da prática da área de radiofrequência, consolidando conceitos teóricos de propagação e modulação de ondas eletromagnéticas através do processamento de sinais. </w:t>
      </w:r>
      <w:r w:rsidR="009D47F7">
        <w:t>Aliando hardware e</w:t>
      </w:r>
      <w:r w:rsidR="0044791C">
        <w:t xml:space="preserve"> software</w:t>
      </w:r>
      <w:r w:rsidR="009D47F7">
        <w:t xml:space="preserve"> através de plataformas facilmente configuráveis, o uso de SDR em radiofrequência descortinou um leque de possibilidades para aqueles que já estavam inseridos nas mais diversas áreas do conhecimento que demandam o uso de telecomunicações, como democratizou o acesso para os neófitos das ciências exatas no âmbito educacional e de pesquisa.</w:t>
      </w:r>
    </w:p>
    <w:p w14:paraId="526F5559" w14:textId="01F9E540" w:rsidR="00424187" w:rsidRDefault="00EF1CF5" w:rsidP="009D47F7">
      <w:pPr>
        <w:spacing w:before="240" w:after="240" w:line="480" w:lineRule="auto"/>
        <w:jc w:val="both"/>
      </w:pPr>
      <w:r>
        <w:t xml:space="preserve">Os principais trabalhos relacionados com o tema proposto nesta pesquisa, é a aplicação de SDR em pesquisas cientificas, telecomunicações, transações financeiras de </w:t>
      </w:r>
      <w:proofErr w:type="spellStart"/>
      <w:r>
        <w:t>criptoativos</w:t>
      </w:r>
      <w:proofErr w:type="spellEnd"/>
      <w:r>
        <w:t xml:space="preserve"> e no radioamadorismo. </w:t>
      </w:r>
    </w:p>
    <w:p w14:paraId="664C54CE" w14:textId="60145B39" w:rsidR="007100EC" w:rsidRDefault="007100EC" w:rsidP="009D47F7">
      <w:pPr>
        <w:spacing w:before="240" w:after="240" w:line="480" w:lineRule="auto"/>
        <w:jc w:val="both"/>
      </w:pPr>
      <w:r>
        <w:t xml:space="preserve">Esta tecnologia foi muito bem recebida no mundo dos radioamadores, no qual, equipamentos volumosos e de sintonização fina, puderam ser substituídos por um único dispositivo de hardware e softwares dedicados a decodificação de sinais. </w:t>
      </w:r>
    </w:p>
    <w:p w14:paraId="07FC7760" w14:textId="7EDF57D7" w:rsidR="007100EC" w:rsidRDefault="005C69A0" w:rsidP="005C69A0">
      <w:pPr>
        <w:spacing w:before="240" w:after="240" w:line="480" w:lineRule="auto"/>
        <w:jc w:val="center"/>
      </w:pPr>
      <w:r w:rsidRPr="005C69A0">
        <w:rPr>
          <w:noProof/>
        </w:rPr>
        <w:lastRenderedPageBreak/>
        <w:drawing>
          <wp:inline distT="0" distB="0" distL="0" distR="0" wp14:anchorId="1B420A79" wp14:editId="08D33BA8">
            <wp:extent cx="2142033" cy="1440000"/>
            <wp:effectExtent l="0" t="0" r="0" b="8255"/>
            <wp:docPr id="2" name="Imagem 2" descr="D:\FESP\TCC\TCC-FESP\escrita\intro\radioamad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ESP\TCC\TCC-FESP\escrita\intro\radioamado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0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[2]</w:t>
      </w:r>
      <w:r>
        <w:t xml:space="preserve"> </w:t>
      </w:r>
      <w:r w:rsidRPr="005C69A0">
        <w:rPr>
          <w:noProof/>
        </w:rPr>
        <w:drawing>
          <wp:inline distT="0" distB="0" distL="0" distR="0" wp14:anchorId="4F9884EB" wp14:editId="5F913ADF">
            <wp:extent cx="1918934" cy="1440000"/>
            <wp:effectExtent l="0" t="0" r="5715" b="8255"/>
            <wp:docPr id="1" name="Imagem 1" descr="D:\FESP\TCC\TCC-FESP\escrita\intro\radioamado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ESP\TCC\TCC-FESP\escrita\intro\radioamador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69A0">
        <w:t xml:space="preserve"> </w:t>
      </w:r>
      <w:r w:rsidR="007100EC">
        <w:t xml:space="preserve"> [3]</w:t>
      </w:r>
    </w:p>
    <w:p w14:paraId="0C7D698A" w14:textId="19887A37" w:rsidR="009D042E" w:rsidRDefault="009D042E" w:rsidP="009D47F7">
      <w:pPr>
        <w:spacing w:before="240" w:after="240" w:line="480" w:lineRule="auto"/>
        <w:jc w:val="both"/>
      </w:pPr>
      <w:r>
        <w:t xml:space="preserve">Nas pesquisas científicas, promovidas por institutos, universidades e governos, em parceria com empresas especializadas do setor espacial, tem crescido o desenvolvimento de </w:t>
      </w:r>
      <w:proofErr w:type="spellStart"/>
      <w:r>
        <w:t>CubeSat’s</w:t>
      </w:r>
      <w:proofErr w:type="spellEnd"/>
      <w:r>
        <w:t xml:space="preserve">, que são nano satélites, capazes de embarcar carga útil em volumes de até 10 cm³, sendo um cubo de aresta com 10 cm a menor unidade desse tipo de estrutura. São conhecidos pelo emprego de componentes </w:t>
      </w:r>
      <w:proofErr w:type="spellStart"/>
      <w:r w:rsidRPr="009D042E">
        <w:rPr>
          <w:i/>
        </w:rPr>
        <w:t>cots</w:t>
      </w:r>
      <w:proofErr w:type="spellEnd"/>
      <w:r>
        <w:t xml:space="preserve">, aliando valor agregado que a tecnologia proporciona, com baixo custo de desenvolvimento relacionado a categoria de hardware com os quais são desenvolvidos. </w:t>
      </w:r>
    </w:p>
    <w:p w14:paraId="4CB6C677" w14:textId="09A37773" w:rsidR="009173AF" w:rsidRDefault="005C69A0" w:rsidP="009D47F7">
      <w:pPr>
        <w:spacing w:before="240" w:after="240" w:line="480" w:lineRule="auto"/>
        <w:jc w:val="both"/>
      </w:pPr>
      <w:r w:rsidRPr="005C69A0">
        <w:rPr>
          <w:noProof/>
        </w:rPr>
        <w:drawing>
          <wp:inline distT="0" distB="0" distL="0" distR="0" wp14:anchorId="16355DDA" wp14:editId="373C00D4">
            <wp:extent cx="1620464" cy="1080000"/>
            <wp:effectExtent l="0" t="0" r="0" b="6350"/>
            <wp:docPr id="5" name="Imagem 5" descr="D:\FESP\TCC\TCC-FESP\escrita\intro\cubesa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SP\TCC\TCC-FESP\escrita\intro\cubesat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6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[6]</w:t>
      </w:r>
      <w:r w:rsidRPr="005C69A0">
        <w:rPr>
          <w:noProof/>
        </w:rPr>
        <w:drawing>
          <wp:inline distT="0" distB="0" distL="0" distR="0" wp14:anchorId="185E2E6B" wp14:editId="468998E3">
            <wp:extent cx="1624333" cy="1080000"/>
            <wp:effectExtent l="0" t="0" r="0" b="6350"/>
            <wp:docPr id="4" name="Imagem 4" descr="D:\FESP\TCC\TCC-FESP\escrita\intro\cubesa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FESP\TCC\TCC-FESP\escrita\intro\cubesat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3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[4]</w:t>
      </w:r>
      <w:r w:rsidRPr="005C69A0">
        <w:rPr>
          <w:noProof/>
        </w:rPr>
        <w:drawing>
          <wp:inline distT="0" distB="0" distL="0" distR="0" wp14:anchorId="70277784" wp14:editId="507D653C">
            <wp:extent cx="1964543" cy="1440000"/>
            <wp:effectExtent l="0" t="0" r="0" b="8255"/>
            <wp:docPr id="3" name="Imagem 3" descr="D:\FESP\TCC\TCC-FESP\escrita\intro\cubesa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ESP\TCC\TCC-FESP\escrita\intro\cubesat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5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[5]</w:t>
      </w:r>
    </w:p>
    <w:p w14:paraId="1AE8AB02" w14:textId="5EC3A2FD" w:rsidR="009173AF" w:rsidRDefault="009173AF" w:rsidP="009D47F7">
      <w:pPr>
        <w:spacing w:before="240" w:after="240" w:line="480" w:lineRule="auto"/>
        <w:jc w:val="both"/>
      </w:pPr>
      <w:r>
        <w:t>Aliando este baixo custo de desenvolvimento do segmento espacial, o Rádio Definido por Software soma com o baixo custo de desenvolvimento do segmento solo, proporcionando alta performance, confiabilidade e valor tecnológico no desenvolvimento de um sistema espacial.</w:t>
      </w:r>
    </w:p>
    <w:p w14:paraId="3E1FA3DF" w14:textId="77777777" w:rsidR="007100EC" w:rsidRDefault="00F22969" w:rsidP="009D47F7">
      <w:pPr>
        <w:spacing w:before="240" w:after="240" w:line="480" w:lineRule="auto"/>
        <w:jc w:val="both"/>
      </w:pPr>
      <w:r>
        <w:t xml:space="preserve">Uma das aplicações mais atuais envolvendo link com satélite via desenvolvimento de segmento solo com emprego de SDR, trata-se da iniciativa </w:t>
      </w:r>
      <w:proofErr w:type="spellStart"/>
      <w:r>
        <w:t>BlockStream</w:t>
      </w:r>
      <w:proofErr w:type="spellEnd"/>
      <w:r>
        <w:t xml:space="preserve">, que </w:t>
      </w:r>
      <w:r>
        <w:lastRenderedPageBreak/>
        <w:t xml:space="preserve">gerenciam uma rede de satélites capazes de fazer transações financeiras com </w:t>
      </w:r>
      <w:proofErr w:type="gramStart"/>
      <w:r>
        <w:t>tecnologia</w:t>
      </w:r>
      <w:proofErr w:type="gramEnd"/>
      <w:r>
        <w:t xml:space="preserve"> </w:t>
      </w:r>
      <w:proofErr w:type="spellStart"/>
      <w:r>
        <w:t>Blockchain</w:t>
      </w:r>
      <w:proofErr w:type="spellEnd"/>
      <w:r>
        <w:t xml:space="preserve">. </w:t>
      </w:r>
    </w:p>
    <w:p w14:paraId="1F05BB06" w14:textId="77777777" w:rsidR="00C8602E" w:rsidRDefault="00C8602E" w:rsidP="009D47F7">
      <w:pPr>
        <w:spacing w:before="240" w:after="240" w:line="480" w:lineRule="auto"/>
        <w:jc w:val="both"/>
      </w:pPr>
      <w:r w:rsidRPr="00C8602E">
        <w:rPr>
          <w:noProof/>
        </w:rPr>
        <w:drawing>
          <wp:inline distT="0" distB="0" distL="0" distR="0" wp14:anchorId="7D70D8D4" wp14:editId="1BAFBA2B">
            <wp:extent cx="2412013" cy="1440000"/>
            <wp:effectExtent l="0" t="0" r="7620" b="8255"/>
            <wp:docPr id="7" name="Imagem 7" descr="D:\FESP\TCC\TCC-FESP\escrita\intro\blockstre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ESP\TCC\TCC-FESP\escrita\intro\blockstream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01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[1]</w:t>
      </w:r>
      <w:r w:rsidRPr="00C8602E">
        <w:rPr>
          <w:noProof/>
        </w:rPr>
        <w:drawing>
          <wp:inline distT="0" distB="0" distL="0" distR="0" wp14:anchorId="6D3B43F6" wp14:editId="74F2BB3B">
            <wp:extent cx="2555860" cy="1440000"/>
            <wp:effectExtent l="0" t="0" r="0" b="8255"/>
            <wp:docPr id="6" name="Imagem 6" descr="D:\FESP\TCC\TCC-FESP\escrita\intro\blockstre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FESP\TCC\TCC-FESP\escrita\intro\blockstream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6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[1]</w:t>
      </w:r>
    </w:p>
    <w:p w14:paraId="5CF83302" w14:textId="39E4A0EF" w:rsidR="00F22969" w:rsidRDefault="00F22969" w:rsidP="009D47F7">
      <w:pPr>
        <w:spacing w:before="240" w:after="240" w:line="480" w:lineRule="auto"/>
        <w:jc w:val="both"/>
      </w:pPr>
      <w:r>
        <w:t xml:space="preserve">Aproveitando a característica descentralizada das </w:t>
      </w:r>
      <w:proofErr w:type="spellStart"/>
      <w:r>
        <w:t>criptomoedas</w:t>
      </w:r>
      <w:proofErr w:type="spellEnd"/>
      <w:r>
        <w:t xml:space="preserve">, mais especificamente o </w:t>
      </w:r>
      <w:proofErr w:type="spellStart"/>
      <w:r>
        <w:t>Bitcoin</w:t>
      </w:r>
      <w:proofErr w:type="spellEnd"/>
      <w:r>
        <w:t xml:space="preserve">, utilizam a tecnologia d empregada nas cargas úteis desses satélites também de forma descentralizada para que qualquer pessoa com o instrumental adequado, consiga fazer suas transações sem o intermédio de instituições financeiras, mantendo a confiabilidade que este tipo de processo exige. </w:t>
      </w:r>
    </w:p>
    <w:p w14:paraId="7286245E" w14:textId="77777777" w:rsidR="00C8602E" w:rsidRDefault="00C8602E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4B02546C" w14:textId="08D8717B" w:rsidR="00365092" w:rsidRPr="00424187" w:rsidRDefault="00365092" w:rsidP="009D47F7">
      <w:pPr>
        <w:spacing w:before="240" w:after="240" w:line="480" w:lineRule="auto"/>
        <w:jc w:val="both"/>
        <w:rPr>
          <w:b/>
        </w:rPr>
      </w:pPr>
      <w:r w:rsidRPr="00424187">
        <w:rPr>
          <w:b/>
        </w:rPr>
        <w:lastRenderedPageBreak/>
        <w:t>Método Proposto</w:t>
      </w:r>
    </w:p>
    <w:p w14:paraId="1205F022" w14:textId="7EAC69B7" w:rsidR="00636170" w:rsidRDefault="00636170" w:rsidP="009D47F7">
      <w:pPr>
        <w:spacing w:before="240" w:after="240" w:line="480" w:lineRule="auto"/>
        <w:jc w:val="both"/>
      </w:pPr>
      <w:r>
        <w:t xml:space="preserve">A condução </w:t>
      </w:r>
      <w:r w:rsidR="009848A3">
        <w:t>e desenvolvimento deste trabalho se baseia na divisão do tema</w:t>
      </w:r>
      <w:r w:rsidR="00B1438F">
        <w:t xml:space="preserve"> principal</w:t>
      </w:r>
      <w:r w:rsidR="009848A3">
        <w:t xml:space="preserve"> em subsistemas</w:t>
      </w:r>
      <w:r w:rsidR="00B1438F">
        <w:t>, os quais, serão devidamente explorados e estudados, desde os seus princípios básicos até</w:t>
      </w:r>
      <w:r w:rsidR="008B7F23">
        <w:t xml:space="preserve"> algumas</w:t>
      </w:r>
      <w:r w:rsidR="00B1438F">
        <w:t xml:space="preserve"> áreas </w:t>
      </w:r>
      <w:r w:rsidR="008B7F23">
        <w:t>c</w:t>
      </w:r>
      <w:r w:rsidR="00B1438F">
        <w:t>onsideradas</w:t>
      </w:r>
      <w:r w:rsidR="008B7F23">
        <w:t xml:space="preserve"> de maior relevância</w:t>
      </w:r>
      <w:r w:rsidR="00B1438F">
        <w:t xml:space="preserve"> que merecem uma abordagem mais </w:t>
      </w:r>
      <w:r w:rsidR="008B7F23">
        <w:t xml:space="preserve">específica. </w:t>
      </w:r>
      <w:r w:rsidR="00484BA0">
        <w:t xml:space="preserve">Como a pesquisa é direcionada ao estabelecimento de uma estação solo de baixo custo para recepção dos sinais, temas como modulação e </w:t>
      </w:r>
      <w:proofErr w:type="spellStart"/>
      <w:r w:rsidR="00484BA0">
        <w:t>demodulação</w:t>
      </w:r>
      <w:proofErr w:type="spellEnd"/>
      <w:r w:rsidR="00484BA0">
        <w:t xml:space="preserve"> de informações, dimensionamento de antenas e especificações do hardware utilizado tem uma maior abordagem para os fins aqui propostos. Enquanto os princípios de tecnologias espaciais, os quais, envolvem diretamente os satélites selecionados, seus módulos e funções, características orbitais e modos de operação na aquisição de imagens terrestres, são abordados a título de informação introdutória, com o fim de contextualizar o tema principal da pesquisa.</w:t>
      </w:r>
      <w:r w:rsidR="000A1DBB">
        <w:t xml:space="preserve"> </w:t>
      </w:r>
      <w:r w:rsidR="000A1DBB">
        <w:rPr>
          <w:rFonts w:cs="Arial"/>
        </w:rPr>
        <w:t>O tipo de pesquisa que será mais abordado aqui será a experimental e bibliográfica, já que toda experiência terá como fundamento o uso da teoria aplicada no mundo real, a fim de comprovação, validação e inovação no seu uso tecnológico no contexto de projeto, o qual, envolverá</w:t>
      </w:r>
      <w:r w:rsidR="000A1DBB" w:rsidRPr="009A34A0">
        <w:rPr>
          <w:rFonts w:cs="Arial"/>
        </w:rPr>
        <w:t xml:space="preserve"> o dimensionamento de uma antena para recepção de um sinal analógico, a aquisição dos dados via </w:t>
      </w:r>
      <w:r w:rsidR="000A1DBB" w:rsidRPr="009A34A0">
        <w:rPr>
          <w:rFonts w:cs="Arial"/>
          <w:i/>
        </w:rPr>
        <w:t>hardware,</w:t>
      </w:r>
      <w:r w:rsidR="000A1DBB" w:rsidRPr="009A34A0">
        <w:rPr>
          <w:rFonts w:cs="Arial"/>
        </w:rPr>
        <w:t xml:space="preserve"> decodificação e tratamento dos dados via software e visualização e interpretação dos dados em formato de imagens meteorológicas.</w:t>
      </w:r>
    </w:p>
    <w:p w14:paraId="2BCD48CB" w14:textId="0B3F20DB" w:rsidR="00484BA0" w:rsidRDefault="00484BA0" w:rsidP="009D47F7">
      <w:pPr>
        <w:spacing w:before="240" w:after="240" w:line="480" w:lineRule="auto"/>
        <w:jc w:val="both"/>
      </w:pPr>
      <w:r>
        <w:t xml:space="preserve">A linha do tempo do trabalho pode ser encontrada e consultada no </w:t>
      </w:r>
      <w:proofErr w:type="spellStart"/>
      <w:r>
        <w:t>GitHub</w:t>
      </w:r>
      <w:proofErr w:type="spellEnd"/>
      <w:r>
        <w:t xml:space="preserve"> no seguinte endereço,</w:t>
      </w:r>
      <w:r w:rsidRPr="00A47A3B">
        <w:t xml:space="preserve"> </w:t>
      </w:r>
      <w:hyperlink r:id="rId13" w:history="1">
        <w:r w:rsidR="00A47A3B" w:rsidRPr="00A47A3B">
          <w:rPr>
            <w:rStyle w:val="Hyperlink"/>
            <w:color w:val="auto"/>
            <w:u w:val="none"/>
          </w:rPr>
          <w:t>https://github.com/diegosvs/TCC-FESP</w:t>
        </w:r>
      </w:hyperlink>
      <w:r w:rsidR="00A47A3B">
        <w:t>.</w:t>
      </w:r>
    </w:p>
    <w:p w14:paraId="3228B7D7" w14:textId="36A30915" w:rsidR="0087108D" w:rsidRDefault="0087108D">
      <w:pPr>
        <w:spacing w:after="160" w:line="259" w:lineRule="auto"/>
      </w:pPr>
      <w:r>
        <w:br w:type="page"/>
      </w:r>
    </w:p>
    <w:p w14:paraId="5E811647" w14:textId="1A840798" w:rsidR="0087108D" w:rsidRDefault="0087108D" w:rsidP="0087108D">
      <w:pPr>
        <w:spacing w:before="240" w:after="240" w:line="480" w:lineRule="auto"/>
        <w:jc w:val="both"/>
      </w:pPr>
      <w:r>
        <w:lastRenderedPageBreak/>
        <w:t xml:space="preserve">Referencias </w:t>
      </w:r>
    </w:p>
    <w:p w14:paraId="3226445F" w14:textId="56240744" w:rsidR="0087108D" w:rsidRDefault="0087108D" w:rsidP="0087108D">
      <w:pPr>
        <w:spacing w:before="240" w:after="240" w:line="480" w:lineRule="auto"/>
        <w:jc w:val="both"/>
      </w:pPr>
      <w:r>
        <w:t>[1] https://blockstream.com/, 10/09/2019, 19h18min</w:t>
      </w:r>
    </w:p>
    <w:p w14:paraId="550A5527" w14:textId="3F37AC9F" w:rsidR="0087108D" w:rsidRDefault="0087108D" w:rsidP="0087108D">
      <w:pPr>
        <w:spacing w:before="240" w:after="240" w:line="480" w:lineRule="auto"/>
        <w:jc w:val="both"/>
      </w:pPr>
      <w:r>
        <w:t>[</w:t>
      </w:r>
      <w:proofErr w:type="gramStart"/>
      <w:r>
        <w:t>2]https://grraju.blogspot.com/2010/04/codigo-do-radioamador.html</w:t>
      </w:r>
      <w:proofErr w:type="gramEnd"/>
      <w:r>
        <w:t>, 10/09/2019, 20h02min</w:t>
      </w:r>
    </w:p>
    <w:p w14:paraId="07EAF353" w14:textId="55E61F56" w:rsidR="0087108D" w:rsidRDefault="0087108D" w:rsidP="0087108D">
      <w:pPr>
        <w:spacing w:before="240" w:after="240" w:line="480" w:lineRule="auto"/>
        <w:jc w:val="both"/>
      </w:pPr>
      <w:r>
        <w:t>[</w:t>
      </w:r>
      <w:proofErr w:type="gramStart"/>
      <w:r>
        <w:t>3]https://www.pu2lrz.com/blog/museu-do-radioamador-das-tres-fronteiras/</w:t>
      </w:r>
      <w:proofErr w:type="gramEnd"/>
      <w:r>
        <w:t>, 10/09/2019, 20h05min</w:t>
      </w:r>
    </w:p>
    <w:p w14:paraId="2750000F" w14:textId="784CFC55" w:rsidR="0087108D" w:rsidRDefault="0087108D" w:rsidP="0087108D">
      <w:pPr>
        <w:spacing w:before="240" w:after="240" w:line="480" w:lineRule="auto"/>
        <w:jc w:val="both"/>
      </w:pPr>
      <w:r>
        <w:t>[</w:t>
      </w:r>
      <w:proofErr w:type="gramStart"/>
      <w:r>
        <w:t>4]https://www.nasa.gov/press-release/nasa-opens-new-cubesat-opportunities-for-low-cost-space-exploration</w:t>
      </w:r>
      <w:proofErr w:type="gramEnd"/>
      <w:r>
        <w:t>, 10/09/2019, 21h</w:t>
      </w:r>
    </w:p>
    <w:p w14:paraId="1A5C4618" w14:textId="3C793DC5" w:rsidR="0087108D" w:rsidRDefault="0087108D" w:rsidP="0087108D">
      <w:pPr>
        <w:spacing w:before="240" w:after="240" w:line="480" w:lineRule="auto"/>
        <w:jc w:val="both"/>
      </w:pPr>
      <w:r>
        <w:t>[</w:t>
      </w:r>
      <w:proofErr w:type="gramStart"/>
      <w:r>
        <w:t>5]https://www.nasa.gov/press-release/nasa-television-to-air-cubesat-launch-events</w:t>
      </w:r>
      <w:proofErr w:type="gramEnd"/>
      <w:r>
        <w:t>, 10/09/2019, 21h25min</w:t>
      </w:r>
    </w:p>
    <w:p w14:paraId="27A0485E" w14:textId="60F9BD31" w:rsidR="0087108D" w:rsidRDefault="0087108D" w:rsidP="0087108D">
      <w:pPr>
        <w:spacing w:before="240" w:after="240" w:line="480" w:lineRule="auto"/>
        <w:jc w:val="both"/>
      </w:pPr>
      <w:r>
        <w:t>[</w:t>
      </w:r>
      <w:proofErr w:type="gramStart"/>
      <w:r>
        <w:t>6]https://scitechdaily.com/elfin-cubesats-to-study-how-electrons-escape-the-van-allen-belts/</w:t>
      </w:r>
      <w:proofErr w:type="gramEnd"/>
      <w:r>
        <w:t>, 10/09/2019, 20h54min</w:t>
      </w:r>
      <w:bookmarkStart w:id="1" w:name="_GoBack"/>
      <w:bookmarkEnd w:id="0"/>
      <w:bookmarkEnd w:id="1"/>
    </w:p>
    <w:sectPr w:rsidR="0087108D" w:rsidSect="00E81B2A">
      <w:pgSz w:w="11906" w:h="16838"/>
      <w:pgMar w:top="1418" w:right="1134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951A3"/>
    <w:multiLevelType w:val="multilevel"/>
    <w:tmpl w:val="5BCCF55A"/>
    <w:lvl w:ilvl="0">
      <w:start w:val="1"/>
      <w:numFmt w:val="decimal"/>
      <w:pStyle w:val="Numerada2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782"/>
    <w:rsid w:val="000A1DBB"/>
    <w:rsid w:val="002D52B9"/>
    <w:rsid w:val="00365092"/>
    <w:rsid w:val="00424187"/>
    <w:rsid w:val="0044791C"/>
    <w:rsid w:val="00484BA0"/>
    <w:rsid w:val="0050012B"/>
    <w:rsid w:val="0053117E"/>
    <w:rsid w:val="005C69A0"/>
    <w:rsid w:val="00636170"/>
    <w:rsid w:val="0069176F"/>
    <w:rsid w:val="006A5AE8"/>
    <w:rsid w:val="006D3FA5"/>
    <w:rsid w:val="007100EC"/>
    <w:rsid w:val="008217B7"/>
    <w:rsid w:val="0087108D"/>
    <w:rsid w:val="008B7F23"/>
    <w:rsid w:val="009173AF"/>
    <w:rsid w:val="00982AB4"/>
    <w:rsid w:val="009848A3"/>
    <w:rsid w:val="009A34A0"/>
    <w:rsid w:val="009D042E"/>
    <w:rsid w:val="009D47F7"/>
    <w:rsid w:val="00A47A3B"/>
    <w:rsid w:val="00A82F27"/>
    <w:rsid w:val="00B1438F"/>
    <w:rsid w:val="00B267BC"/>
    <w:rsid w:val="00B713F6"/>
    <w:rsid w:val="00BE2782"/>
    <w:rsid w:val="00C8602E"/>
    <w:rsid w:val="00CB7058"/>
    <w:rsid w:val="00D5329B"/>
    <w:rsid w:val="00DB1A97"/>
    <w:rsid w:val="00E576EB"/>
    <w:rsid w:val="00E81B2A"/>
    <w:rsid w:val="00EE1BAD"/>
    <w:rsid w:val="00EF1CF5"/>
    <w:rsid w:val="00F22969"/>
    <w:rsid w:val="00F6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75F"/>
  <w15:chartTrackingRefBased/>
  <w15:docId w15:val="{8A0CF0DD-C9AA-4775-AA9C-C3623A41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AB4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umerada2"/>
    <w:next w:val="Normal"/>
    <w:link w:val="Ttulo1Char"/>
    <w:qFormat/>
    <w:rsid w:val="00982AB4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982AB4"/>
    <w:rPr>
      <w:rFonts w:ascii="Arial" w:eastAsia="Times New Roman" w:hAnsi="Arial" w:cs="Arial"/>
      <w:b/>
      <w:sz w:val="24"/>
      <w:szCs w:val="24"/>
      <w:lang w:eastAsia="pt-BR"/>
    </w:rPr>
  </w:style>
  <w:style w:type="paragraph" w:styleId="Numerada2">
    <w:name w:val="List Number 2"/>
    <w:basedOn w:val="Normal"/>
    <w:uiPriority w:val="99"/>
    <w:semiHidden/>
    <w:unhideWhenUsed/>
    <w:rsid w:val="00982AB4"/>
    <w:pPr>
      <w:numPr>
        <w:numId w:val="1"/>
      </w:numPr>
      <w:contextualSpacing/>
    </w:pPr>
  </w:style>
  <w:style w:type="character" w:styleId="Hyperlink">
    <w:name w:val="Hyperlink"/>
    <w:basedOn w:val="Fontepargpadro"/>
    <w:uiPriority w:val="99"/>
    <w:semiHidden/>
    <w:unhideWhenUsed/>
    <w:rsid w:val="00A47A3B"/>
    <w:rPr>
      <w:color w:val="0000FF"/>
      <w:u w:val="single"/>
    </w:rPr>
  </w:style>
  <w:style w:type="paragraph" w:customStyle="1" w:styleId="Default">
    <w:name w:val="Default"/>
    <w:rsid w:val="00E576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diegosvs/TCC-FES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EF034-B53A-4D43-B364-A615760F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1041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VIANA</dc:creator>
  <cp:keywords/>
  <dc:description/>
  <cp:lastModifiedBy>DIEGO VIANA</cp:lastModifiedBy>
  <cp:revision>23</cp:revision>
  <dcterms:created xsi:type="dcterms:W3CDTF">2019-09-08T04:06:00Z</dcterms:created>
  <dcterms:modified xsi:type="dcterms:W3CDTF">2019-09-10T23:36:00Z</dcterms:modified>
</cp:coreProperties>
</file>