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36" w:rsidRDefault="0044117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A AWS segue sendo a líder de mercado na oferta de computação em nuvem com 31% de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market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global, mas as rivais Microsoft e Google revelam crescimento. O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da MS, ficou com 24%, e a Google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com 11%, revela pesquisa feita pela Stocklytics.com.</w:t>
      </w:r>
    </w:p>
    <w:p w:rsidR="00441177" w:rsidRDefault="00441177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53B45" w:rsidRDefault="00441177" w:rsidP="00953B45">
      <w:pPr>
        <w:pBdr>
          <w:bottom w:val="single" w:sz="6" w:space="1" w:color="auto"/>
        </w:pBd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Market </w:t>
      </w:r>
      <w:proofErr w:type="spell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share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ou participação/quota de mercado, em tradução livre, </w:t>
      </w:r>
      <w:r>
        <w:rPr>
          <w:rFonts w:ascii="Arial" w:hAnsi="Arial" w:cs="Arial"/>
          <w:color w:val="040C28"/>
          <w:sz w:val="30"/>
          <w:szCs w:val="30"/>
        </w:rPr>
        <w:t>é a porcentagem de vendas pela qual uma empresa é responsável dentro do seu nicho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:rsidR="00441177" w:rsidRDefault="00953B45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040C28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02.65pt">
            <v:imagedata r:id="rId5" o:title="microsoft-azure-revenue-growth"/>
          </v:shape>
        </w:pict>
      </w:r>
    </w:p>
    <w:p w:rsidR="00953B45" w:rsidRDefault="00953B45" w:rsidP="00953B45">
      <w:pPr>
        <w:pStyle w:val="NormalWeb"/>
        <w:shd w:val="clear" w:color="auto" w:fill="F9F5F3"/>
        <w:rPr>
          <w:rFonts w:ascii="Segoe UI" w:hAnsi="Segoe UI" w:cs="Segoe UI"/>
          <w:color w:val="4C4243"/>
        </w:rPr>
      </w:pPr>
      <w:r>
        <w:rPr>
          <w:rFonts w:ascii="Segoe UI" w:hAnsi="Segoe UI" w:cs="Segoe UI"/>
          <w:color w:val="4C4243"/>
        </w:rPr>
        <w:t>Em 2020, a Microsoft informou que sua nuvem comercial atingiu oficialmente a marca de </w:t>
      </w:r>
      <w:hyperlink r:id="rId6" w:tgtFrame="_blank" w:history="1">
        <w:r>
          <w:rPr>
            <w:rStyle w:val="Hyperlink"/>
            <w:rFonts w:ascii="Segoe UI" w:hAnsi="Segoe UI" w:cs="Segoe UI"/>
          </w:rPr>
          <w:t>50 bilhões de dólares</w:t>
        </w:r>
      </w:hyperlink>
      <w:r>
        <w:rPr>
          <w:rFonts w:ascii="Segoe UI" w:hAnsi="Segoe UI" w:cs="Segoe UI"/>
          <w:color w:val="4C4243"/>
        </w:rPr>
        <w:t> para sua taxa anual de execução.</w:t>
      </w:r>
    </w:p>
    <w:p w:rsidR="00953B45" w:rsidRDefault="00953B45" w:rsidP="00953B45">
      <w:pPr>
        <w:pStyle w:val="NormalWeb"/>
        <w:shd w:val="clear" w:color="auto" w:fill="F9F5F3"/>
        <w:rPr>
          <w:rFonts w:ascii="Segoe UI" w:hAnsi="Segoe UI" w:cs="Segoe UI"/>
          <w:color w:val="4C4243"/>
        </w:rPr>
      </w:pPr>
      <w:r>
        <w:rPr>
          <w:rFonts w:ascii="Segoe UI" w:hAnsi="Segoe UI" w:cs="Segoe UI"/>
          <w:color w:val="4C4243"/>
        </w:rPr>
        <w:t>Isso marca um marco de receita impressionante, pois há menos de 4 anos atrás, sua taxa de execução fiscal para serviços em nuvem era inferior a 10 bilhões de dólares.</w:t>
      </w:r>
    </w:p>
    <w:p w:rsidR="00953B45" w:rsidRDefault="00953B45" w:rsidP="00953B45">
      <w:pPr>
        <w:pStyle w:val="NormalWeb"/>
        <w:shd w:val="clear" w:color="auto" w:fill="F9F5F3"/>
        <w:rPr>
          <w:rFonts w:ascii="Segoe UI" w:hAnsi="Segoe UI" w:cs="Segoe UI"/>
          <w:color w:val="4C4243"/>
        </w:rPr>
      </w:pPr>
      <w:r>
        <w:rPr>
          <w:rFonts w:ascii="Segoe UI" w:hAnsi="Segoe UI" w:cs="Segoe UI"/>
          <w:color w:val="4C4243"/>
          <w:shd w:val="clear" w:color="auto" w:fill="F9F5F3"/>
        </w:rPr>
        <w:t>De acordo com os </w:t>
      </w:r>
      <w:hyperlink r:id="rId7" w:tgtFrame="_blank" w:history="1">
        <w:r>
          <w:rPr>
            <w:rStyle w:val="Hyperlink"/>
            <w:rFonts w:ascii="Segoe UI" w:hAnsi="Segoe UI" w:cs="Segoe UI"/>
            <w:shd w:val="clear" w:color="auto" w:fill="F9F5F3"/>
          </w:rPr>
          <w:t>relatórios oficiais de ganhos</w:t>
        </w:r>
      </w:hyperlink>
      <w:r>
        <w:rPr>
          <w:rFonts w:ascii="Segoe UI" w:hAnsi="Segoe UI" w:cs="Segoe UI"/>
          <w:color w:val="4C4243"/>
          <w:shd w:val="clear" w:color="auto" w:fill="F9F5F3"/>
        </w:rPr>
        <w:t xml:space="preserve"> da Microsoft, estes são os números oficiais do crescimento da receita do </w:t>
      </w:r>
      <w:proofErr w:type="spellStart"/>
      <w:r>
        <w:rPr>
          <w:rFonts w:ascii="Segoe UI" w:hAnsi="Segoe UI" w:cs="Segoe UI"/>
          <w:color w:val="4C4243"/>
          <w:shd w:val="clear" w:color="auto" w:fill="F9F5F3"/>
        </w:rPr>
        <w:t>Azure</w:t>
      </w:r>
      <w:proofErr w:type="spellEnd"/>
      <w:r>
        <w:rPr>
          <w:rFonts w:ascii="Segoe UI" w:hAnsi="Segoe UI" w:cs="Segoe UI"/>
          <w:color w:val="4C4243"/>
          <w:shd w:val="clear" w:color="auto" w:fill="F9F5F3"/>
        </w:rPr>
        <w:t xml:space="preserve"> nos últimos 10 trimestres: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Q2 2018: +98%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Q3 2018: +93%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Q4 2018: +89%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Q1 2019: +76%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lastRenderedPageBreak/>
        <w:t>Q2 2019: +76%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Q3 2019: +73%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Q4 2019: +64%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Q1 2020: +59%</w:t>
      </w:r>
    </w:p>
    <w:p w:rsidR="00953B45" w:rsidRP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Q2 2020: +62%</w:t>
      </w:r>
    </w:p>
    <w:p w:rsidR="00953B45" w:rsidRDefault="00953B45" w:rsidP="00953B4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r w:rsidRPr="00953B45"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  <w:t>Q3 2020: +59%</w:t>
      </w:r>
    </w:p>
    <w:p w:rsidR="00953B45" w:rsidRPr="00953B45" w:rsidRDefault="00953B45" w:rsidP="00953B4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C4243"/>
          <w:sz w:val="24"/>
          <w:szCs w:val="24"/>
          <w:lang w:eastAsia="pt-BR"/>
        </w:rPr>
      </w:pPr>
      <w:bookmarkStart w:id="0" w:name="_GoBack"/>
      <w:bookmarkEnd w:id="0"/>
    </w:p>
    <w:p w:rsidR="00953B45" w:rsidRPr="00441177" w:rsidRDefault="00953B45">
      <w:pPr>
        <w:rPr>
          <w:rFonts w:ascii="Arial" w:hAnsi="Arial" w:cs="Arial"/>
          <w:color w:val="040C28"/>
          <w:sz w:val="30"/>
          <w:szCs w:val="30"/>
        </w:rPr>
      </w:pPr>
    </w:p>
    <w:sectPr w:rsidR="00953B45" w:rsidRPr="00441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6CCE"/>
    <w:multiLevelType w:val="multilevel"/>
    <w:tmpl w:val="BC2C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77"/>
    <w:rsid w:val="00441177"/>
    <w:rsid w:val="00753F36"/>
    <w:rsid w:val="009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4E25"/>
  <w15:chartTrackingRefBased/>
  <w15:docId w15:val="{DAC08E92-E215-433D-B4CC-11C3E71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5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Investor/earnings/FY-2020-Q3/press-release-web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dnet.com/article/microsofts-q2-surges-commercial-cloud-hits-50-billion-annual-run-rate-azure-revenue-up-6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2024-08-14T23:25:00Z</dcterms:created>
  <dcterms:modified xsi:type="dcterms:W3CDTF">2024-08-14T23:44:00Z</dcterms:modified>
</cp:coreProperties>
</file>