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609"/>
        <w:gridCol w:w="1487"/>
        <w:gridCol w:w="1080"/>
        <w:gridCol w:w="2098"/>
      </w:tblGrid>
      <w:tr>
        <w:trPr>
          <w:trHeight w:val="617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Disease status (primary outcome)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 status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 (95% CI)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(54.1%)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 (38.5%)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(Ref)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Former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 (32.3%)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(0.89 - 1.65)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(1.54 - 2.68)</w:t>
            </w:r>
          </w:p>
        </w:tc>
      </w:tr>
      <w:tr>
        <w:trPr>
          <w:trHeight w:val="574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footer1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Pearson's Chi-squared test: p-value &lt; 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2026-02-07T14:09:07Z</dcterms:modified>
  <cp:category/>
</cp:coreProperties>
</file>