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15"/>
        <w:gridCol w:w="1609"/>
        <w:gridCol w:w="1487"/>
        <w:gridCol w:w="1080"/>
        <w:gridCol w:w="2098"/>
      </w:tblGrid>
      <w:tr>
        <w:trPr>
          <w:trHeight w:val="617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status (primary outcome)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 (95% CI)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 (54.1%)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(38.5%)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(0.89 - 1.65)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 (1.54 - 2.68)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test: p-value &lt; 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2026-02-20T14:10:29Z</dcterms:modified>
  <cp:category/>
</cp:coreProperties>
</file>