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15"/>
        <w:gridCol w:w="1609"/>
        <w:gridCol w:w="1487"/>
        <w:gridCol w:w="1080"/>
        <w:gridCol w:w="2098"/>
      </w:tblGrid>
      <w:tr>
        <w:trPr>
          <w:trHeight w:val="617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Disease status (primary outcome)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 status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Sum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 (95% CI)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179 (54.1%)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 (38.5%)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(Ref)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 (30.2%)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 (0.89 - 1.65)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Current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 (31.4%)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2.03 (1.54 - 2.68)</w:t>
            </w:r>
          </w:p>
        </w:tc>
      </w:tr>
      <w:tr>
        <w:trPr>
          <w:trHeight w:val="574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Pearson's Chi-squared test: p-value &lt; 0.001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2026-02-07T14:49:35Z</dcterms:modified>
  <cp:category/>
</cp:coreProperties>
</file>