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- AMAZON EKS/ECS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Amazon EKS e ECS são serviços oferecidos pela Amazon AWS (Amazon Web Service), serviços em nuvem fornecidos pela Amazon.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EKS ou Elastic Kubernetes Service é o serviço baseado e que facilita o uso do Kubernetes, um gerenciador de contêineres, procurado para quando quer um gerenciamento facilitado das cluster de contêineres, automatizando tarefas como configuração, manutenção e dimensionamento do cluster.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ECS ou Elastic Container Service é um serviço de gerenciamento de contêineres sem a necessidade da instalação de outro serviço como Kubernetes, sendo mais vinculado com a AWS, sendo mais indicado quando for usado em conjunto com outros serviços da AWS.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6" w:type="default"/>
      <w:pgSz w:h="16840" w:w="11900" w:orient="portrait"/>
      <w:pgMar w:bottom="993" w:top="1701" w:left="993" w:right="84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  <w:font w:name="Viner Hand IT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07"/>
      </w:tabs>
      <w:spacing w:after="0" w:before="0" w:line="240" w:lineRule="auto"/>
      <w:ind w:left="0" w:right="0" w:firstLine="0"/>
      <w:jc w:val="left"/>
      <w:rPr>
        <w:rFonts w:ascii="Viner Hand ITC" w:cs="Viner Hand ITC" w:eastAsia="Viner Hand ITC" w:hAnsi="Viner Hand ITC"/>
        <w:b w:val="0"/>
        <w:i w:val="0"/>
        <w:smallCaps w:val="0"/>
        <w:strike w:val="0"/>
        <w:color w:val="00206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Viner Hand ITC" w:cs="Viner Hand ITC" w:eastAsia="Viner Hand ITC" w:hAnsi="Viner Hand ITC"/>
        <w:b w:val="1"/>
        <w:i w:val="0"/>
        <w:smallCaps w:val="0"/>
        <w:strike w:val="0"/>
        <w:color w:val="002060"/>
        <w:sz w:val="28"/>
        <w:szCs w:val="28"/>
        <w:u w:val="none"/>
        <w:shd w:fill="auto" w:val="clear"/>
        <w:vertAlign w:val="baseline"/>
        <w:rtl w:val="0"/>
      </w:rPr>
      <w:t xml:space="preserve">                           ADS                              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-286384</wp:posOffset>
          </wp:positionV>
          <wp:extent cx="950595" cy="906145"/>
          <wp:effectExtent b="0" l="0" r="0" t="0"/>
          <wp:wrapSquare wrapText="bothSides" distB="0" distT="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0595" cy="9061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07"/>
      </w:tabs>
      <w:spacing w:after="0" w:before="0" w:line="240" w:lineRule="auto"/>
      <w:ind w:left="0" w:right="0" w:firstLine="0"/>
      <w:jc w:val="left"/>
      <w:rPr>
        <w:rFonts w:ascii="Viner Hand ITC" w:cs="Viner Hand ITC" w:eastAsia="Viner Hand ITC" w:hAnsi="Viner Hand ITC"/>
        <w:b w:val="0"/>
        <w:i w:val="0"/>
        <w:smallCaps w:val="0"/>
        <w:strike w:val="0"/>
        <w:color w:val="1f497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Viner Hand ITC" w:cs="Viner Hand ITC" w:eastAsia="Viner Hand ITC" w:hAnsi="Viner Hand ITC"/>
        <w:b w:val="1"/>
        <w:i w:val="0"/>
        <w:smallCaps w:val="0"/>
        <w:strike w:val="0"/>
        <w:color w:val="002060"/>
        <w:sz w:val="28"/>
        <w:szCs w:val="28"/>
        <w:u w:val="none"/>
        <w:shd w:fill="auto" w:val="clear"/>
        <w:vertAlign w:val="baseline"/>
        <w:rtl w:val="0"/>
      </w:rPr>
      <w:t xml:space="preserve">                           Análise e Desenvolvimento de Sistemas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-647699</wp:posOffset>
          </wp:positionH>
          <wp:positionV relativeFrom="paragraph">
            <wp:posOffset>0</wp:posOffset>
          </wp:positionV>
          <wp:extent cx="7549515" cy="1069213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49515" cy="1069213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