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E1631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bookmarkStart w:id="0" w:name="OLE_LINK1"/>
      <w:r w:rsidRPr="001A0FB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CENTRO UNIVERSITÁRIO IMEPAC ARAGUARI</w:t>
      </w:r>
    </w:p>
    <w:p w14:paraId="3A160A67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A99D886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B1474FA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5AD89507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1DA1146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65D57B33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9E44C63" w14:textId="1AFBCE8A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EDUARDO JARDIM OLIVEIRA</w:t>
      </w:r>
    </w:p>
    <w:p w14:paraId="56534B47" w14:textId="77777777" w:rsidR="001A0FBC" w:rsidRPr="001A0FBC" w:rsidRDefault="001A0FBC" w:rsidP="001A0FBC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547BD06A" w14:textId="77777777" w:rsidR="001A0FBC" w:rsidRPr="001A0FBC" w:rsidRDefault="001A0FBC" w:rsidP="001A0FBC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2CF74262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24BA7535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202F304C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D5C965F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4018E47" w14:textId="77777777" w:rsidR="001A0FBC" w:rsidRPr="001A0FBC" w:rsidRDefault="001A0FBC" w:rsidP="001A0FBC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ABC3CD7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1A0FB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APLICAÇÃO DE MICROSSERVIÇOS NA CLÍNICA MÉDICA: USO DA TECNOLOGIA PARA MELHORAR O ATENDIMENTO DE </w:t>
      </w:r>
      <w:proofErr w:type="gramStart"/>
      <w:r w:rsidRPr="001A0FB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CLINICA</w:t>
      </w:r>
      <w:proofErr w:type="gramEnd"/>
      <w:r w:rsidRPr="001A0FB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MEDICA</w:t>
      </w:r>
    </w:p>
    <w:p w14:paraId="2276F879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926F0E1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5F3C70B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2427F300" w14:textId="77777777" w:rsidR="001A0FBC" w:rsidRPr="001A0FBC" w:rsidRDefault="001A0FBC" w:rsidP="001A0FBC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2BA2002C" w14:textId="77777777" w:rsidR="001A0FBC" w:rsidRPr="001A0FBC" w:rsidRDefault="001A0FBC" w:rsidP="001A0FBC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00ED622B" w14:textId="77777777" w:rsidR="001A0FBC" w:rsidRPr="001A0FBC" w:rsidRDefault="001A0FBC" w:rsidP="001A0FBC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2DDBB85B" w14:textId="77777777" w:rsidR="001A0FBC" w:rsidRPr="001A0FBC" w:rsidRDefault="001A0FBC" w:rsidP="001A0FBC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613C3F65" w14:textId="77777777" w:rsidR="001A0FBC" w:rsidRPr="001A0FBC" w:rsidRDefault="001A0FBC" w:rsidP="001A0FBC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5F58DDD8" w14:textId="77777777" w:rsidR="001A0FBC" w:rsidRPr="001A0FBC" w:rsidRDefault="001A0FBC" w:rsidP="001A0FBC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6F438906" w14:textId="77777777" w:rsidR="001A0FBC" w:rsidRPr="001A0FBC" w:rsidRDefault="001A0FBC" w:rsidP="001A0FBC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0CEC980E" w14:textId="77777777" w:rsidR="001A0FBC" w:rsidRPr="001A0FBC" w:rsidRDefault="001A0FBC" w:rsidP="001A0FBC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6B9201B6" w14:textId="77777777" w:rsidR="001A0FBC" w:rsidRPr="001A0FBC" w:rsidRDefault="001A0FBC" w:rsidP="001A0FBC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5B589EE6" w14:textId="77777777" w:rsidR="001A0FBC" w:rsidRPr="001A0FBC" w:rsidRDefault="001A0FBC" w:rsidP="001A0FBC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1D4BA17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08F3EAB6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1080003E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1A0FB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ARAGUARI</w:t>
      </w:r>
    </w:p>
    <w:p w14:paraId="1995FFE0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1A0FB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DEZEMBRO/2024</w:t>
      </w:r>
    </w:p>
    <w:p w14:paraId="2A85F471" w14:textId="53266E59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EDUARDO JARDIM OLIVEIRA</w:t>
      </w:r>
    </w:p>
    <w:p w14:paraId="6FFF5223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30FF06AC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2AFB4FF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69BF8389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32603FF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147436B0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962CABD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6E089577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5A5AEA25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6CD56747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51E806D4" w14:textId="145020DF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1A0FB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APLICAÇÃO DE MICROSSERVIÇOS NA CLÍNICA MÉDICA: USO DA TECNOLOGIA </w:t>
      </w:r>
      <w:r w:rsidR="006A18A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SPRING CLOUD OPENFEIGN</w:t>
      </w:r>
    </w:p>
    <w:p w14:paraId="4D5ACC68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2F608002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241B987B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51B572A9" w14:textId="77777777" w:rsidR="001A0FBC" w:rsidRPr="001A0FBC" w:rsidRDefault="001A0FBC" w:rsidP="001A0FB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38FC9E47" w14:textId="77777777" w:rsidR="001A0FBC" w:rsidRPr="001A0FBC" w:rsidRDefault="001A0FBC" w:rsidP="001A0FBC">
      <w:pPr>
        <w:widowControl w:val="0"/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A0FBC">
        <w:rPr>
          <w:rFonts w:ascii="Times New Roman" w:eastAsia="Times New Roman" w:hAnsi="Times New Roman" w:cs="Times New Roman"/>
          <w:sz w:val="24"/>
          <w:szCs w:val="24"/>
          <w:lang w:val="pt-BR"/>
        </w:rPr>
        <w:t>Trabalho de Pesquisa apresentado ao Curso de Tecnologia em Análise e Desenvolvimento de Sistemas do Centro Universitário IMEPAC, como requisito parcial à obtenção do aproveitamento da disciplina de Programação Orientada a Objetos.</w:t>
      </w:r>
    </w:p>
    <w:p w14:paraId="4E50DE50" w14:textId="77777777" w:rsidR="001A0FBC" w:rsidRPr="001A0FBC" w:rsidRDefault="001A0FBC" w:rsidP="001A0FBC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sz w:val="14"/>
          <w:szCs w:val="14"/>
          <w:lang w:val="pt-BR"/>
        </w:rPr>
      </w:pPr>
    </w:p>
    <w:p w14:paraId="0F6D78B5" w14:textId="77777777" w:rsidR="001A0FBC" w:rsidRPr="001A0FBC" w:rsidRDefault="001A0FBC" w:rsidP="001A0FBC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1A0FBC">
        <w:rPr>
          <w:rFonts w:ascii="Times New Roman" w:eastAsia="Times New Roman" w:hAnsi="Times New Roman" w:cs="Times New Roman"/>
          <w:sz w:val="24"/>
          <w:szCs w:val="24"/>
          <w:lang w:val="pt-BR"/>
        </w:rPr>
        <w:t>Orientador: Prof. Me. Everton Hipólito de Freitas</w:t>
      </w:r>
    </w:p>
    <w:p w14:paraId="75BC82D4" w14:textId="77777777" w:rsidR="001A0FBC" w:rsidRPr="001A0FBC" w:rsidRDefault="001A0FBC" w:rsidP="001A0FBC">
      <w:pPr>
        <w:widowControl w:val="0"/>
        <w:spacing w:line="360" w:lineRule="auto"/>
        <w:ind w:left="504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bookmarkEnd w:id="0"/>
    <w:p w14:paraId="3D2DD900" w14:textId="7C127865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lastRenderedPageBreak/>
        <w:t xml:space="preserve">Spring Cloud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com Convênios e Especialidades</w:t>
      </w:r>
    </w:p>
    <w:p w14:paraId="21324505" w14:textId="0D07B75F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Pr="006A18A1">
        <w:rPr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lang w:val="pt-BR"/>
        </w:rPr>
        <w:t>⁠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</w:t>
      </w:r>
      <w:r w:rsidRPr="006A18A1">
        <w:rPr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lang w:val="pt-BR"/>
        </w:rPr>
        <w:t>⁠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Introdução</w:t>
      </w:r>
    </w:p>
    <w:p w14:paraId="1716FBAE" w14:textId="2E299A0D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O Spring Cloud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é uma biblioteca que simplifica a comunicação entre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microserviços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, permitindo que chamadas HTTP sejam feitas de maneira declarativa. Integrado com o Spring Boot, o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oferece uma solução eficiente para a comunicação entre serviços em sistemas de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microserviços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, como em um sistema de gerenciamento de convênios e especialidades médicas.</w:t>
      </w:r>
    </w:p>
    <w:p w14:paraId="16D2F46C" w14:textId="181F2129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No contexto de uma clínica médica, por exemplo, o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pode ser usado para se comunicar com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microserviços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responsáveis pelo gerenciamento de convênios e especialidades médicas, oferecendo uma forma simplificada de integrar dados e operações entre diferentes partes do sistema.</w:t>
      </w:r>
    </w:p>
    <w:p w14:paraId="76CC2532" w14:textId="7D47D6CB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2.</w:t>
      </w:r>
      <w:r w:rsidRPr="006A18A1">
        <w:rPr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lang w:val="pt-BR"/>
        </w:rPr>
        <w:t>⁠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</w:t>
      </w:r>
      <w:r w:rsidRPr="006A18A1">
        <w:rPr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lang w:val="pt-BR"/>
        </w:rPr>
        <w:t>⁠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Funcionalidades Principais</w:t>
      </w:r>
    </w:p>
    <w:p w14:paraId="10BBEC39" w14:textId="77777777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>•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 xml:space="preserve">Declaração Simples: Ao invés de escrever código manual para realizar chamadas HTTP, o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permite que os desenvolvedores definam interfaces Java anotadas, que automaticamente realizam as chamadas HTTP.</w:t>
      </w:r>
    </w:p>
    <w:p w14:paraId="14620054" w14:textId="77777777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>•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 xml:space="preserve">Integração com o Spring: O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se integra diretamente ao Spring Boot, aproveitando as funcionalidades de configuração e injeção de dependência, além de garantir um bom gerenciamento de erros e segurança.</w:t>
      </w:r>
    </w:p>
    <w:p w14:paraId="0EB36425" w14:textId="77777777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>•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 xml:space="preserve">Balanceamento de Carga: Quando integrado com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Ribbon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, o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pode balancear automaticamente as requisições entre várias instâncias de um serviço, garantindo maior disponibilidade e desempenho.</w:t>
      </w:r>
    </w:p>
    <w:p w14:paraId="3EBA8725" w14:textId="48081B18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lastRenderedPageBreak/>
        <w:tab/>
        <w:t>•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 xml:space="preserve">Tolerância a Falhas: A integração com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Hystrix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permite configurar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fallbacks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, ou seja, métodos alternativos, para serem usados quando um serviço falha, garantindo resiliência.</w:t>
      </w:r>
    </w:p>
    <w:p w14:paraId="5B7E84D8" w14:textId="7A04429B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3.</w:t>
      </w:r>
      <w:r w:rsidRPr="006A18A1">
        <w:rPr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lang w:val="pt-BR"/>
        </w:rPr>
        <w:t>⁠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</w:t>
      </w:r>
      <w:r w:rsidRPr="006A18A1">
        <w:rPr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lang w:val="pt-BR"/>
        </w:rPr>
        <w:t>⁠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Como Funciona o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</w:p>
    <w:p w14:paraId="1FBB3381" w14:textId="77777777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>1.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 xml:space="preserve">Dependência: O Spring Cloud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deve ser adicionado ao projeto.</w:t>
      </w:r>
    </w:p>
    <w:p w14:paraId="6BB397F4" w14:textId="77777777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>2.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 xml:space="preserve">Ativação: A anotação @EnableFeignClients ativa o suporte a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no Spring Boot.</w:t>
      </w:r>
    </w:p>
    <w:p w14:paraId="63D95F67" w14:textId="77777777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>3.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 xml:space="preserve">Definição de Interfaces: As interfaces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são anotadas com @FeignClient, e os métodos dentro dessas interfaces representam as operações HTTP que serão executadas.</w:t>
      </w:r>
    </w:p>
    <w:p w14:paraId="6CAAE77C" w14:textId="107C1AD0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>4.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  <w:t xml:space="preserve">Uso: As interfaces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são injetadas em serviços ou controladores, permitindo a comunicação entre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microserviços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.</w:t>
      </w:r>
    </w:p>
    <w:p w14:paraId="7D39EB10" w14:textId="041D63A0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4.</w:t>
      </w:r>
      <w:r w:rsidRPr="006A18A1">
        <w:rPr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lang w:val="pt-BR"/>
        </w:rPr>
        <w:t>⁠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</w:t>
      </w:r>
      <w:r w:rsidRPr="006A18A1">
        <w:rPr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lang w:val="pt-BR"/>
        </w:rPr>
        <w:t>⁠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Exemplos de Aplicação com Convênios e Especialidades</w:t>
      </w:r>
    </w:p>
    <w:p w14:paraId="31FBC0D2" w14:textId="77777777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No contexto de convênios e especialidades médicas, o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pode ser usado para integrar diferentes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microserviços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que lidam com essas entidades. Por exemplo, um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microserviço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que gerencia convênios médicos pode ser consumido por outro serviço que precise acessar ou atualizar informações de convênios. A mesma abordagem se aplica às especialidades médicas, permitindo que diferentes partes do sistema acessem e modifiquem as especialidades disponíveis na clínica.</w:t>
      </w:r>
    </w:p>
    <w:p w14:paraId="22210372" w14:textId="77777777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</w:p>
    <w:p w14:paraId="49E41337" w14:textId="76839E3B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lastRenderedPageBreak/>
        <w:t xml:space="preserve">Os serviços de convênios e especialidades podem ser definidos em interfaces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, onde as operações como criar, consultar, atualizar e excluir essas entidades serão feitas com chamadas HTTP diretamente para os serviços responsáveis por elas. Isso simplifica o código, pois a lógica de comunicação com os outros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microserviços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é abstraída pelo Spring Cloud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.</w:t>
      </w:r>
    </w:p>
    <w:p w14:paraId="251A7E51" w14:textId="325A249C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5.</w:t>
      </w:r>
      <w:r w:rsidRPr="006A18A1">
        <w:rPr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lang w:val="pt-BR"/>
        </w:rPr>
        <w:t>⁠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</w:t>
      </w:r>
      <w:r w:rsidRPr="006A18A1">
        <w:rPr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lang w:val="pt-BR"/>
        </w:rPr>
        <w:t>⁠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Fallback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e Tolerância a Falhas</w:t>
      </w:r>
    </w:p>
    <w:p w14:paraId="5B0A7F31" w14:textId="473B5328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O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permite implementar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fallbacks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que são métodos alternativos executados quando o serviço remoto não está </w:t>
      </w:r>
      <w:proofErr w:type="gram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disponível ou falha</w:t>
      </w:r>
      <w:proofErr w:type="gram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. Por exemplo, se o serviço que gerencia os convênios estiver fora do ar, um método de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fallback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pode ser chamado para retornar uma resposta padrão ou uma mensagem de erro amigável. Isso ajuda a garantir que o sistema continue funcionando, mesmo que alguns serviços não estejam acessíveis.</w:t>
      </w:r>
    </w:p>
    <w:p w14:paraId="717C12CD" w14:textId="49F2013E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6.</w:t>
      </w:r>
      <w:r w:rsidRPr="006A18A1">
        <w:rPr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lang w:val="pt-BR"/>
        </w:rPr>
        <w:t>⁠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</w:t>
      </w:r>
      <w:r w:rsidRPr="006A18A1">
        <w:rPr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lang w:val="pt-BR"/>
        </w:rPr>
        <w:t>⁠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Conclusão</w:t>
      </w:r>
    </w:p>
    <w:p w14:paraId="17B0E82C" w14:textId="64268DF3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O Spring Cloud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oferece uma solução elegante e simplificada para a comunicação entre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microserviços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. Sua capacidade de abstrair as chamadas HTTP e integrá-las ao ecossistema Spring permite a criação de sistemas mais ágeis, escaláveis e resilientes. No contexto de um sistema de gestão de convênios e especialidades médicas, o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 xml:space="preserve"> facilita a integração entre diferentes serviços, garantindo maior eficiência e resiliência no gerenciamento desses dados essenciais.</w:t>
      </w:r>
    </w:p>
    <w:p w14:paraId="192A4587" w14:textId="77777777" w:rsid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4D7DAC9D" w14:textId="77777777" w:rsid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53A05447" w14:textId="77777777" w:rsid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1B5CC872" w14:textId="48CDF81E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lastRenderedPageBreak/>
        <w:t>Referências</w:t>
      </w:r>
      <w:proofErr w:type="spellEnd"/>
    </w:p>
    <w:p w14:paraId="51828D5D" w14:textId="77777777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ab/>
        <w:t>•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ab/>
        <w:t xml:space="preserve">SPRING CLOUD. Spring Cloud </w:t>
      </w:r>
      <w:proofErr w:type="spellStart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OpenFeign</w:t>
      </w:r>
      <w:proofErr w:type="spellEnd"/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Disponível em: https://spring.io/projects/spring-cloud-openfeign.</w:t>
      </w:r>
    </w:p>
    <w:p w14:paraId="1875FB5C" w14:textId="77777777" w:rsidR="006A18A1" w:rsidRPr="006A18A1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•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ab/>
        <w:t xml:space="preserve">FEIGN. Declarative Web Service Client. 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Disponível em: https://github.com/OpenFeign/feign.</w:t>
      </w:r>
    </w:p>
    <w:p w14:paraId="2E02A490" w14:textId="0138B258" w:rsidR="008618E8" w:rsidRPr="008618E8" w:rsidRDefault="006A18A1" w:rsidP="006A18A1">
      <w:pPr>
        <w:pStyle w:val="Ttulo1"/>
        <w:spacing w:line="360" w:lineRule="auto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</w:pP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ab/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•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ab/>
        <w:t xml:space="preserve">SPRING FRAMEWORK. Spring Cloud Documentation. </w:t>
      </w:r>
      <w:r w:rsidRPr="006A18A1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pt-BR"/>
        </w:rPr>
        <w:t>Disponível em: https://docs.spring.io/spring-cloud/docs/current/reference/html/.</w:t>
      </w:r>
    </w:p>
    <w:sectPr w:rsidR="008618E8" w:rsidRPr="008618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B6C40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925267">
    <w:abstractNumId w:val="8"/>
  </w:num>
  <w:num w:numId="2" w16cid:durableId="1084299935">
    <w:abstractNumId w:val="6"/>
  </w:num>
  <w:num w:numId="3" w16cid:durableId="1486050503">
    <w:abstractNumId w:val="5"/>
  </w:num>
  <w:num w:numId="4" w16cid:durableId="1013147605">
    <w:abstractNumId w:val="4"/>
  </w:num>
  <w:num w:numId="5" w16cid:durableId="1562011241">
    <w:abstractNumId w:val="7"/>
  </w:num>
  <w:num w:numId="6" w16cid:durableId="1950578642">
    <w:abstractNumId w:val="3"/>
  </w:num>
  <w:num w:numId="7" w16cid:durableId="131405636">
    <w:abstractNumId w:val="2"/>
  </w:num>
  <w:num w:numId="8" w16cid:durableId="2045792039">
    <w:abstractNumId w:val="1"/>
  </w:num>
  <w:num w:numId="9" w16cid:durableId="63375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18A"/>
    <w:rsid w:val="0015074B"/>
    <w:rsid w:val="001A0FBC"/>
    <w:rsid w:val="0029639D"/>
    <w:rsid w:val="00326F90"/>
    <w:rsid w:val="006A18A1"/>
    <w:rsid w:val="008618E8"/>
    <w:rsid w:val="00AA1D8D"/>
    <w:rsid w:val="00B47730"/>
    <w:rsid w:val="00CB0664"/>
    <w:rsid w:val="00D62AC8"/>
    <w:rsid w:val="00D77A57"/>
    <w:rsid w:val="00E16DE7"/>
    <w:rsid w:val="00E72404"/>
    <w:rsid w:val="00FB38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7981F4"/>
  <w14:defaultImageDpi w14:val="300"/>
  <w15:docId w15:val="{E6237099-7EB3-FE44-BBF8-533E3E80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758</Words>
  <Characters>4094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Jardim</cp:lastModifiedBy>
  <cp:revision>3</cp:revision>
  <cp:lastPrinted>2024-12-16T23:44:00Z</cp:lastPrinted>
  <dcterms:created xsi:type="dcterms:W3CDTF">2024-12-16T22:57:00Z</dcterms:created>
  <dcterms:modified xsi:type="dcterms:W3CDTF">2024-12-17T00:12:00Z</dcterms:modified>
  <cp:category/>
</cp:coreProperties>
</file>