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18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0"/>
          <w:szCs w:val="40"/>
          <w:rtl w:val="0"/>
        </w:rPr>
        <w:t xml:space="preserve">ERP Escola Profissionalizante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6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32"/>
          <w:szCs w:val="32"/>
          <w:rtl w:val="0"/>
        </w:rPr>
        <w:t xml:space="preserve">Documentação Técnico-Científica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sz w:val="22"/>
          <w:szCs w:val="22"/>
          <w:rtl w:val="0"/>
        </w:rPr>
        <w:t xml:space="preserve">Políticas de Segurança da Informação — Projeto Integrador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lineRule="auto"/>
        <w:jc w:val="center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Marcos Antônio Ferreira de Araújo</w:t>
      </w:r>
    </w:p>
    <w:p w:rsidR="00000000" w:rsidDel="00000000" w:rsidP="00000000" w:rsidRDefault="00000000" w:rsidRPr="00000000" w14:paraId="00000005">
      <w:pPr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Matheus de Castro Viana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Repositório: github.com/MatheusdeCastroViana/Project-School-ERP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1. Documento de Visão Geral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30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consiste em um ERP (Enterprise Resource Planning) voltado para instituições de ensino que oferecem cursos profissionalizantes, com o objetivo de centralizar e integrar os principais processos administrativos, pedagógicos e financeiros da instituição em uma única plataforma.</w:t>
      </w:r>
    </w:p>
    <w:p w:rsidR="00000000" w:rsidDel="00000000" w:rsidP="00000000" w:rsidRDefault="00000000" w:rsidRPr="00000000" w14:paraId="0000000A">
      <w:pPr>
        <w:spacing w:after="240" w:before="24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arquitetura do sistema foi projetada para contemplar os diferentes setores necessários à gestão da instituição. Nesta primeira versão, estão contemplados os módulos de Gestão e Administração, Pedagógico e Financeiro, com possibilidade de expansão para outros setores e funcionalidades futuramente.</w:t>
      </w:r>
    </w:p>
    <w:p w:rsidR="00000000" w:rsidDel="00000000" w:rsidP="00000000" w:rsidRDefault="00000000" w:rsidRPr="00000000" w14:paraId="0000000B">
      <w:pPr>
        <w:spacing w:after="240" w:before="24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que se refere à segurança e ao controle de acesso, o sistema contempla mecanismos de autenticação e proteção de dados, incluindo armazenamento seguro de credenciais por meio de funções de hash e salt, recuperação de senha, autenticação de dois fatores (2FA) e registro de logs de autenticação para rastreabilidade das operações relacionadas ao acesso ao sistema.</w:t>
      </w:r>
    </w:p>
    <w:p w:rsidR="00000000" w:rsidDel="00000000" w:rsidP="00000000" w:rsidRDefault="00000000" w:rsidRPr="00000000" w14:paraId="0000000C">
      <w:pPr>
        <w:spacing w:after="240" w:before="24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Além disso, o sistema considera requisitos relacionados à Lei Geral de Proteção de Dados Pessoais (LGPD), buscando garantir o tratamento adequado dos dados pessoais armazenados e processados pela plataforma, bem como medidas de segurança destinadas à proteção dessas informações.</w:t>
      </w:r>
    </w:p>
    <w:p w:rsidR="00000000" w:rsidDel="00000000" w:rsidP="00000000" w:rsidRDefault="00000000" w:rsidRPr="00000000" w14:paraId="0000000D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1.1 Propósito e contexto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30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Muitas escolas que oferecem cursos profissionalizantes operam por meio de franquias e já dispõem de sistemas informatizados próprios para auxiliar em sua gestão. Entretanto, também existem diversos empreendedores que criam e administram suas próprias escolas, desenvolvendo seus materiais e métodos de ensino, e que igualmente necessitam de uma solução digital para gerenciar funcionários, alunos, aulas, pagamentos, entre outros processos.</w:t>
      </w:r>
    </w:p>
    <w:p w:rsidR="00000000" w:rsidDel="00000000" w:rsidP="00000000" w:rsidRDefault="00000000" w:rsidRPr="00000000" w14:paraId="0000000F">
      <w:pPr>
        <w:spacing w:after="240" w:before="24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Diante desse contexto, o sistema está sendo desenvolvido com foco em alta personalização e flexibilidade, de modo a atender às diferentes necessidades desses empreendedores. O objetivo é disponibilizar uma solução capaz de centralizar as informações e os principais processos da instituição em uma única plataforma, contribuindo para uma gestão mais organizada, integrada e eficiente, além de facilitar a comunicação e a administração interna da escola.</w:t>
      </w:r>
    </w:p>
    <w:p w:rsidR="00000000" w:rsidDel="00000000" w:rsidP="00000000" w:rsidRDefault="00000000" w:rsidRPr="00000000" w14:paraId="00000010">
      <w:pPr>
        <w:spacing w:after="30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1.2 Escopo do produto</w:t>
      </w:r>
    </w:p>
    <w:p w:rsidR="00000000" w:rsidDel="00000000" w:rsidP="00000000" w:rsidRDefault="00000000" w:rsidRPr="00000000" w14:paraId="00000012">
      <w:pPr>
        <w:spacing w:after="300" w:lineRule="auto"/>
        <w:ind w:firstLine="720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irá contemplar sete grupos de informação: Institucional (dados da escola, configurações e parâmetros gerais), Pessoas (alunos, responsáveis, funcionários, professores e usuários), Acadêmico (cursos, níveis, materiais, turmas, aulas, matrículas, notas e boletins), Financeiro (mensalidades, cobranças, boletos, códigos Pix e pagamentos), Fiscal e Administrativo (controles internos e relatórios institucionais), Operacional (estoque de materiais, jornada de funcionários e cronogramas) e Gestão (indicadores, relatórios automáticos e acompanhamento geral da escola).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1.3 Perfis de acesso</w:t>
      </w:r>
    </w:p>
    <w:p w:rsidR="00000000" w:rsidDel="00000000" w:rsidP="00000000" w:rsidRDefault="00000000" w:rsidRPr="00000000" w14:paraId="00000014">
      <w:pPr>
        <w:spacing w:after="30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possui diferentes perfis de acesso, definidos de acordo com os setores e funções desempenhadas pelos usuários dentro da instituição. Os principais setores contemplados são Gestão, Pedagógico e Financeiro/Fiscal, considerados os setores fundamentais para o funcionamento e a administração da escola.</w:t>
      </w:r>
    </w:p>
    <w:p w:rsidR="00000000" w:rsidDel="00000000" w:rsidP="00000000" w:rsidRDefault="00000000" w:rsidRPr="00000000" w14:paraId="00000015">
      <w:pPr>
        <w:spacing w:after="240" w:before="240" w:lineRule="auto"/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Cada setor é composto por funcionários que possuem cargos e níveis de acesso específicos, de acordo com suas responsabilidades. As permissões de cada usuário são atribuídas conforme sua função, permitindo controlar quais funcionalidades e informações podem ser acessadas ou modificadas.</w:t>
      </w:r>
    </w:p>
    <w:p w:rsidR="00000000" w:rsidDel="00000000" w:rsidP="00000000" w:rsidRDefault="00000000" w:rsidRPr="00000000" w14:paraId="00000016">
      <w:pPr>
        <w:spacing w:after="240" w:before="240" w:lineRule="auto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Os cargos previstos para implementação no sistema são: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Professor: responsável pelas atividades relacionadas ao ensino, como lançar notas no sistema e gerar relatórios de alunos.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Administrativo Pedagógico: responsável por atividades administrativas relacionadas ao setor pedagógico.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Administrativo Financeiro: responsável pelas atividades administrativas e operacionais relacionadas ao setor financeiro.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Coordenador Pedagógico: responsável pela coordenação e acompanhamento das atividades pedagógicas.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Coordenador Financeiro: responsável pela coordenação e acompanhamento das atividades financeiras.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Arial" w:cs="Arial" w:eastAsia="Arial" w:hAnsi="Arial"/>
          <w:sz w:val="24"/>
          <w:szCs w:val="24"/>
          <w:u w:val="none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Gestor (Dono da Escola): responsável pela administração geral da instituição, com acesso às informações e funcionalidades necessárias para a gestão do negócio.</w:t>
      </w:r>
    </w:p>
    <w:p w:rsidR="00000000" w:rsidDel="00000000" w:rsidP="00000000" w:rsidRDefault="00000000" w:rsidRPr="00000000" w14:paraId="0000001D">
      <w:pPr>
        <w:spacing w:after="300" w:lineRule="auto"/>
        <w:rPr/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1.4 Stack tecnológica</w:t>
      </w:r>
    </w:p>
    <w:p w:rsidR="00000000" w:rsidDel="00000000" w:rsidP="00000000" w:rsidRDefault="00000000" w:rsidRPr="00000000" w14:paraId="0000001F">
      <w:pPr>
        <w:ind w:firstLine="720"/>
        <w:jc w:val="both"/>
        <w:rPr>
          <w:rFonts w:ascii="Arial" w:cs="Arial" w:eastAsia="Arial" w:hAnsi="Arial"/>
          <w:sz w:val="24"/>
          <w:szCs w:val="24"/>
          <w:highlight w:val="yellow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é desenvolvido em Python 3.14.6, com o framework Django 6.1 e persistência de dados em PostgreSQL 18.6, através do driver psycopg2-binary. A camada de autenticação utiliza django-allauth e django-otp com PyOTP para autenticação de dois fatores (2FA), com geração de QR code via Qrcode e Pillow. As senhas são armazenadas com hash Argon2id, implementado através da biblioteca argon2-cffi. A configuração de ambiente é gerenciada com python-decouple. Atualmente, </w:t>
      </w:r>
      <w:r w:rsidDel="00000000" w:rsidR="00000000" w:rsidRPr="00000000">
        <w:rPr>
          <w:rFonts w:ascii="Arial" w:cs="Arial" w:eastAsia="Arial" w:hAnsi="Arial"/>
          <w:sz w:val="24"/>
          <w:szCs w:val="24"/>
          <w:highlight w:val="yellow"/>
          <w:rtl w:val="0"/>
        </w:rPr>
        <w:t xml:space="preserve">o backend de e-mail está configurado em modo console (desenvolvimento), sem envio real de mensagens.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1"/>
        <w:spacing w:before="400" w:lineRule="auto"/>
        <w:rPr>
          <w:rFonts w:ascii="Arial" w:cs="Arial" w:eastAsia="Arial" w:hAnsi="Arial"/>
          <w:i w:val="1"/>
          <w:iCs w:val="1"/>
          <w:sz w:val="19"/>
          <w:szCs w:val="19"/>
        </w:rPr>
      </w:pPr>
      <w:r w:rsidDel="00000000" w:rsidR="00000000" w:rsidRPr="00000000">
        <w:rPr>
          <w:rtl w:val="0"/>
        </w:rPr>
        <w:t xml:space="preserve">2. Diagrama de Arquitetura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aplicação é estruturada em um projeto Django que centraliza as configurações e o roteamento principal, distribuindo as requisições entre os apps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funcionarios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dashboard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além do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allauth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para os fluxos de conta. O app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concentra a autenticação, o backend customizado de login, o 2FA, a recuperação de senha e a auditoria de segurança. O app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funcionarios concentra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a estrutura organizacional da escola, através dos modelos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Setor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Cargo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Funcionario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 O app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dashboard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corresponde à camada de apresentação exibida após o login.</w:t>
      </w:r>
    </w:p>
    <w:p w:rsidR="00000000" w:rsidDel="00000000" w:rsidP="00000000" w:rsidRDefault="00000000" w:rsidRPr="00000000" w14:paraId="00000022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comunicação entre os apps ocorre principalmente por meio de relacionamentos entre modelos: cada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Usuario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está vinculado a um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Funcionario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que por sua vez pertence a um Cargo, associado a um Setor e a um conjunto de permissões do Django. Dessa forma, o app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depende diretamente do app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funcionarios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para determinar o perfil de acesso de cada usuário autenticado.</w:t>
      </w:r>
    </w:p>
    <w:p w:rsidR="00000000" w:rsidDel="00000000" w:rsidP="00000000" w:rsidRDefault="00000000" w:rsidRPr="00000000" w14:paraId="00000023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arquitetura segue o padrão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MVT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(Model-View-Template) do Django: os modelos (models.py de cada app) definem a estrutura dos dados; as views (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views.py, views_2fa.py, views_recuperacao.py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entre outras) implementam a lógica de negócio e o controle de acesso; e os templates, organizados por app, compõem a camada de apresentação.</w:t>
      </w:r>
    </w:p>
    <w:p w:rsidR="00000000" w:rsidDel="00000000" w:rsidP="00000000" w:rsidRDefault="00000000" w:rsidRPr="00000000" w14:paraId="00000025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firstLine="720"/>
        <w:jc w:val="both"/>
        <w:rPr>
          <w:rFonts w:ascii="Arial" w:cs="Arial" w:eastAsia="Arial" w:hAnsi="Arial"/>
          <w:sz w:val="24"/>
          <w:szCs w:val="24"/>
          <w:highlight w:val="yellow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highlight w:val="yellow"/>
          <w:rtl w:val="0"/>
        </w:rPr>
        <w:t xml:space="preserve">Colocar a foto de uma diagrama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3. Fluxos de Autenticação e Dados</w:t>
      </w:r>
    </w:p>
    <w:p w:rsidR="00000000" w:rsidDel="00000000" w:rsidP="00000000" w:rsidRDefault="00000000" w:rsidRPr="00000000" w14:paraId="00000028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3.1 Fluxo de login e autenticação</w:t>
      </w:r>
    </w:p>
    <w:p w:rsidR="00000000" w:rsidDel="00000000" w:rsidP="00000000" w:rsidRDefault="00000000" w:rsidRPr="00000000" w14:paraId="00000029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processo de login é realizado em /accounts/login/, por meio do envio de e-mail e senha em formulário protegido por CSRF. O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UsuarioBackend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localiza o usuário pelo e-mail e, em caso de e-mail inexistente ou senha incorreta, retorna None sem diferenciar os dois cenários, reduzindo o risco de enumeração de contas.</w:t>
      </w:r>
    </w:p>
    <w:p w:rsidR="00000000" w:rsidDel="00000000" w:rsidP="00000000" w:rsidRDefault="00000000" w:rsidRPr="00000000" w14:paraId="0000002A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Antes da validação da senha, é verificado se existe bloqueio ativo decorrente de tentativas consecutivas de autenticação. A cada tentativa inválida, o contador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tentativas_login_falhas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é incrementado e, ao atingir cinco tentativas, a conta é bloqueada por 15 minutos por meio do campo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bloqueado_ate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C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Após a autenticação primária, o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Custom2FAAccountAdapter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intercepta o fluxo do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allauth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por meio do hook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pre_login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(). Quando o usuário possui 2FA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habilitado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a autenticação é direcionada para a validação do token TOTP, e a sessão somente é criada após a confirmação do código por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verificar_2fa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E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firstLine="720"/>
        <w:jc w:val="both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As sessões expiram após 30 minutos de inatividade. O logout é realizado por requisição POST protegida por CSRF, registra o evento no log de auditoria e, em seguida, invalida a sessão no servidor.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3.2 Fluxo de recuperação de senha</w:t>
      </w:r>
    </w:p>
    <w:p w:rsidR="00000000" w:rsidDel="00000000" w:rsidP="00000000" w:rsidRDefault="00000000" w:rsidRPr="00000000" w14:paraId="00000031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fluxo de recuperação de senha foi implementado de forma independente do django-allauth e é dividido em três etapas. Na solicitação, realizada em /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recuperar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senha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/, o usuário informa seu e-mail. Quando o endereço está cadastrado, é gerado um token por meio de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secrets.token_urlsafe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(64), armazenado no banco na forma de hash SHA-256 e com validade de 24 horas. A resposta apresentada ao usuário é a mesma em ambos os casos, independentemente da existência do e-mail, evitando a enumeração de contas.</w:t>
      </w:r>
    </w:p>
    <w:p w:rsidR="00000000" w:rsidDel="00000000" w:rsidP="00000000" w:rsidRDefault="00000000" w:rsidRPr="00000000" w14:paraId="00000032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Na etapa de validação, realizada em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/usuarios/recuperar-senha/&lt;token&gt;/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são verificadas a existência, a validade e a utilização prévia do token antes de permitir a definição de uma nova senha. Após a confirmação, o token é marcado como utilizado e não pode ser reutilizado, mesmo que ainda esteja dentro do período de validade.</w:t>
      </w:r>
    </w:p>
    <w:p w:rsidR="00000000" w:rsidDel="00000000" w:rsidP="00000000" w:rsidRDefault="00000000" w:rsidRPr="00000000" w14:paraId="00000034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Todas as etapas do processo são registradas no log de auditoria por meio de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registrar_evento_recuperacao_senha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e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registrar_resultado_recuperacao_senha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 Por questões de segurança, os registros não armazenam o token completo nem a senha do usuário.</w:t>
      </w:r>
    </w:p>
    <w:p w:rsidR="00000000" w:rsidDel="00000000" w:rsidP="00000000" w:rsidRDefault="00000000" w:rsidRPr="00000000" w14:paraId="00000036">
      <w:pPr>
        <w:pStyle w:val="Heading2"/>
        <w:spacing w:after="100" w:lineRule="auto"/>
        <w:rPr/>
      </w:pPr>
      <w:r w:rsidDel="00000000" w:rsidR="00000000" w:rsidRPr="00000000">
        <w:rPr>
          <w:rtl w:val="0"/>
        </w:rPr>
        <w:t xml:space="preserve">3.3 Fluxo de dados pessoais (coleta, uso, exclusão)</w:t>
      </w:r>
    </w:p>
    <w:p w:rsidR="00000000" w:rsidDel="00000000" w:rsidP="00000000" w:rsidRDefault="00000000" w:rsidRPr="00000000" w14:paraId="00000037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Atualmente, o fluxo de dados contempla apenas informações de Funcionários/Usuários, enquanto os módulos de Aluno e Responsável ainda não foram implementados. No cadastro, são coletados somente os dados necessários para identificação, controle de acesso e comunicação: nome, CPF, telefone, cargo e setor.</w:t>
      </w:r>
    </w:p>
    <w:p w:rsidR="00000000" w:rsidDel="00000000" w:rsidP="00000000" w:rsidRDefault="00000000" w:rsidRPr="00000000" w14:paraId="00000038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consentimento é apresentado ao usuário por meio de um popup no primeiro acesso e controlado por versão (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CONSENT_VERSION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). O registro do aceite é armazenado no localStorage e, quando o usuário está autenticado, também no log de auditoria por meio de uma API específica(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registrar_consentimento_view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3A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sistema disponibiliza ao titular recursos para consulta (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/usuarios/meus-dados/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), exportação dos dados em JSON (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/usuarios/meus-dados/exportar/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) e solicitação de exclusão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(/usuarios/meus-dados/exclusao/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). A exclusão é parcial: o telefone é removido automaticamente, enquanto dados como CPF, e-mail e cargo são mantidos quando necessários para identificação e controle de acesso. As exceções são apresentadas ao titular antes da confirmação da solicitação.</w:t>
      </w:r>
    </w:p>
    <w:p w:rsidR="00000000" w:rsidDel="00000000" w:rsidP="00000000" w:rsidRDefault="00000000" w:rsidRPr="00000000" w14:paraId="0000003C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4. Gestão de Credenciais</w:t>
      </w:r>
    </w:p>
    <w:p w:rsidR="00000000" w:rsidDel="00000000" w:rsidP="00000000" w:rsidRDefault="00000000" w:rsidRPr="00000000" w14:paraId="0000003D">
      <w:pPr>
        <w:pStyle w:val="Heading1"/>
        <w:spacing w:before="400" w:lineRule="auto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5. Uso de Criptografia</w:t>
      </w:r>
    </w:p>
    <w:p w:rsidR="00000000" w:rsidDel="00000000" w:rsidP="00000000" w:rsidRDefault="00000000" w:rsidRPr="00000000" w14:paraId="0000003E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6. Identificação dos Ativos do Sistema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Dados pessoais de titulares: informações de identificação (nome, CPF), contato (telefone, e-mail) e dados profissionais (cargo, setor, jornada) de funcionários, conforme documentado no inventário de dados pessoais (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docs/lgpd/inventario_dados.md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). Com a implementação futura dos módulos Acadêmico e Financeiro, também passarão a ser protegidos os dados pessoais e financeiros de alunos e responsáveis.</w:t>
      </w:r>
    </w:p>
    <w:p w:rsidR="00000000" w:rsidDel="00000000" w:rsidP="00000000" w:rsidRDefault="00000000" w:rsidRPr="00000000" w14:paraId="00000040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Credenciais de acesso: e-mail e senha (armazenada com hash Argon2id), segredos de autenticação de dois fatores (TOTP) e tokens de recuperação de senha.</w:t>
      </w:r>
    </w:p>
    <w:p w:rsidR="00000000" w:rsidDel="00000000" w:rsidP="00000000" w:rsidRDefault="00000000" w:rsidRPr="00000000" w14:paraId="00000042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Logs de auditoria e segurança: registros de eventos de autenticação, tentativas de login, uso de 2FA e solicitações relacionadas à LGPD, contendo IP, data/hora e identificação do usuário responsável.</w:t>
      </w:r>
    </w:p>
    <w:p w:rsidR="00000000" w:rsidDel="00000000" w:rsidP="00000000" w:rsidRDefault="00000000" w:rsidRPr="00000000" w14:paraId="00000044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Banco de dados: instância PostgreSQL onde são persistidos todos os dados acima.</w:t>
      </w:r>
    </w:p>
    <w:p w:rsidR="00000000" w:rsidDel="00000000" w:rsidP="00000000" w:rsidRDefault="00000000" w:rsidRPr="00000000" w14:paraId="00000046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Código-fonte da aplicação: em especial os módulos de autenticação, hashing de senha e auditoria, cuja exposição indevida poderia revelar a lógica de segurança implementada.</w:t>
      </w:r>
    </w:p>
    <w:p w:rsidR="00000000" w:rsidDel="00000000" w:rsidP="00000000" w:rsidRDefault="00000000" w:rsidRPr="00000000" w14:paraId="00000048">
      <w:pPr>
        <w:ind w:left="720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Infraestrutura de execução: ambiente onde a aplicação Django roda, incluindo variáveis de ambiente (.env) que armazenam segredos de configuração e conexão com o banco.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7. Identificação de Ameaças e Vulnerabilidades</w:t>
      </w:r>
    </w:p>
    <w:p w:rsidR="00000000" w:rsidDel="00000000" w:rsidP="00000000" w:rsidRDefault="00000000" w:rsidRPr="00000000" w14:paraId="0000004B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8. Associação Risco × Contramedida</w:t>
      </w:r>
    </w:p>
    <w:tbl>
      <w:tblPr>
        <w:tblStyle w:val="Table1"/>
        <w:tblW w:w="97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3200"/>
        <w:gridCol w:w="3200"/>
        <w:gridCol w:w="1700"/>
        <w:tblGridChange w:id="0">
          <w:tblGrid>
            <w:gridCol w:w="1600"/>
            <w:gridCol w:w="3200"/>
            <w:gridCol w:w="3200"/>
            <w:gridCol w:w="1700"/>
          </w:tblGrid>
        </w:tblGridChange>
      </w:tblGrid>
      <w:tr>
        <w:trPr>
          <w:cantSplit w:val="0"/>
          <w:tblHeader w:val="1"/>
        </w:trPr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Ameaça / Vulnerabilidade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Contramedida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Risco residual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9. Testes de Segurança Realizados</w:t>
      </w:r>
    </w:p>
    <w:p w:rsidR="00000000" w:rsidDel="00000000" w:rsidP="00000000" w:rsidRDefault="00000000" w:rsidRPr="00000000" w14:paraId="0000005D">
      <w:pPr>
        <w:ind w:firstLine="72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camada de autenticação e gestão de credenciais foi validada por meio de testes automatizados e manuais. Os testes automatizados, executados com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python manage.py test 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, verificam o uso do Argon2id e seus parâmetros de custo, a autenticação com credenciais válidas e inválidas e o fluxo de recuperação de senha, incluindo geração, registro e validação de tokens.</w:t>
      </w:r>
    </w:p>
    <w:p w:rsidR="00000000" w:rsidDel="00000000" w:rsidP="00000000" w:rsidRDefault="00000000" w:rsidRPr="00000000" w14:paraId="0000005E">
      <w:pPr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ind w:firstLine="720"/>
        <w:jc w:val="both"/>
        <w:rPr>
          <w:rFonts w:ascii="Arial" w:cs="Arial" w:eastAsia="Arial" w:hAnsi="Arial"/>
          <w:i w:val="1"/>
          <w:iCs w:val="1"/>
          <w:sz w:val="23"/>
          <w:szCs w:val="23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Os testes manuais realizados pelo front-end verificaram o login, o bloqueio após cinco tentativas incorretas, a ativação do 2FA por QR Code, a geração de salt individual, a recuperação de senha e o registro de eventos no log de auditoria, com prints utilizados como evidência. O fluxo de logout também foi validado com o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de testes do Django, verificando o encerramento da sessão e a restrição de acesso após o logout.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10. Resultados dos Testes</w:t>
      </w:r>
    </w:p>
    <w:p w:rsidR="00000000" w:rsidDel="00000000" w:rsidP="00000000" w:rsidRDefault="00000000" w:rsidRPr="00000000" w14:paraId="00000061">
      <w:pPr>
        <w:ind w:firstLine="720"/>
        <w:jc w:val="both"/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Todos os testes descritos a seguir podem ser executados em conjunto por meio do comando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python manage.py test usuarios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 As evidências dos testes manuais estão disponíveis no diretório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docs/evidencias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bookmarkStart w:colFirst="0" w:colLast="0" w:name="_i1kkpk7kwvd1" w:id="0"/>
      <w:bookmarkEnd w:id="0"/>
      <w:r w:rsidDel="00000000" w:rsidR="00000000" w:rsidRPr="00000000">
        <w:rPr>
          <w:rtl w:val="0"/>
        </w:rPr>
        <w:t xml:space="preserve">10.1 </w:t>
      </w:r>
      <w:r w:rsidDel="00000000" w:rsidR="00000000" w:rsidRPr="00000000">
        <w:rPr>
          <w:rtl w:val="0"/>
        </w:rPr>
        <w:t xml:space="preserve">Hash de senha e autenticação</w:t>
      </w:r>
    </w:p>
    <w:p w:rsidR="00000000" w:rsidDel="00000000" w:rsidP="00000000" w:rsidRDefault="00000000" w:rsidRPr="00000000" w14:paraId="00000063">
      <w:pPr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70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2.5964749762318"/>
        <w:gridCol w:w="6065.729260622609"/>
        <w:gridCol w:w="1432.1860754247825"/>
        <w:tblGridChange w:id="0">
          <w:tblGrid>
            <w:gridCol w:w="1572.5964749762318"/>
            <w:gridCol w:w="6065.729260622609"/>
            <w:gridCol w:w="1432.186075424782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Teste realizado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Ferramenta / Método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Resultado / Evidência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Hash de senha usa Argon2id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UsuarioArgon2PasswordHasherTests.test_hash_usa_argon2id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Parâmetros de custo do hash (t=5, m=32768, p=1)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UsuarioArgon2PasswordHasherTests.test_parametros_de_custo_configurados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Autenticação com senha correta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UsuarioArgon2PasswordHasherTests.test_senha_correta_autentica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Autenticação com senha incorreta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UsuarioArgon2PasswordHasherTests.test_senha_incorreta_nao_autentica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Tempo de hash dentro do esperado (&lt; 2s)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UsuarioArgon2PasswordHasherTests.test_tempo_de_hash_dentro_do_esperado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Aproximadamente 92ms</w:t>
            </w:r>
          </w:p>
        </w:tc>
      </w:tr>
    </w:tbl>
    <w:p w:rsidR="00000000" w:rsidDel="00000000" w:rsidP="00000000" w:rsidRDefault="00000000" w:rsidRPr="00000000" w14:paraId="00000077">
      <w:pPr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rPr/>
      </w:pPr>
      <w:bookmarkStart w:colFirst="0" w:colLast="0" w:name="_17vc3rj21kyb" w:id="1"/>
      <w:bookmarkEnd w:id="1"/>
      <w:r w:rsidDel="00000000" w:rsidR="00000000" w:rsidRPr="00000000">
        <w:rPr>
          <w:rtl w:val="0"/>
        </w:rPr>
        <w:t xml:space="preserve">10.2 </w:t>
      </w:r>
      <w:r w:rsidDel="00000000" w:rsidR="00000000" w:rsidRPr="00000000">
        <w:rPr>
          <w:rtl w:val="0"/>
        </w:rPr>
        <w:t xml:space="preserve">Recuperação de senha </w:t>
      </w:r>
    </w:p>
    <w:p w:rsidR="00000000" w:rsidDel="00000000" w:rsidP="00000000" w:rsidRDefault="00000000" w:rsidRPr="00000000" w14:paraId="00000079">
      <w:pPr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6165"/>
        <w:gridCol w:w="1335"/>
        <w:tblGridChange w:id="0">
          <w:tblGrid>
            <w:gridCol w:w="1575"/>
            <w:gridCol w:w="6165"/>
            <w:gridCol w:w="1335"/>
          </w:tblGrid>
        </w:tblGridChange>
      </w:tblGrid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Teste realizado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Ferramenta / Método</w:t>
            </w:r>
          </w:p>
        </w:tc>
        <w:tc>
          <w:tcPr>
            <w:tcBorders>
              <w:top w:color="000000" w:space="0" w:sz="6" w:val="single"/>
              <w:left w:color="000000" w:space="0" w:sz="0" w:val="nil"/>
              <w:bottom w:color="000000" w:space="0" w:sz="6" w:val="single"/>
              <w:right w:color="000000" w:space="0" w:sz="6" w:val="single"/>
            </w:tcBorders>
            <w:shd w:fill="1f4e5f" w:val="clear"/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1"/>
                <w:iCs w:val="1"/>
                <w:color w:val="ffffff"/>
                <w:sz w:val="24"/>
                <w:szCs w:val="24"/>
                <w:rtl w:val="0"/>
              </w:rPr>
              <w:t xml:space="preserve">Resultado / Evidência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Solicitação gera token para e-mail existente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RecuperacaoSenhaTests.test_solicitacao_gera_token_para_email_existente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  <w:p w:rsidR="00000000" w:rsidDel="00000000" w:rsidP="00000000" w:rsidRDefault="00000000" w:rsidRPr="00000000" w14:paraId="00000080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Console exibe o bloco com token, data de expiração e link de recuperação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Solicitação com e-mail inexistente não gera token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RecuperacaoSenhaTests.test_solicitacao_com_email_inexistente_nao_gera_token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Log registrado ao encontrar o e-mail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RecuperacaoSenhaTests.test_log_registrado_na_solicitacao_email_encontrado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Log registrado ao não encontrar o e-mail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RecuperacaoSenhaTests.test_log_registrado_na_solicitacao_email_nao_encontrado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Token válido permite trocar a senha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RecuperacaoSenhaTests.test_token_valido_permite_trocar_senha_e_loga_sucesso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Token reutilizado é recusado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RecuperacaoSenhaTests.test_token_reutilizado_falha_e_loga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Token expirado é recusado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RecuperacaoSenhaTests.test_token_expirado_falha_e_loga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Token inexistente é recusado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RecuperacaoSenhaTests.test_token_inexistente_loga_falha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20.0" w:type="dxa"/>
              <w:bottom w:w="0.0" w:type="dxa"/>
              <w:right w:w="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  <w:i w:val="1"/>
                <w:iCs w:val="1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rtl w:val="0"/>
              </w:rPr>
              <w:t xml:space="preserve">Passou (OK)</w:t>
            </w:r>
          </w:p>
        </w:tc>
      </w:tr>
    </w:tbl>
    <w:p w:rsidR="00000000" w:rsidDel="00000000" w:rsidP="00000000" w:rsidRDefault="00000000" w:rsidRPr="00000000" w14:paraId="00000096">
      <w:pPr>
        <w:rPr>
          <w:rFonts w:ascii="Arial" w:cs="Arial" w:eastAsia="Arial" w:hAnsi="Arial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spacing w:before="400" w:lineRule="auto"/>
        <w:rPr/>
      </w:pPr>
      <w:r w:rsidDel="00000000" w:rsidR="00000000" w:rsidRPr="00000000">
        <w:rPr>
          <w:rtl w:val="0"/>
        </w:rPr>
        <w:t xml:space="preserve">11. Referências</w:t>
      </w:r>
    </w:p>
    <w:p w:rsidR="00000000" w:rsidDel="00000000" w:rsidP="00000000" w:rsidRDefault="00000000" w:rsidRPr="00000000" w14:paraId="00000098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OWASP FOUNDATION. 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Password Storage Cheat Sheet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 OWASP Cheat Sheet Series, 2023. Disponível em:</w:t>
      </w:r>
      <w:hyperlink r:id="rId6">
        <w:r w:rsidDel="00000000" w:rsidR="00000000" w:rsidRPr="00000000">
          <w:rPr>
            <w:rFonts w:ascii="Arial" w:cs="Arial" w:eastAsia="Arial" w:hAnsi="Arial"/>
            <w:sz w:val="24"/>
            <w:szCs w:val="24"/>
            <w:rtl w:val="0"/>
          </w:rPr>
          <w:t xml:space="preserve"> </w:t>
        </w:r>
      </w:hyperlink>
      <w:hyperlink r:id="rId7">
        <w:r w:rsidDel="00000000" w:rsidR="00000000" w:rsidRPr="00000000">
          <w:rPr>
            <w:rFonts w:ascii="Arial" w:cs="Arial" w:eastAsia="Arial" w:hAnsi="Arial"/>
            <w:color w:val="1155cc"/>
            <w:sz w:val="24"/>
            <w:szCs w:val="24"/>
            <w:u w:val="single"/>
            <w:rtl w:val="0"/>
          </w:rPr>
          <w:t xml:space="preserve">https://cheatsheetseries.owasp.org/cheatsheets/Password_Storage_Cheat_Sheet.html</w:t>
        </w:r>
      </w:hyperlink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. Acesso em: 29 out. 2026.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1"/>
        <w:spacing w:before="400" w:lineRule="auto"/>
        <w:rPr/>
      </w:pPr>
      <w:bookmarkStart w:colFirst="0" w:colLast="0" w:name="_fu6yqy3zoy0x" w:id="2"/>
      <w:bookmarkEnd w:id="2"/>
      <w:r w:rsidDel="00000000" w:rsidR="00000000" w:rsidRPr="00000000">
        <w:rPr>
          <w:rtl w:val="0"/>
        </w:rPr>
        <w:t xml:space="preserve">12. Rastreabilidade e controle de mudanças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7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00"/>
        <w:gridCol w:w="2500"/>
        <w:gridCol w:w="2500"/>
        <w:gridCol w:w="3200"/>
        <w:tblGridChange w:id="0">
          <w:tblGrid>
            <w:gridCol w:w="1500"/>
            <w:gridCol w:w="2500"/>
            <w:gridCol w:w="2500"/>
            <w:gridCol w:w="3200"/>
          </w:tblGrid>
        </w:tblGridChange>
      </w:tblGrid>
      <w:tr>
        <w:trPr>
          <w:cantSplit w:val="0"/>
          <w:tblHeader w:val="1"/>
        </w:trPr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Alteração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5f" w:val="clear"/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rtl w:val="0"/>
              </w:rPr>
              <w:t xml:space="preserve">Responsável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27/09/2026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Primeira versão da documentação</w:t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Marcos Antônio Ferreira de Araújo e Matheus de Castro Viana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pStyle w:val="Heading1"/>
        <w:spacing w:before="400" w:lineRule="auto"/>
        <w:rPr/>
      </w:pPr>
      <w:bookmarkStart w:colFirst="0" w:colLast="0" w:name="_5kc6rplus3yg" w:id="3"/>
      <w:bookmarkEnd w:id="3"/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8" w:w="11906" w:orient="portrait"/>
      <w:pgMar w:bottom="1417" w:top="1417" w:left="1701" w:right="113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yperlink" Target="https://cheatsheetseries.owasp.org/cheatsheets/Password_Storage_Cheat_Sheet.html" TargetMode="External"/><Relationship Id="rId7" Type="http://schemas.openxmlformats.org/officeDocument/2006/relationships/hyperlink" Target="https://cheatsheetseries.owasp.org/cheatsheets/Password_Storage_Cheat_Sheet.html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