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sz w:val="28"/>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Allan Stieg Candeia</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b w:val="0"/>
          <w:i w:val="0"/>
          <w:highlight w:val="yellow"/>
        </w:rPr>
        <w:t>Inserir as médias de utilidade e de facilidade de uso percebidas.</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b w:val="0"/>
          <w:i w:val="0"/>
          <w:highlight w:val="yellow"/>
        </w:rPr>
        <w:t>Insert the mean scores of perceived usefulness and perceived ease of use.</w:t>
      </w:r>
      <w:r>
        <w:rPr>
          <w:b w:val="0"/>
          <w:i w:val="0"/>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b/>
        </w:rPr>
        <w:t>1 INTRODUÇÃO</w:t>
      </w:r>
    </w:p>
    <w:p>
      <w:pPr>
        <w:keepNext/>
        <w:spacing w:line="360" w:lineRule="auto" w:before="0" w:after="0"/>
        <w:jc w:val="both"/>
      </w:pPr>
    </w:p>
    <w:p>
      <w:pPr>
        <w:spacing w:line="360" w:lineRule="auto" w:before="0" w:after="0"/>
        <w:ind w:firstLine="709"/>
        <w:jc w:val="both"/>
      </w:pPr>
      <w:r>
        <w:rPr>
          <w:b w:val="0"/>
          <w:i w:val="0"/>
        </w:rPr>
        <w:t>A gestão de compras e o controle de estoque determinam a disponibilidade dos materiais de que dependem os processos de uma organização. Segundo Chopra e Meindl (2016), as decisões sobre estoque, fornecedores e compras influenciam diretamente o custo e o nível de serviço da cadeia de suprimentos. No hospital, a falta de um medicamento ou de um material médico-hospitalar pode comprometer a assistência ao paciente (BARBIERI; MACHLINE, 2009), e o setor de compras precisa perceber rapidamente quando um item chega ao estoque mínimo, consultar vários fornecedores e escolher a proposta mais vantajosa considerando preço, prazo, disponibilidade e confiabilidade (INFANTE; SANTOS, 2007). Quando essas tarefas dependem de planilhas, e-mails e telefonemas, surgem atrasos, erros de digitação e dificuldade para comparar propostas.</w:t>
      </w:r>
    </w:p>
    <w:p>
      <w:pPr>
        <w:spacing w:line="360" w:lineRule="auto" w:before="0" w:after="0"/>
        <w:ind w:firstLine="709"/>
        <w:jc w:val="both"/>
      </w:pPr>
      <w:r>
        <w:rPr>
          <w:b w:val="0"/>
          <w:i w:val="0"/>
        </w:rPr>
        <w:t>Diante disso, o problema de pesquisa é: como uma plataforma web integrada ao sistema de estoque por meio de API pode reduzir o tempo entre a identificação de itens abaixo do estoque mínimo e a realização de cotações, apoiando a escolha da melhor proposta? Foram formuladas quatro hipóteses: (H1) a plataforma reduz o tempo gasto na busca, organização e comparação de propostas; (H2) a integração via API reduz erros de digitação, de conferência e de comunicação entre setores; (H3) a comparação por múltiplos critérios melhora a qualidade das informações para a decisão; e (H4) a centralização das informações aumenta a transparência e a rastreabilidade do processo.</w:t>
      </w:r>
    </w:p>
    <w:p>
      <w:pPr>
        <w:spacing w:line="360" w:lineRule="auto" w:before="0" w:after="0"/>
        <w:ind w:firstLine="709"/>
        <w:jc w:val="both"/>
      </w:pPr>
      <w:r>
        <w:rPr>
          <w:b w:val="0"/>
          <w:i w:val="0"/>
        </w:rPr>
        <w:t>O objetivo geral é desenvolver e avaliar o Provisa, uma plataforma web de apoio à decisão que identifica automaticamente os itens abaixo do estoque mínimo, envia pedidos de cotação aos fornecedores e classifica as propostas por preço, prazo de entrega, disponibilidade e histórico do fornecedor. Os objetivos específicos são: integrar o sistema de compras a uma API de estoque; automatizar o envio e o acompanhamento das cotações; implementar um algoritmo de pontuação ponderada; e avaliar a solução pela comparação com o processo manual e pela aceitação dos usuários. O trabalho se justifica por reduzir tarefas repetitivas do comprador e o risco de ruptura de estoque e por registrar a justificativa de cada compra, além de mostrar como um algoritmo de pontuação pode apoiar, sem substituir, a decisão humana. O artigo apresenta a revisão de literatura (seção 2), os materiais e métodos (seção 3), os resultados e a discussão (seção 4) e a conclusão.</w:t>
      </w:r>
    </w:p>
    <w:p>
      <w:pPr>
        <w:spacing w:line="360" w:lineRule="auto" w:before="0" w:after="0"/>
        <w:jc w:val="both"/>
      </w:pPr>
    </w:p>
    <w:p>
      <w:pPr>
        <w:keepNext/>
        <w:spacing w:line="360" w:lineRule="auto" w:before="0" w:after="0"/>
        <w:jc w:val="left"/>
      </w:pPr>
      <w:r>
        <w:rPr>
          <w:b/>
        </w:rPr>
        <w:t>2 REVISÃO DE LITERATURA</w:t>
      </w:r>
    </w:p>
    <w:p>
      <w:pPr>
        <w:keepNext/>
        <w:spacing w:line="360" w:lineRule="auto" w:before="0" w:after="0"/>
        <w:jc w:val="both"/>
      </w:pPr>
    </w:p>
    <w:p>
      <w:pPr>
        <w:keepNext/>
        <w:spacing w:line="360" w:lineRule="auto" w:before="0" w:after="0"/>
        <w:jc w:val="left"/>
      </w:pPr>
      <w:r>
        <w:rPr>
          <w:b w:val="0"/>
        </w:rPr>
        <w:t>2.1 COMPRAS HOSPITALARES E SISTEMAS DE APOIO À DECISÃO</w:t>
      </w:r>
    </w:p>
    <w:p>
      <w:pPr>
        <w:keepNext/>
        <w:spacing w:line="360" w:lineRule="auto" w:before="0" w:after="0"/>
        <w:jc w:val="both"/>
      </w:pPr>
    </w:p>
    <w:p>
      <w:pPr>
        <w:spacing w:line="360" w:lineRule="auto" w:before="0" w:after="0"/>
        <w:ind w:firstLine="709"/>
        <w:jc w:val="both"/>
      </w:pPr>
      <w:r>
        <w:rPr>
          <w:b w:val="0"/>
          <w:i w:val="0"/>
        </w:rPr>
        <w:t>Barbieri e Machline (2009) apontam que a logística hospitalar deve conciliar o controle de custos com a garantia de abastecimento, o que exige definir estoques mínimos, acompanhar o consumo de cada setor e manter um cadastro confiável de fornecedores. O estoque mínimo, ou ponto de reposição, é o nível a partir do qual uma nova compra deve ser iniciada para que o item não falte durante o tempo de reposição. Infante e Santos (2007) observam que as falhas de abastecimento costumam resultar de problemas de informação e de coordenação entre os setores, e não apenas da falta de recursos.</w:t>
      </w:r>
    </w:p>
    <w:p>
      <w:pPr>
        <w:spacing w:line="360" w:lineRule="auto" w:before="0" w:after="0"/>
        <w:ind w:firstLine="709"/>
        <w:jc w:val="both"/>
      </w:pPr>
      <w:r>
        <w:rPr>
          <w:b w:val="0"/>
          <w:i w:val="0"/>
        </w:rPr>
        <w:t>Os sistemas de informação coletam, processam e distribuem informações para apoiar o controle e a decisão nas organizações (LAUDON; LAUDON, 2016). Entre eles, os sistemas de apoio à decisão (SAD) organizam dados, aplicam modelos de análise e apresentam os resultados de forma que o decisor compreenda as consequências de cada opção, sem tomar a decisão por ele (POWER, 2002). Esse princípio orientou o Provisa: o sistema recomenda uma proposta, mas a aprovação é sempre do comprador.</w:t>
      </w:r>
    </w:p>
    <w:p>
      <w:pPr>
        <w:spacing w:line="360" w:lineRule="auto" w:before="0" w:after="0"/>
        <w:jc w:val="both"/>
      </w:pPr>
    </w:p>
    <w:p>
      <w:pPr>
        <w:keepNext/>
        <w:spacing w:line="360" w:lineRule="auto" w:before="0" w:after="0"/>
        <w:jc w:val="left"/>
      </w:pPr>
      <w:r>
        <w:rPr>
          <w:b w:val="0"/>
        </w:rPr>
        <w:t>2.2 SELEÇÃO DE FORNECEDORES POR MÚLTIPLOS CRITÉRIOS</w:t>
      </w:r>
    </w:p>
    <w:p>
      <w:pPr>
        <w:keepNext/>
        <w:spacing w:line="360" w:lineRule="auto" w:before="0" w:after="0"/>
        <w:jc w:val="both"/>
      </w:pPr>
    </w:p>
    <w:p>
      <w:pPr>
        <w:spacing w:line="360" w:lineRule="auto" w:before="0" w:after="0"/>
        <w:ind w:firstLine="709"/>
        <w:jc w:val="both"/>
      </w:pPr>
      <w:r>
        <w:rPr>
          <w:b w:val="0"/>
          <w:i w:val="0"/>
        </w:rPr>
        <w:t>A escolha de fornecedores é um problema de decisão com múltiplos critérios. Dickson (1966) identificou 23 critérios usados por compradores, com destaque para qualidade, entrega no prazo, histórico de desempenho e preço. Weber, Current e Benton (1991), ao revisarem 74 artigos, confirmaram que preço, entrega e qualidade são os critérios mais citados e que a ponderação linear está entre os métodos mais usados, por ser simples de calcular e de explicar. Na soma ponderada, cada critério recebe uma nota normalizada e um peso, e a pontuação final é a soma das notas multiplicadas pelos pesos. A vantagem é a transparência; a limitação é a sensibilidade aos pesos, o que justifica permitir ao usuário testar como a recomendação muda com as prioridades.</w:t>
      </w:r>
    </w:p>
    <w:p>
      <w:pPr>
        <w:spacing w:line="360" w:lineRule="auto" w:before="0" w:after="0"/>
        <w:jc w:val="both"/>
      </w:pPr>
    </w:p>
    <w:p>
      <w:pPr>
        <w:keepNext/>
        <w:spacing w:line="360" w:lineRule="auto" w:before="0" w:after="0"/>
        <w:jc w:val="left"/>
      </w:pPr>
      <w:r>
        <w:rPr>
          <w:b w:val="0"/>
        </w:rPr>
        <w:t>2.3 INTEGRAÇÃO POR API E AUTOMAÇÃO DE PROCESSOS</w:t>
      </w:r>
    </w:p>
    <w:p>
      <w:pPr>
        <w:keepNext/>
        <w:spacing w:line="360" w:lineRule="auto" w:before="0" w:after="0"/>
        <w:jc w:val="both"/>
      </w:pPr>
    </w:p>
    <w:p>
      <w:pPr>
        <w:spacing w:line="360" w:lineRule="auto" w:before="0" w:after="0"/>
        <w:ind w:firstLine="709"/>
        <w:jc w:val="both"/>
      </w:pPr>
      <w:r>
        <w:rPr>
          <w:b w:val="0"/>
          <w:i w:val="0"/>
        </w:rPr>
        <w:t xml:space="preserve">Uma Interface de Programação de Aplicações (API) define como um sistema solicita dados ou serviços de outro de forma padronizada. O estilo </w:t>
      </w:r>
      <w:r>
        <w:rPr>
          <w:b w:val="0"/>
          <w:i/>
        </w:rPr>
        <w:t>Representational State Transfer</w:t>
      </w:r>
      <w:r>
        <w:rPr>
          <w:b w:val="0"/>
          <w:i w:val="0"/>
        </w:rPr>
        <w:t xml:space="preserve"> (REST), descrito por Fielding (2000), organiza essa comunicação em recursos acessados pelo protocolo HTTP, o que facilita integrar aplicações feitas em tecnologias diferentes. Neste trabalho, a API representa o sistema de estoque do hospital: em vez de o comprador conferir e digitar as quantidades, o sistema de compras recebe os saldos já estruturados. Davenport (1993) argumenta que a tecnologia gera mais valor quando redesenha o processo, e não quando apenas informatiza as etapas existentes; no setor de compras, a verificação do estoque, o envio e a cobrança das cotações e o cálculo do comparativo são candidatos naturais à automação.</w:t>
      </w:r>
    </w:p>
    <w:p>
      <w:pPr>
        <w:spacing w:line="360" w:lineRule="auto" w:before="0" w:after="0"/>
        <w:jc w:val="both"/>
      </w:pPr>
    </w:p>
    <w:p>
      <w:pPr>
        <w:keepNext/>
        <w:spacing w:line="360" w:lineRule="auto" w:before="0" w:after="0"/>
        <w:jc w:val="left"/>
      </w:pPr>
      <w:r>
        <w:rPr>
          <w:b w:val="0"/>
        </w:rPr>
        <w:t>2.4 MODELO DE ACEITAÇÃO DE TECNOLOGIA (TAM)</w:t>
      </w:r>
    </w:p>
    <w:p>
      <w:pPr>
        <w:keepNext/>
        <w:spacing w:line="360" w:lineRule="auto" w:before="0" w:after="0"/>
        <w:jc w:val="both"/>
      </w:pPr>
    </w:p>
    <w:p>
      <w:pPr>
        <w:spacing w:line="360" w:lineRule="auto" w:before="0" w:after="0"/>
        <w:ind w:firstLine="709"/>
        <w:jc w:val="both"/>
      </w:pPr>
      <w:r>
        <w:rPr>
          <w:b w:val="0"/>
          <w:i w:val="0"/>
        </w:rPr>
        <w:t>O Modelo de Aceitação de Tecnologia, proposto por Davis (1989), explica a adoção de um sistema por duas percepções: a utilidade percebida, grau em que a pessoa acredita que o sistema melhora o seu desempenho, e a facilidade de uso percebida, grau em que acredita que usá-lo exige pouco esforço. Davis, Bagozzi e Warshaw (1989) acrescentaram a atitude e a intenção de uso, que é a melhor preditora do uso real. Por ser simples e amplamente validado, o TAM é adequado para avaliar protótipos com grupos pequenos, e a confiabilidade das escalas é verificada pelo alfa de Cronbach (CRONBACH, 1951), considerando-se aceitáveis valores a partir de 0,70.</w:t>
      </w:r>
    </w:p>
    <w:p>
      <w:pPr>
        <w:spacing w:line="360" w:lineRule="auto" w:before="0" w:after="0"/>
        <w:jc w:val="both"/>
      </w:pPr>
    </w:p>
    <w:p>
      <w:pPr>
        <w:keepNext/>
        <w:spacing w:line="360" w:lineRule="auto" w:before="0" w:after="0"/>
        <w:jc w:val="left"/>
      </w:pPr>
      <w:r>
        <w:rPr>
          <w:b w:val="0"/>
        </w:rPr>
        <w:t>2.5 TRABALHOS CORRELATOS</w:t>
      </w:r>
    </w:p>
    <w:p>
      <w:pPr>
        <w:keepNext/>
        <w:spacing w:line="360" w:lineRule="auto" w:before="0" w:after="0"/>
        <w:jc w:val="both"/>
      </w:pPr>
    </w:p>
    <w:p>
      <w:pPr>
        <w:spacing w:line="360" w:lineRule="auto" w:before="0" w:after="0"/>
        <w:ind w:firstLine="709"/>
        <w:jc w:val="both"/>
      </w:pPr>
      <w:r>
        <w:rPr>
          <w:b w:val="0"/>
          <w:i w:val="0"/>
        </w:rPr>
        <w:t xml:space="preserve">Belli (2019) desenvolveu uma página web em que fornecedores informam disponibilidade, preço e prazo de uma solicitação de compra, com os dados enviados ao módulo de compras de um sistema de gestão empresarial (ERP), mas a comparação e a escolha continuam a cargo do comprador. Bernardi </w:t>
      </w:r>
      <w:r>
        <w:rPr>
          <w:b w:val="0"/>
          <w:i/>
        </w:rPr>
        <w:t>et al.</w:t>
      </w:r>
      <w:r>
        <w:rPr>
          <w:b w:val="0"/>
          <w:i w:val="0"/>
        </w:rPr>
        <w:t xml:space="preserve"> (2019) aplicaram os métodos AHP e PROMETHEE para classificar distribuidores de produtos de limpeza de um hospital, e Paraguassu e Macedo (2013) usaram o AHP para ponderar critérios de seleção de fornecedores em Bio-Manguinhos/Fiocruz. Esses estudos aplicam a decisão multicritério fora de um sistema que acompanhe a compra do início ao fim. O Quadro 1 resume a comparação: a contribuição do Provisa está em reunir a detecção automática pela API, o envio e o acompanhamento das cotações, a classificação multicritério e a avaliação pelo TAM.</w:t>
      </w:r>
    </w:p>
    <w:p>
      <w:pPr>
        <w:spacing w:line="240" w:lineRule="auto" w:before="0" w:after="0"/>
        <w:jc w:val="both"/>
      </w:pP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Questionário TAM</w:t>
            </w:r>
          </w:p>
        </w:tc>
      </w:tr>
    </w:tbl>
    <w:p>
      <w:pPr>
        <w:keepNext/>
        <w:spacing w:line="240" w:lineRule="auto" w:before="80" w:after="0"/>
        <w:jc w:val="center"/>
      </w:pPr>
      <w:r>
        <w:rPr>
          <w:b/>
          <w:i w:val="0"/>
          <w:sz w:val="20"/>
        </w:rPr>
        <w:t>Quadro 1 – Comparação entre os trabalhos correlatos e o Provisa</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rPr>
        <w:t>3 MATERIAIS E MÉTODOS</w:t>
      </w:r>
    </w:p>
    <w:p>
      <w:pPr>
        <w:keepNext/>
        <w:spacing w:line="360" w:lineRule="auto" w:before="0" w:after="0"/>
        <w:jc w:val="both"/>
      </w:pPr>
    </w:p>
    <w:p>
      <w:pPr>
        <w:spacing w:line="360" w:lineRule="auto" w:before="0" w:after="0"/>
        <w:ind w:firstLine="709"/>
        <w:jc w:val="both"/>
      </w:pPr>
      <w:r>
        <w:rPr>
          <w:b w:val="0"/>
          <w:i w:val="0"/>
        </w:rPr>
        <w:t>A pesquisa é aplicada, exploratória e descritiva (GIL, 2002), com abordagem qualitativa e quantitativa, e o procedimento técnico é o desenvolvimento de um protótipo funcional, avaliado em um cenário hospitalar simulado. Os requisitos foram definidos a partir do fluxo típico de compras de um hospital, resultando em 12 requisitos funcionais e 7 não funcionais.</w:t>
      </w:r>
    </w:p>
    <w:p>
      <w:pPr>
        <w:spacing w:line="360" w:lineRule="auto" w:before="0" w:after="0"/>
        <w:ind w:firstLine="709"/>
        <w:jc w:val="both"/>
      </w:pPr>
      <w:r>
        <w:rPr>
          <w:b w:val="0"/>
          <w:i w:val="0"/>
        </w:rPr>
        <w:t>O sistema foi desenvolvido com Next.js, React e TypeScript na interface e nas regras de negócio, PostgreSQL com Prisma no banco de dados, Express na API de estoque, Resend no envio de e-mails e PDFKit na geração do pedido de compra, todos gratuitos e de código aberto, e foi publicado na nuvem Render. A aplicação e a API são serviços independentes: a aplicação consulta a API por HTTP, com chave de acesso, a cada cinco minutos ou quando o comprador solicita, de modo que, em um hospital real, basta trocar a API simulada pela do sistema de estoque existente (Figura 1).</w:t>
      </w:r>
    </w:p>
    <w:p>
      <w:pPr>
        <w:keepNext/>
        <w:spacing w:line="240" w:lineRule="auto" w:before="120" w:after="0"/>
        <w:jc w:val="center"/>
      </w:pPr>
      <w:r>
        <w:drawing>
          <wp:inline xmlns:a="http://schemas.openxmlformats.org/drawingml/2006/main" xmlns:pic="http://schemas.openxmlformats.org/drawingml/2006/picture">
            <wp:extent cx="4860000" cy="2292453"/>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4860000" cy="2292453"/>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Para os testes, foi criado um hospital fictício com nove setores, 12 produtos em oito categorias e seis fornecedores com notas de histórico diferentes, e a API simula o consumo dos setores. As propostas são classificadas por soma ponderada, com cada critério recebendo uma nota de 0 a 1:</w:t>
      </w:r>
    </w:p>
    <w:p>
      <w:pPr>
        <w:spacing w:line="360" w:lineRule="auto" w:before="0" w:after="0"/>
        <w:ind w:left="1049" w:hanging="340"/>
        <w:jc w:val="both"/>
      </w:pPr>
      <w:r>
        <w:rPr>
          <w:b w:val="0"/>
          <w:i w:val="0"/>
        </w:rPr>
        <w:t>A) preço: custo dos itens pelo menor preço encontrado para cada item, dividido pelo custo da proposta;</w:t>
      </w:r>
    </w:p>
    <w:p>
      <w:pPr>
        <w:spacing w:line="360" w:lineRule="auto" w:before="0" w:after="0"/>
        <w:ind w:left="1049" w:hanging="340"/>
        <w:jc w:val="both"/>
      </w:pPr>
      <w:r>
        <w:rPr>
          <w:b w:val="0"/>
          <w:i w:val="0"/>
        </w:rPr>
        <w:t>B) prazo: menor prazo da cotação dividido pelo prazo da proposta;</w:t>
      </w:r>
    </w:p>
    <w:p>
      <w:pPr>
        <w:spacing w:line="360" w:lineRule="auto" w:before="0" w:after="0"/>
        <w:ind w:left="1049" w:hanging="340"/>
        <w:jc w:val="both"/>
      </w:pPr>
      <w:r>
        <w:rPr>
          <w:b w:val="0"/>
          <w:i w:val="0"/>
        </w:rPr>
        <w:t>C) disponibilidade: média, por item, da quantidade disponível dividida pela necessária, limitada a 1; e</w:t>
      </w:r>
    </w:p>
    <w:p>
      <w:pPr>
        <w:spacing w:line="360" w:lineRule="auto" w:before="0" w:after="0"/>
        <w:ind w:left="1049" w:hanging="340"/>
        <w:jc w:val="both"/>
      </w:pPr>
      <w:r>
        <w:rPr>
          <w:b w:val="0"/>
          <w:i w:val="0"/>
        </w:rPr>
        <w:t>D) histórico: nota do fornecedor, de 0 a 5, dividida por 5.</w:t>
      </w:r>
    </w:p>
    <w:p>
      <w:pPr>
        <w:spacing w:line="360" w:lineRule="auto" w:before="0" w:after="0"/>
        <w:ind w:firstLine="709"/>
        <w:jc w:val="both"/>
      </w:pPr>
      <w:r>
        <w:rPr>
          <w:b w:val="0"/>
          <w:i w:val="0"/>
        </w:rPr>
        <w:t>Os pesos padrão são 40% para preço, 30% para prazo, 20% para disponibilidade e 10% para histórico, alteráveis pelo gestor, e a pontuação final vai de 0 a 100. Uma simulação de pesos permite verificar se a recomendação se mantém quando a prioridade muda.</w:t>
      </w:r>
    </w:p>
    <w:p>
      <w:pPr>
        <w:spacing w:line="360" w:lineRule="auto" w:before="0" w:after="0"/>
        <w:ind w:firstLine="709"/>
        <w:jc w:val="both"/>
      </w:pPr>
      <w:r>
        <w:rPr>
          <w:b w:val="0"/>
          <w:i w:val="0"/>
        </w:rPr>
        <w:t xml:space="preserve">A avaliação foi feita de duas formas. Na primeira, compararam-se o processo manual e o automatizado pelas hipóteses H1 a H4, com os indicadores do sistema medidos nos seus registros e os tempos manuais estimados para um ciclo típico de compra. </w:t>
      </w:r>
      <w:r>
        <w:rPr>
          <w:b w:val="0"/>
          <w:i w:val="0"/>
          <w:highlight w:val="yellow"/>
        </w:rPr>
        <w:t>Se possível, substituir pelos tempos informados pelo setor de compras de um hospital.</w:t>
      </w:r>
      <w:r>
        <w:rPr>
          <w:b w:val="0"/>
          <w:i w:val="0"/>
        </w:rPr>
        <w:t xml:space="preserve"> Na segunda, os participantes executaram um roteiro de sete tarefas no sistema e responderam, pelo Google Forms, a 20 afirmações em escala Likert de cinco pontos, adaptadas de Davis (1989) e de Davis, Bagozzi e Warshaw (1989): oito de utilidade percebida (UP), seis de facilidade de uso percebida (FUP), três de atitude (AT) e três de intenção de uso (IU). O questionário teve termo de consentimento e garantia de anonimato, conforme a Lei Geral de Proteção de Dados (BRASIL, 2018). Os dados foram analisados por média, desvio padrão, percentual de concordância (respostas 4 e 5) e alfa de Cronbach.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4 RESULTADOS E DISCUSSÃO</w:t>
      </w:r>
    </w:p>
    <w:p>
      <w:pPr>
        <w:keepNext/>
        <w:spacing w:line="360" w:lineRule="auto" w:before="0" w:after="0"/>
        <w:jc w:val="both"/>
      </w:pPr>
    </w:p>
    <w:p>
      <w:pPr>
        <w:keepNext/>
        <w:spacing w:line="360" w:lineRule="auto" w:before="0" w:after="0"/>
        <w:jc w:val="left"/>
      </w:pPr>
      <w:r>
        <w:rPr>
          <w:b w:val="0"/>
        </w:rPr>
        <w:t>4.1 O SISTEMA DESENVOLVIDO</w:t>
      </w:r>
    </w:p>
    <w:p>
      <w:pPr>
        <w:keepNext/>
        <w:spacing w:line="360" w:lineRule="auto" w:before="0" w:after="0"/>
        <w:jc w:val="both"/>
      </w:pPr>
    </w:p>
    <w:p>
      <w:pPr>
        <w:spacing w:line="360" w:lineRule="auto" w:before="0" w:after="0"/>
        <w:ind w:firstLine="709"/>
        <w:jc w:val="both"/>
      </w:pPr>
      <w:r>
        <w:rPr>
          <w:b w:val="0"/>
          <w:i w:val="0"/>
        </w:rPr>
        <w:t>O Provisa foi publicado na internet e funciona no computador e no celular. Quando a leitura automática do estoque encontra um item abaixo do mínimo, o sistema cria uma necessidade de compra, sugere a quantidade e agrupa as necessidades por categoria. Com um clique, o comprador gera a cotação, e cada fornecedor da categoria recebe por e-mail um link exclusivo para um portal em que informa, sem login, preço, quantidade, prazo e forma de pagamento. Doze horas antes do prazo, quem não respondeu recebe um lembrete. A Figura 2 mostra o fluxo completo.</w:t>
      </w:r>
    </w:p>
    <w:p>
      <w:pPr>
        <w:keepNext/>
        <w:spacing w:line="240" w:lineRule="auto" w:before="120" w:after="0"/>
        <w:jc w:val="center"/>
      </w:pPr>
      <w:r>
        <w:drawing>
          <wp:inline xmlns:a="http://schemas.openxmlformats.org/drawingml/2006/main" xmlns:pic="http://schemas.openxmlformats.org/drawingml/2006/picture">
            <wp:extent cx="5580000" cy="3800172"/>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580000" cy="3800172"/>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709"/>
        <w:jc w:val="both"/>
      </w:pPr>
      <w:r>
        <w:rPr>
          <w:b w:val="0"/>
          <w:i w:val="0"/>
        </w:rPr>
        <w:t>Com as respostas, o sistema apresenta o ranking, a composição da pontuação, os alertas e os preços por item (Figura 3). Na cotação da figura, a proposta mais barata (R$ 493,80) ficou em quarto lugar por ter prazo de 15 dias e histórico baixo, enquanto a primeira colocada, de R$ 600,00, entregava em 2 dias e tinha nota 4,6, somando 92,1 pontos contra 68,6. Se o comprador escolher outra proposta, precisa registrar a justificativa. Após a aprovação, o sistema emite o pedido em PDF, avisa os fornecedores e, com os registros de pagamento e de recebimento, dá entrada no estoque e atualiza a nota do fornecedor. Os 12 requisitos funcionais foram atendidos, e os 27 testes automatizados do algoritmo e das regras de negócio foram aprovados.</w:t>
      </w:r>
    </w:p>
    <w:p>
      <w:pPr>
        <w:keepNext/>
        <w:spacing w:line="240" w:lineRule="auto" w:before="120" w:after="0"/>
        <w:jc w:val="center"/>
      </w:pPr>
      <w:r>
        <w:drawing>
          <wp:inline xmlns:a="http://schemas.openxmlformats.org/drawingml/2006/main" xmlns:pic="http://schemas.openxmlformats.org/drawingml/2006/picture">
            <wp:extent cx="4680000" cy="3892443"/>
            <wp:docPr id="3" name="Picture 3"/>
            <wp:cNvGraphicFramePr>
              <a:graphicFrameLocks noChangeAspect="1"/>
            </wp:cNvGraphicFramePr>
            <a:graphic>
              <a:graphicData uri="http://schemas.openxmlformats.org/drawingml/2006/picture">
                <pic:pic>
                  <pic:nvPicPr>
                    <pic:cNvPr id="0" name="fig-comparativo.png"/>
                    <pic:cNvPicPr/>
                  </pic:nvPicPr>
                  <pic:blipFill>
                    <a:blip r:embed="rId13"/>
                    <a:stretch>
                      <a:fillRect/>
                    </a:stretch>
                  </pic:blipFill>
                  <pic:spPr>
                    <a:xfrm>
                      <a:off x="0" y="0"/>
                      <a:ext cx="4680000" cy="3892443"/>
                    </a:xfrm>
                    <a:prstGeom prst="rect"/>
                  </pic:spPr>
                </pic:pic>
              </a:graphicData>
            </a:graphic>
          </wp:inline>
        </w:drawing>
      </w:r>
    </w:p>
    <w:p>
      <w:pPr>
        <w:keepNext/>
        <w:spacing w:line="240" w:lineRule="auto" w:before="80" w:after="0"/>
        <w:jc w:val="center"/>
      </w:pPr>
      <w:r>
        <w:rPr>
          <w:b/>
          <w:i w:val="0"/>
          <w:sz w:val="20"/>
        </w:rPr>
        <w:t>Figura 3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jc w:val="both"/>
      </w:pPr>
    </w:p>
    <w:p>
      <w:pPr>
        <w:keepNext/>
        <w:spacing w:line="360" w:lineRule="auto" w:before="0" w:after="0"/>
        <w:jc w:val="left"/>
      </w:pPr>
      <w:r>
        <w:rPr>
          <w:b w:val="0"/>
        </w:rPr>
        <w:t>4.2 COMPARAÇÃO ENTRE O PROCESSO MANUAL E O AUTOMATIZADO</w:t>
      </w:r>
    </w:p>
    <w:p>
      <w:pPr>
        <w:keepNext/>
        <w:spacing w:line="360" w:lineRule="auto" w:before="0" w:after="0"/>
        <w:jc w:val="both"/>
      </w:pPr>
    </w:p>
    <w:p>
      <w:pPr>
        <w:spacing w:line="360" w:lineRule="auto" w:before="0" w:after="0"/>
        <w:ind w:firstLine="709"/>
        <w:jc w:val="both"/>
      </w:pPr>
      <w:r>
        <w:rPr>
          <w:b w:val="0"/>
          <w:i w:val="0"/>
        </w:rPr>
        <w:t>No processo manual, o comprador executa 13 etapas, agrupadas na Tabela 1 em cinco atividades; com o sistema, restam quatro ações: revisar a quantidade, aprovar a proposta, registrar o pagamento e registrar o recebimento. No cenário de demonstração, as 26 propostas foram registradas pelos próprios fornecedores, sem digitação do comprador, as leituras do estoque pela API não tiveram falhas e as seis decisões guardaram ranking, pesos e responsável. Como as propostas desse cenário foram simuladas, os números mostram que o sistema registra cada etapa, e não o comportamento de usuários reais.</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jc w:val="both"/>
      </w:pPr>
    </w:p>
    <w:p>
      <w:pPr>
        <w:keepNext/>
        <w:spacing w:line="360" w:lineRule="auto" w:before="0" w:after="0"/>
        <w:jc w:val="left"/>
      </w:pPr>
      <w:r>
        <w:rPr>
          <w:b w:val="0"/>
        </w:rPr>
        <w:t>4.3 ACEITAÇÃO DO SISTEMA PELOS USUÁRIOS</w:t>
      </w:r>
    </w:p>
    <w:p>
      <w:pPr>
        <w:keepNext/>
        <w:spacing w:line="360" w:lineRule="auto" w:before="0" w:after="0"/>
        <w:jc w:val="both"/>
      </w:pPr>
    </w:p>
    <w:p>
      <w:pPr>
        <w:spacing w:line="360" w:lineRule="auto" w:before="0" w:after="0"/>
        <w:ind w:firstLine="709"/>
        <w:jc w:val="both"/>
      </w:pPr>
      <w:r>
        <w:rPr>
          <w:b w:val="0"/>
          <w:i w:val="0"/>
          <w:highlight w:val="yellow"/>
        </w:rPr>
        <w:t>Descrever os participantes: quantos responderam, funções e tempo de experiência.</w:t>
      </w:r>
      <w:r>
        <w:rPr>
          <w:b w:val="0"/>
          <w:i w:val="0"/>
        </w:rPr>
        <w:t xml:space="preserve"> A Tabela 2 apresenta os resultados por construto, e o Gráfico 1 compara as médias.</w:t>
      </w:r>
    </w:p>
    <w:p>
      <w:pPr>
        <w:keepNext/>
        <w:spacing w:line="240" w:lineRule="auto" w:before="120" w:after="80"/>
        <w:jc w:val="center"/>
      </w:pPr>
      <w:r>
        <w:rPr>
          <w:b/>
          <w:i w:val="0"/>
          <w:sz w:val="20"/>
        </w:rPr>
        <w:t>Tabela 2 – Resultados do questionário por construto do TAM</w:t>
      </w:r>
    </w:p>
    <w:tbl>
      <w:tblPr>
        <w:tblW w:type="auto" w:w="0"/>
        <w:jc w:val="center"/>
        <w:tblLayout w:type="fixed"/>
        <w:tblLook w:firstColumn="1" w:firstRow="1" w:lastColumn="0" w:lastRow="0" w:noHBand="0" w:noVBand="1" w:val="04A0"/>
        <w:tblLayout w:type="fixed"/>
      </w:tblPr>
      <w:tblGrid>
        <w:gridCol w:w="2608"/>
        <w:gridCol w:w="907"/>
        <w:gridCol w:w="850"/>
        <w:gridCol w:w="1304"/>
        <w:gridCol w:w="1701"/>
        <w:gridCol w:w="1701"/>
      </w:tblGrid>
      <w:tr>
        <w:trPr>
          <w:cantSplit/>
        </w:trPr>
        <w:tc>
          <w:tcPr>
            <w:tcW w:type="dxa" w:w="260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907"/>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907"/>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608"/>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907"/>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402"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Gráfico 1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709"/>
        <w:jc w:val="both"/>
      </w:pPr>
      <w:r>
        <w:rPr>
          <w:b w:val="0"/>
          <w:i w:val="0"/>
          <w:highlight w:val="yellow"/>
        </w:rPr>
        <w:t>Comentar o Gráfico 1, as afirmações com maior e menor concordância, a avaliação dos fornecedores sobre o portal e os principais temas das perguntas abertas.</w:t>
      </w:r>
    </w:p>
    <w:p>
      <w:pPr>
        <w:spacing w:line="360" w:lineRule="auto" w:before="0" w:after="0"/>
        <w:jc w:val="both"/>
      </w:pPr>
    </w:p>
    <w:p>
      <w:pPr>
        <w:keepNext/>
        <w:spacing w:line="360" w:lineRule="auto" w:before="0" w:after="0"/>
        <w:jc w:val="left"/>
      </w:pPr>
      <w:r>
        <w:rPr>
          <w:b w:val="0"/>
        </w:rPr>
        <w:t>4.4 DISCUSSÃO</w:t>
      </w:r>
    </w:p>
    <w:p>
      <w:pPr>
        <w:keepNext/>
        <w:spacing w:line="360" w:lineRule="auto" w:before="0" w:after="0"/>
        <w:jc w:val="both"/>
      </w:pPr>
    </w:p>
    <w:p>
      <w:pPr>
        <w:spacing w:line="360" w:lineRule="auto" w:before="0" w:after="0"/>
        <w:ind w:firstLine="709"/>
        <w:jc w:val="both"/>
      </w:pPr>
      <w:r>
        <w:rPr>
          <w:b w:val="0"/>
          <w:i w:val="0"/>
        </w:rPr>
        <w:t xml:space="preserve">A hipótese H1 é sustentada no que depende do comprador, pois a identificação dos itens, o envio e a cobrança das cotações e a comparação das propostas deixam de ser manuais, de acordo com Davenport (1993); o tempo de resposta dos fornecedores, porém, continua fora do controle do sistema. A H2 é sustentada porque a leitura pela API e o registro das propostas pelo fornecedor eliminam a redigitação, que Infante e Santos (2007) associam às falhas de abastecimento. A H3 também se sustenta: cada decisão considera quatro critérios ponderados, em linha com Dickson (1966) e Weber, Current e Benton (1991), e a Figura 3 mostra que o menor preço nem sempre é a melhor escolha. A H4 é sustentada porque cada decisão guarda ranking, pesos, responsável e justificativa. </w:t>
      </w:r>
      <w:r>
        <w:rPr>
          <w:b w:val="0"/>
          <w:i w:val="0"/>
          <w:highlight w:val="yellow"/>
        </w:rPr>
        <w:t>Discutir os resultados do TAM em relação a Davis (1989) e ao alfa mínimo de 0,70.</w:t>
      </w:r>
    </w:p>
    <w:p>
      <w:pPr>
        <w:spacing w:line="360" w:lineRule="auto" w:before="0" w:after="0"/>
        <w:ind w:firstLine="709"/>
        <w:jc w:val="both"/>
      </w:pPr>
      <w:r>
        <w:rPr>
          <w:b w:val="0"/>
          <w:i w:val="0"/>
        </w:rPr>
        <w:t>Entre as limitações, estão o uso de dados fictícios e de uma API simulada, a estimativa dos tempos manuais e o número reduzido de participantes, que impede generalizar os resultados, além da sensibilidade da pontuação aos pesos escolhidos, mitigada pela simulação de pesos.</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709"/>
        <w:jc w:val="both"/>
      </w:pPr>
      <w:r>
        <w:rPr>
          <w:b w:val="0"/>
          <w:i w:val="0"/>
        </w:rPr>
        <w:t xml:space="preserve">O objetivo de desenvolver e avaliar um sistema web de apoio à decisão para compras hospitalares foi atingido e o problema de pesquisa foi respondido: o Provisa identifica os itens abaixo do estoque mínimo por meio de uma API, envia os pedidos de cotação, recebe as propostas por um portal e as classifica por preço, prazo, disponibilidade e histórico, deixando a decisão com o comprador. Nos testes, 13 etapas manuais foram reduzidas a quatro ações e todas as decisões ficaram rastreáveis.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 Como trabalhos futuros, sugerem-se a integração com o estoque e o ERP de um hospital real, a medição dos tempos do processo manual, uma amostra maior de participantes e a previsão de demanda pelo histórico de consumo.</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709"/>
        <w:jc w:val="both"/>
      </w:pPr>
      <w:r>
        <w:rPr>
          <w:b w:val="0"/>
          <w:i w:val="0"/>
        </w:rPr>
        <w:t>Ao professor orientador Allan Stieg Candeia, pela orientação e pelas contribuições ao longo do trabalho; aos profissionais que participaram da avaliação do sistema; e à família, pelo apoio durante o curso.</w:t>
      </w:r>
    </w:p>
    <w:p>
      <w:pPr>
        <w:spacing w:line="360" w:lineRule="auto" w:before="0" w:after="0"/>
        <w:jc w:val="both"/>
      </w:pP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left"/>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left"/>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