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rFonts w:ascii="Calibri" w:hAnsi="Calibri"/>
          <w:b/>
          <w:color w:val="C89628"/>
          <w:sz w:val="22"/>
        </w:rPr>
        <w:t>PBL • 2º ANO • FASE 5</w:t>
      </w:r>
    </w:p>
    <w:p>
      <w:pPr>
        <w:spacing w:after="140"/>
        <w:jc w:val="center"/>
      </w:pPr>
      <w:r>
        <w:rPr>
          <w:rFonts w:ascii="Calibri" w:hAnsi="Calibri"/>
          <w:b/>
          <w:color w:val="17324D"/>
          <w:sz w:val="50"/>
        </w:rPr>
        <w:t>Visualização de Dados e Painel Estratégico</w:t>
      </w:r>
    </w:p>
    <w:p>
      <w:pPr>
        <w:spacing w:after="560"/>
        <w:jc w:val="center"/>
      </w:pPr>
      <w:r>
        <w:rPr>
          <w:rFonts w:ascii="Calibri" w:hAnsi="Calibri"/>
          <w:color w:val="64748B"/>
          <w:sz w:val="28"/>
        </w:rPr>
        <w:t>Desafio 1 • Business Intelligence e DataViz</w:t>
      </w:r>
    </w:p>
    <w:p>
      <w:pPr>
        <w:spacing w:after="280"/>
        <w:jc w:val="center"/>
      </w:pPr>
      <w:r>
        <w:rPr>
          <w:rFonts w:ascii="Calibri" w:hAnsi="Calibri"/>
          <w:b/>
          <w:color w:val="2E74B5"/>
          <w:sz w:val="26"/>
        </w:rPr>
        <w:t>Grupo MC Analytics</w:t>
      </w:r>
    </w:p>
    <w:p>
      <w:pPr>
        <w:spacing w:after="40"/>
        <w:jc w:val="center"/>
      </w:pPr>
      <w:r>
        <w:rPr>
          <w:rFonts w:ascii="Calibri" w:hAnsi="Calibri"/>
          <w:color w:val="1D2733"/>
          <w:sz w:val="21"/>
        </w:rPr>
        <w:t>Ana Carolina Carvalho de Paula • RM 561917</w:t>
      </w:r>
    </w:p>
    <w:p>
      <w:pPr>
        <w:spacing w:after="40"/>
        <w:jc w:val="center"/>
      </w:pPr>
      <w:r>
        <w:rPr>
          <w:rFonts w:ascii="Calibri" w:hAnsi="Calibri"/>
          <w:color w:val="1D2733"/>
          <w:sz w:val="21"/>
        </w:rPr>
        <w:t>Barbara Ayumi Leoni Kodama • RM 565513</w:t>
      </w:r>
    </w:p>
    <w:p>
      <w:pPr>
        <w:spacing w:after="40"/>
        <w:jc w:val="center"/>
      </w:pPr>
      <w:r>
        <w:rPr>
          <w:rFonts w:ascii="Calibri" w:hAnsi="Calibri"/>
          <w:color w:val="1D2733"/>
          <w:sz w:val="21"/>
        </w:rPr>
        <w:t>Matheus Rodrigo Da Silva Santos • RM 562378</w:t>
      </w:r>
    </w:p>
    <w:p>
      <w:pPr>
        <w:spacing w:before="680"/>
        <w:jc w:val="center"/>
      </w:pPr>
      <w:r>
        <w:rPr>
          <w:rFonts w:ascii="Calibri" w:hAnsi="Calibri"/>
          <w:color w:val="64748B"/>
          <w:sz w:val="20"/>
        </w:rPr>
        <w:t>Melhores Compras • 2026</w:t>
      </w:r>
    </w:p>
    <w:p>
      <w:r>
        <w:br w:type="page"/>
      </w:r>
    </w:p>
    <w:p>
      <w:pPr>
        <w:pStyle w:val="Heading1"/>
      </w:pPr>
      <w:r>
        <w:t>Resumo executivo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b/>
                <w:color w:val="17324D"/>
              </w:rPr>
              <w:t xml:space="preserve">ACHADO CENTRAL </w:t>
            </w:r>
            <w:r>
              <w:rPr>
                <w:color w:val="1D2733"/>
              </w:rPr>
              <w:t>A base tratada soma R$ 86,7 mi em receita e R$ 32,7 mi em lucro líquido. Em comparação equivalente até 5 de abril, 2024 supera 2023 em 78,0%, mas a mudança brusca de volume deve ser validada antes de ser interpretada como crescimento puramente comercial.</w:t>
            </w:r>
          </w:p>
        </w:tc>
      </w:tr>
    </w:tbl>
    <w:p>
      <w:pPr>
        <w:spacing w:after="0"/>
      </w:pPr>
    </w:p>
    <w:p>
      <w:r>
        <w:t>O painel foi construído para responder a quatro perguntas da área comercial: quanto foi vendido, onde a receita se concentra, quais categorias combinam escala e rentabilidade e como o comportamento evolui ao longo do tempo. A leitura prioriza indicadores acionáveis e evita comparar o ano parcial de 2024 diretamente com anos completos.</w:t>
      </w:r>
    </w:p>
    <w:p>
      <w:pPr>
        <w:pStyle w:val="Heading1"/>
      </w:pPr>
      <w:r>
        <w:t>1. Tema e objetivo do dashboard</w:t>
      </w:r>
    </w:p>
    <w:p>
      <w:r>
        <w:t>O tema escolhido foi “Desempenho comercial, mix e rentabilidade das vendas da linha petshop entre 2020 e 2024”. O objetivo é oferecer uma visão executiva capaz de apoiar decisões de portfólio, cobertura regional, meios de pagamento e acompanhamento temporal.</w:t>
      </w:r>
    </w:p>
    <w:p>
      <w:pPr>
        <w:pStyle w:val="Heading2"/>
      </w:pPr>
      <w:r>
        <w:t>Perguntas orientadoras</w:t>
      </w:r>
    </w:p>
    <w:p>
      <w:pPr>
        <w:pStyle w:val="ListBullet"/>
      </w:pPr>
      <w:r>
        <w:t>Qual é o tamanho do negócio em receita, lucro, margem e pedidos?</w:t>
      </w:r>
    </w:p>
    <w:p>
      <w:pPr>
        <w:pStyle w:val="ListBullet"/>
      </w:pPr>
      <w:r>
        <w:t>Quais regiões e categorias concentram o resultado?</w:t>
      </w:r>
    </w:p>
    <w:p>
      <w:pPr>
        <w:pStyle w:val="ListBullet"/>
      </w:pPr>
      <w:r>
        <w:t>Há categorias de alta receita, mas baixa margem?</w:t>
      </w:r>
    </w:p>
    <w:p>
      <w:pPr>
        <w:pStyle w:val="ListBullet"/>
      </w:pPr>
      <w:r>
        <w:t>A evolução temporal indica aceleração, retração ou mudança no padrão de registro?</w:t>
      </w:r>
    </w:p>
    <w:p>
      <w:pPr>
        <w:pStyle w:val="Heading1"/>
      </w:pPr>
      <w:r>
        <w:t>2. Preparação e tratamento dos dados</w:t>
      </w:r>
    </w:p>
    <w:p>
      <w:r>
        <w:t>O arquivo original foi lido sem qualquer alteração. Como os campos monetários misturavam números, separador decimal brasileiro e prefixo “R$”, todos foram padronizados por código. A coluna de data foi convertida para o tipo temporal com interpretação dia/mês/ano.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1700"/>
        <w:gridCol w:w="4760"/>
      </w:tblGrid>
      <w:tr>
        <w:trPr>
          <w:tblHeader w:val="true"/>
        </w:trPr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b/>
                <w:color w:val="17324D"/>
                <w:sz w:val="19"/>
              </w:rPr>
              <w:t>Controle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b/>
                <w:color w:val="17324D"/>
                <w:sz w:val="19"/>
              </w:rPr>
              <w:t>Quantidade</w:t>
            </w:r>
          </w:p>
        </w:tc>
        <w:tc>
          <w:tcPr>
            <w:tcW w:type="dxa" w:w="4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b/>
                <w:color w:val="17324D"/>
                <w:sz w:val="19"/>
              </w:rPr>
              <w:t>Critério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Linhas recebidas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250.059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Total do CSV original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Linhas válidas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249.087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Registros usados no painel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Linhas excluídas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972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0,39% da base; problemas confirmados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Ausência/erro numérico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501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Campos que não puderam ser convertidos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Valores não positivos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419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Quantidade/valores incompatíveis com venda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Total aritmeticamente incoerente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288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color w:val="1D2733"/>
                <w:sz w:val="18"/>
              </w:rPr>
              <w:t>Fora da tolerância de arredondamento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i/>
          <w:color w:val="64748B"/>
          <w:sz w:val="18"/>
        </w:rPr>
        <w:t>Fonte: elaboração própria a partir do arquivo vendas_linha_petshop_2020_2024.csv.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F5E8"/>
            <w:vAlign w:val="center"/>
          </w:tcPr>
          <w:p>
            <w:pPr>
              <w:spacing w:after="0"/>
            </w:pPr>
            <w:r>
              <w:rPr>
                <w:b/>
                <w:color w:val="17324D"/>
              </w:rPr>
              <w:t xml:space="preserve">CUIDADO DE LEITURA </w:t>
            </w:r>
            <w:r>
              <w:rPr>
                <w:color w:val="1D2733"/>
              </w:rPr>
              <w:t>O arquivo de 2024 termina em 05/04/2024. Além disso, 2023 apresenta mais linhas que códigos de pedido únicos, indicando pedidos com dois itens. Por isso, pedidos são contados de forma distinta e comparações anuais usam períodos equivalentes.</w:t>
            </w:r>
          </w:p>
        </w:tc>
      </w:tr>
    </w:tbl>
    <w:p>
      <w:pPr>
        <w:spacing w:after="0"/>
      </w:pPr>
    </w:p>
    <w:p>
      <w:pPr>
        <w:pStyle w:val="Heading1"/>
      </w:pPr>
      <w:r>
        <w:t>3. Dashboard estratégico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107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comerc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i/>
          <w:color w:val="64748B"/>
          <w:sz w:val="18"/>
        </w:rPr>
        <w:t>Figura 1 — Painel estratégico de desempenho comercial (2020 a 05/04/2024). Fonte: elaboração própria.</w:t>
      </w:r>
    </w:p>
    <w:p>
      <w:r>
        <w:t>O painel foi dividido em quatro camadas: indicadores-chave no topo; evolução de receita e lucro; distribuição regional; e composição por categoria e forma de pagamento. Essa ordem conduz o leitor do resultado geral para os fatores que explicam o desempenho.</w:t>
      </w:r>
    </w:p>
    <w:p>
      <w:pPr>
        <w:pStyle w:val="Heading2"/>
      </w:pPr>
      <w:r>
        <w:t>Informação em destaque</w:t>
      </w:r>
    </w:p>
    <w:p>
      <w:r>
        <w:t>O destaque principal é a combinação entre R$ 86,7 mi de receita, R$ 32,7 mi de lucro e margem líquida de 37,7%. Essa leitura conjunta evita a conclusão incompleta de que maior receita significa necessariamente melhor retorno.</w:t>
      </w:r>
    </w:p>
    <w:p>
      <w:pPr>
        <w:pStyle w:val="Heading2"/>
      </w:pPr>
      <w:r>
        <w:t>Justificativa dos gráficos combinados</w:t>
      </w:r>
    </w:p>
    <w:p>
      <w:r>
        <w:t>A série temporal compara receita e lucro no mesmo eixo monetário. Os gráficos de barras horizontais facilitam rankings com nomes longos. Na análise de categorias, barras mostram escala de receita e a linha evidencia margem, permitindo identificar conflitos entre volume e rentabilidade.</w:t>
      </w:r>
    </w:p>
    <w:p>
      <w:pPr>
        <w:pStyle w:val="Heading1"/>
      </w:pPr>
      <w:r>
        <w:t>4. Evolução temporal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269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ao_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i/>
          <w:color w:val="64748B"/>
          <w:sz w:val="18"/>
        </w:rPr>
        <w:t>Figura 2 — Evolução mensal e comparação acumulada até 5 de abril. Fonte: elaboração própria.</w:t>
      </w:r>
    </w:p>
    <w:p>
      <w:r>
        <w:t>No intervalo comparável de 1º de janeiro a 5 de abril, a receita passa de R$ 7,0 mi em 2023 para R$ 12,5 mi em 2024, aumento de 78,0%. O salto é relevante, porém o volume de pedidos também muda fortemente; recomenda-se validar se houve expansão comercial, alteração de cobertura ou mudança de granularidade na origem dos dados.</w:t>
      </w:r>
    </w:p>
    <w:p>
      <w:pPr>
        <w:pStyle w:val="Heading1"/>
      </w:pPr>
      <w:r>
        <w:t>5. Categorias: escala versus margem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2034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ias_rentabilida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i/>
          <w:color w:val="64748B"/>
          <w:sz w:val="18"/>
        </w:rPr>
        <w:t>Figura 3 — Receita e margem líquida por categoria. Fonte: elaboração própria.</w:t>
      </w:r>
    </w:p>
    <w:p>
      <w:r>
        <w:t>Bebedouros e Comedouros responde por 38,4% da receita, mas sua margem é de apenas 26,3%. Em sentido oposto, Higiene e Limpeza apresenta a maior margem, 68,0%, embora represente 5,5% da receita. Comercialmente, isso sugere preservar o alcance da categoria líder e ampliar a presença das linhas mais rentáveis.</w:t>
      </w:r>
    </w:p>
    <w:p>
      <w:pPr>
        <w:pStyle w:val="Heading1"/>
      </w:pPr>
      <w:r>
        <w:t>6. Região e forma de pagamento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796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oes_pag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i/>
          <w:color w:val="64748B"/>
          <w:sz w:val="18"/>
        </w:rPr>
        <w:t>Figura 4 — Receita por região e participação dos meios de pagamento. Fonte: elaboração própria.</w:t>
      </w:r>
    </w:p>
    <w:p>
      <w:r>
        <w:t>A região Norte lidera com R$ 23,9 mi, equivalente a 27,6% da receita, seguida por Nordeste e Sudeste. Os meios de pagamento são equilibrados: Pix lidera com 20,8%, enquanto o menor canal ainda representa 19,5%. Assim, não há dependência excessiva de uma única forma de pagamento.</w:t>
      </w:r>
    </w:p>
    <w:p>
      <w:pPr>
        <w:pStyle w:val="Heading1"/>
      </w:pPr>
      <w:r>
        <w:t>7. Concentração por produto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92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odut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i/>
          <w:color w:val="64748B"/>
          <w:sz w:val="18"/>
        </w:rPr>
        <w:t>Figura 5 — Produtos com maior receita acumulada. Fonte: elaboração própria.</w:t>
      </w:r>
    </w:p>
    <w:p>
      <w:r>
        <w:t>O produto “Nutri Alimentador Inteligente Automático Câmera Google Alexa” gera R$ 31,9 mi, ou 36,8% de toda a receita. Essa concentração torna estoque, preço e disponibilidade desse SKU especialmente relevantes, mas também cria risco comercial caso o resultado dependa excessivamente de um único item.</w:t>
      </w:r>
    </w:p>
    <w:p>
      <w:pPr>
        <w:pStyle w:val="Heading1"/>
      </w:pPr>
      <w:r>
        <w:t>8. Recomendações à área comercial</w:t>
      </w:r>
    </w:p>
    <w:p>
      <w:pPr>
        <w:pStyle w:val="ListNumber"/>
      </w:pPr>
      <w:r>
        <w:t>Validar a mudança de volume em 2024 e a duplicidade de códigos em 2023 antes de definir metas anuais.</w:t>
      </w:r>
    </w:p>
    <w:p>
      <w:pPr>
        <w:pStyle w:val="ListNumber"/>
      </w:pPr>
      <w:r>
        <w:t>Trabalhar a rentabilidade por categoria: proteger a escala de Bebedouros e Comedouros e testar maior exposição de Higiene e Limpeza.</w:t>
      </w:r>
    </w:p>
    <w:p>
      <w:pPr>
        <w:pStyle w:val="ListNumber"/>
      </w:pPr>
      <w:r>
        <w:t>Investigar a forte concentração no principal produto e criar planos de contingência de estoque e substitutos.</w:t>
      </w:r>
    </w:p>
    <w:p>
      <w:pPr>
        <w:pStyle w:val="ListNumber"/>
      </w:pPr>
      <w:r>
        <w:t>Manter diversidade de meios de pagamento, pois nenhum canal domina de forma crítica.</w:t>
      </w:r>
    </w:p>
    <w:p>
      <w:pPr>
        <w:pStyle w:val="ListNumber"/>
      </w:pPr>
      <w:r>
        <w:t>Criar acompanhamento mensal com filtros por região, categoria, produto e centro de distribuição.</w:t>
      </w:r>
    </w:p>
    <w:p>
      <w:pPr>
        <w:pStyle w:val="Heading1"/>
      </w:pPr>
      <w:r>
        <w:t>Conclusão</w:t>
      </w:r>
    </w:p>
    <w:p>
      <w:r>
        <w:t>O dashboard demonstra que a Melhores Compras possui receita relevante, distribuição regional ampla e um portfólio com diferenças importantes entre escala e margem. O principal ganho gerencial do painel é transformar uma base extensa em prioridades concretas: validar a aceleração de 2024, reduzir risco de concentração e direcionar esforços comerciais para categorias com melhor equilíbrio entre volume e rentabilidade.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4748B"/>
        <w:sz w:val="17"/>
      </w:rPr>
      <w:t>PBL • Melhores Compras | Desafio 1 — DataViz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D27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