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color w:val="C89628"/>
          <w:sz w:val="22"/>
        </w:rPr>
        <w:t>PBL • 2º ANO • FASE 5</w:t>
      </w:r>
    </w:p>
    <w:p>
      <w:pPr>
        <w:spacing w:after="140"/>
        <w:jc w:val="center"/>
      </w:pPr>
      <w:r>
        <w:rPr>
          <w:rFonts w:ascii="Calibri" w:hAnsi="Calibri"/>
          <w:b/>
          <w:color w:val="17324D"/>
          <w:sz w:val="50"/>
        </w:rPr>
        <w:t>Exploração e Análise de Dados</w:t>
      </w:r>
    </w:p>
    <w:p>
      <w:pPr>
        <w:spacing w:after="560"/>
        <w:jc w:val="center"/>
      </w:pPr>
      <w:r>
        <w:rPr>
          <w:rFonts w:ascii="Calibri" w:hAnsi="Calibri"/>
          <w:color w:val="64748B"/>
          <w:sz w:val="28"/>
        </w:rPr>
        <w:t>Desafio 2 • Preparação para modelos preditivos</w:t>
      </w:r>
    </w:p>
    <w:p>
      <w:pPr>
        <w:spacing w:after="280"/>
        <w:jc w:val="center"/>
      </w:pPr>
      <w:r>
        <w:rPr>
          <w:rFonts w:ascii="Calibri" w:hAnsi="Calibri"/>
          <w:b/>
          <w:color w:val="2E74B5"/>
          <w:sz w:val="26"/>
        </w:rPr>
        <w:t>Grupo MC Analytics</w:t>
      </w:r>
    </w:p>
    <w:p>
      <w:pPr>
        <w:spacing w:after="40"/>
        <w:jc w:val="center"/>
      </w:pPr>
      <w:r>
        <w:rPr>
          <w:rFonts w:ascii="Calibri" w:hAnsi="Calibri"/>
          <w:color w:val="1D2733"/>
          <w:sz w:val="21"/>
        </w:rPr>
        <w:t>Ana Carolina Carvalho de Paula • RM 561917</w:t>
      </w:r>
    </w:p>
    <w:p>
      <w:pPr>
        <w:spacing w:after="40"/>
        <w:jc w:val="center"/>
      </w:pPr>
      <w:r>
        <w:rPr>
          <w:rFonts w:ascii="Calibri" w:hAnsi="Calibri"/>
          <w:color w:val="1D2733"/>
          <w:sz w:val="21"/>
        </w:rPr>
        <w:t>Barbara Ayumi Leoni Kodama • RM 565513</w:t>
      </w:r>
    </w:p>
    <w:p>
      <w:pPr>
        <w:spacing w:after="40"/>
        <w:jc w:val="center"/>
      </w:pPr>
      <w:r>
        <w:rPr>
          <w:rFonts w:ascii="Calibri" w:hAnsi="Calibri"/>
          <w:color w:val="1D2733"/>
          <w:sz w:val="21"/>
        </w:rPr>
        <w:t>Matheus Rodrigo Da Silva Santos • RM 562378</w:t>
      </w:r>
    </w:p>
    <w:p>
      <w:pPr>
        <w:spacing w:before="680"/>
        <w:jc w:val="center"/>
      </w:pPr>
      <w:r>
        <w:rPr>
          <w:rFonts w:ascii="Calibri" w:hAnsi="Calibri"/>
          <w:color w:val="64748B"/>
          <w:sz w:val="20"/>
        </w:rPr>
        <w:t>Melhores Compras • 2026</w:t>
      </w:r>
    </w:p>
    <w:p>
      <w:r>
        <w:br w:type="page"/>
      </w:r>
    </w:p>
    <w:p>
      <w:pPr>
        <w:pStyle w:val="Heading1"/>
      </w:pPr>
      <w:r>
        <w:t>Introdução</w:t>
      </w:r>
    </w:p>
    <w:p>
      <w:r>
        <w:t>Este documento responde às cinco questões propostas sobre preparação de dados para ciência de dados. As respostas combinam fundamentos de modelagem com a inspeção efetiva do arquivo de vendas fornecido.</w:t>
      </w:r>
    </w:p>
    <w:p>
      <w:pPr>
        <w:pStyle w:val="Heading1"/>
      </w:pPr>
      <w:r>
        <w:t>1. Estratégia para treinamento, validação e teste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vAlign w:val="center"/>
          </w:tcPr>
          <w:p>
            <w:pPr>
              <w:spacing w:after="0"/>
            </w:pPr>
            <w:r>
              <w:rPr>
                <w:b/>
                <w:color w:val="17324D"/>
              </w:rPr>
              <w:t xml:space="preserve">PROPOSTA </w:t>
            </w:r>
            <w:r>
              <w:rPr>
                <w:color w:val="1D2733"/>
              </w:rPr>
              <w:t>Divisão temporal em 70% para treinamento, 15% para validação e 15% para teste, preservando a ordem cronológica e agrupando todas as linhas do mesmo pedido no mesmo subconjunto.</w:t>
            </w:r>
          </w:p>
        </w:tc>
      </w:tr>
    </w:tbl>
    <w:p>
      <w:pPr>
        <w:spacing w:after="0"/>
      </w:pPr>
    </w:p>
    <w:p>
      <w:pPr>
        <w:pStyle w:val="Heading2"/>
      </w:pPr>
      <w:r>
        <w:t>Treinamento — 70%</w:t>
      </w:r>
    </w:p>
    <w:p>
      <w:r>
        <w:t>Utilizado para estimar os parâmetros do modelo. A maior parcela é destinada ao aprendizado porque a base possui volume suficiente e grande variedade de produtos, regiões e períodos.</w:t>
      </w:r>
    </w:p>
    <w:p>
      <w:pPr>
        <w:pStyle w:val="Heading2"/>
      </w:pPr>
      <w:r>
        <w:t>Validação — 15%</w:t>
      </w:r>
    </w:p>
    <w:p>
      <w:r>
        <w:t>Utilizada para comparar algoritmos, selecionar variáveis e ajustar hiperparâmetros. Essa etapa não deve participar da estimação final do desempenho.</w:t>
      </w:r>
    </w:p>
    <w:p>
      <w:pPr>
        <w:pStyle w:val="Heading2"/>
      </w:pPr>
      <w:r>
        <w:t>Teste — 15%</w:t>
      </w:r>
    </w:p>
    <w:p>
      <w:r>
        <w:t>Mantido intocado até a escolha final do modelo, fornecendo uma estimativa mais realista de generalização em observações futuras.</w:t>
      </w:r>
    </w:p>
    <w:p>
      <w:r>
        <w:t>A divisão temporal é preferível ao sorteio aleatório porque a base representa vendas ao longo de cinco anos. Misturar registros futuros no treinamento criaria vazamento de informação. Como um código de pedido pode aparecer em mais de uma linha, a separação deve ser feita por pedido, evitando que itens do mesmo pedido apareçam simultaneamente no treino e no teste.</w:t>
      </w:r>
    </w:p>
    <w:p>
      <w:pPr>
        <w:pStyle w:val="Heading1"/>
      </w:pPr>
      <w:r>
        <w:t>2. Variáveis categóricas e numéricas</w:t>
      </w:r>
    </w:p>
    <w:p>
      <w:r>
        <w:t>Uma variável numérica representa uma quantidade mensurável e permite operações matemáticas com significado, como soma, média e diferença. Uma variável categórica representa classes ou rótulos; mesmo quando armazenada como número, não deve ser tratada como medida se sua função for apenas identificar ou classificar.</w:t>
      </w:r>
    </w:p>
    <w:tbl>
      <w:tblPr>
        <w:tblStyle w:val="TableGrid"/>
        <w:tblW w:type="dxa" w:w="9360"/>
        <w:jc w:val="left"/>
        <w:tblLayout w:type="fixed"/>
        <w:tblLook w:firstColumn="1" w:firstRow="1" w:lastColumn="0" w:lastRow="0" w:noHBand="0" w:noVBand="1" w:val="04A0"/>
        <w:tblInd w:w="120" w:type="dxa"/>
      </w:tblPr>
      <w:tblGrid>
        <w:gridCol w:w="1600"/>
        <w:gridCol w:w="4360"/>
        <w:gridCol w:w="3400"/>
      </w:tblGrid>
      <w:tr>
        <w:trPr>
          <w:tblHeader w:val="true"/>
        </w:trPr>
        <w:tc>
          <w:tcPr>
            <w:tcW w:type="dxa" w:w="1600"/>
            <w:shd w:fill="F2F4F7"/>
            <w:vAlign w:val="center"/>
            <w:tcMar>
              <w:top w:w="80" w:type="dxa"/>
              <w:start w:w="120" w:type="dxa"/>
              <w:bottom w:w="80" w:type="dxa"/>
              <w:end w:w="120" w:type="dxa"/>
            </w:tcMar>
          </w:tcPr>
          <w:p>
            <w:pPr>
              <w:spacing w:after="0"/>
              <w:jc w:val="left"/>
            </w:pPr>
            <w:r>
              <w:rPr>
                <w:b/>
                <w:color w:val="17324D"/>
                <w:sz w:val="19"/>
              </w:rPr>
              <w:t>Tipo</w:t>
            </w:r>
          </w:p>
        </w:tc>
        <w:tc>
          <w:tcPr>
            <w:tcW w:type="dxa" w:w="4360"/>
            <w:shd w:fill="F2F4F7"/>
            <w:vAlign w:val="center"/>
            <w:tcMar>
              <w:top w:w="80" w:type="dxa"/>
              <w:start w:w="120" w:type="dxa"/>
              <w:bottom w:w="80" w:type="dxa"/>
              <w:end w:w="120" w:type="dxa"/>
            </w:tcMar>
          </w:tcPr>
          <w:p>
            <w:pPr>
              <w:spacing w:after="0"/>
              <w:jc w:val="left"/>
            </w:pPr>
            <w:r>
              <w:rPr>
                <w:b/>
                <w:color w:val="17324D"/>
                <w:sz w:val="19"/>
              </w:rPr>
              <w:t>Variáveis</w:t>
            </w:r>
          </w:p>
        </w:tc>
        <w:tc>
          <w:tcPr>
            <w:tcW w:type="dxa" w:w="3400"/>
            <w:shd w:fill="F2F4F7"/>
            <w:vAlign w:val="center"/>
            <w:tcMar>
              <w:top w:w="80" w:type="dxa"/>
              <w:start w:w="120" w:type="dxa"/>
              <w:bottom w:w="80" w:type="dxa"/>
              <w:end w:w="120" w:type="dxa"/>
            </w:tcMar>
          </w:tcPr>
          <w:p>
            <w:pPr>
              <w:spacing w:after="0"/>
              <w:jc w:val="left"/>
            </w:pPr>
            <w:r>
              <w:rPr>
                <w:b/>
                <w:color w:val="17324D"/>
                <w:sz w:val="19"/>
              </w:rPr>
              <w:t>Interpretação</w:t>
            </w:r>
          </w:p>
        </w:tc>
      </w:tr>
      <w:tr>
        <w:tc>
          <w:tcPr>
            <w:tcW w:type="dxa" w:w="1600"/>
            <w:vAlign w:val="center"/>
            <w:tcMar>
              <w:top w:w="80" w:type="dxa"/>
              <w:start w:w="120" w:type="dxa"/>
              <w:bottom w:w="80" w:type="dxa"/>
              <w:end w:w="120" w:type="dxa"/>
            </w:tcMar>
          </w:tcPr>
          <w:p>
            <w:pPr>
              <w:spacing w:after="0"/>
            </w:pPr>
            <w:r>
              <w:rPr>
                <w:color w:val="1D2733"/>
                <w:sz w:val="18"/>
              </w:rPr>
              <w:t>Numéricas</w:t>
            </w:r>
          </w:p>
        </w:tc>
        <w:tc>
          <w:tcPr>
            <w:tcW w:type="dxa" w:w="4360"/>
            <w:vAlign w:val="center"/>
            <w:tcMar>
              <w:top w:w="80" w:type="dxa"/>
              <w:start w:w="120" w:type="dxa"/>
              <w:bottom w:w="80" w:type="dxa"/>
              <w:end w:w="120" w:type="dxa"/>
            </w:tcMar>
          </w:tcPr>
          <w:p>
            <w:pPr>
              <w:spacing w:after="0"/>
            </w:pPr>
            <w:r>
              <w:rPr>
                <w:color w:val="1D2733"/>
                <w:sz w:val="18"/>
              </w:rPr>
              <w:t>valor; quantidade; valor_total_bruto; valor_comissao; lucro_liquido</w:t>
            </w:r>
          </w:p>
        </w:tc>
        <w:tc>
          <w:tcPr>
            <w:tcW w:type="dxa" w:w="3400"/>
            <w:vAlign w:val="center"/>
            <w:tcMar>
              <w:top w:w="80" w:type="dxa"/>
              <w:start w:w="120" w:type="dxa"/>
              <w:bottom w:w="80" w:type="dxa"/>
              <w:end w:w="120" w:type="dxa"/>
            </w:tcMar>
          </w:tcPr>
          <w:p>
            <w:pPr>
              <w:spacing w:after="0"/>
            </w:pPr>
            <w:r>
              <w:rPr>
                <w:color w:val="1D2733"/>
                <w:sz w:val="18"/>
              </w:rPr>
              <w:t>Medidas de preço, volume e resultado financeiro</w:t>
            </w:r>
          </w:p>
        </w:tc>
      </w:tr>
      <w:tr>
        <w:tc>
          <w:tcPr>
            <w:tcW w:type="dxa" w:w="1600"/>
            <w:vAlign w:val="center"/>
            <w:tcMar>
              <w:top w:w="80" w:type="dxa"/>
              <w:start w:w="120" w:type="dxa"/>
              <w:bottom w:w="80" w:type="dxa"/>
              <w:end w:w="120" w:type="dxa"/>
            </w:tcMar>
          </w:tcPr>
          <w:p>
            <w:pPr>
              <w:spacing w:after="0"/>
            </w:pPr>
            <w:r>
              <w:rPr>
                <w:color w:val="1D2733"/>
                <w:sz w:val="18"/>
              </w:rPr>
              <w:t>Categóricas</w:t>
            </w:r>
          </w:p>
        </w:tc>
        <w:tc>
          <w:tcPr>
            <w:tcW w:type="dxa" w:w="4360"/>
            <w:vAlign w:val="center"/>
            <w:tcMar>
              <w:top w:w="80" w:type="dxa"/>
              <w:start w:w="120" w:type="dxa"/>
              <w:bottom w:w="80" w:type="dxa"/>
              <w:end w:w="120" w:type="dxa"/>
            </w:tcMar>
          </w:tcPr>
          <w:p>
            <w:pPr>
              <w:spacing w:after="0"/>
            </w:pPr>
            <w:r>
              <w:rPr>
                <w:color w:val="1D2733"/>
                <w:sz w:val="18"/>
              </w:rPr>
              <w:t>regiao_pais; produto; estado; formapagto; centro_distribuicao; responsavelpedido; categoriaprod</w:t>
            </w:r>
          </w:p>
        </w:tc>
        <w:tc>
          <w:tcPr>
            <w:tcW w:type="dxa" w:w="3400"/>
            <w:vAlign w:val="center"/>
            <w:tcMar>
              <w:top w:w="80" w:type="dxa"/>
              <w:start w:w="120" w:type="dxa"/>
              <w:bottom w:w="80" w:type="dxa"/>
              <w:end w:w="120" w:type="dxa"/>
            </w:tcMar>
          </w:tcPr>
          <w:p>
            <w:pPr>
              <w:spacing w:after="0"/>
            </w:pPr>
            <w:r>
              <w:rPr>
                <w:color w:val="1D2733"/>
                <w:sz w:val="18"/>
              </w:rPr>
              <w:t>Classes usadas para segmentação e codificação</w:t>
            </w:r>
          </w:p>
        </w:tc>
      </w:tr>
      <w:tr>
        <w:tc>
          <w:tcPr>
            <w:tcW w:type="dxa" w:w="1600"/>
            <w:vAlign w:val="center"/>
            <w:tcMar>
              <w:top w:w="80" w:type="dxa"/>
              <w:start w:w="120" w:type="dxa"/>
              <w:bottom w:w="80" w:type="dxa"/>
              <w:end w:w="120" w:type="dxa"/>
            </w:tcMar>
          </w:tcPr>
          <w:p>
            <w:pPr>
              <w:spacing w:after="0"/>
            </w:pPr>
            <w:r>
              <w:rPr>
                <w:color w:val="1D2733"/>
                <w:sz w:val="18"/>
              </w:rPr>
              <w:t>Identificador</w:t>
            </w:r>
          </w:p>
        </w:tc>
        <w:tc>
          <w:tcPr>
            <w:tcW w:type="dxa" w:w="4360"/>
            <w:vAlign w:val="center"/>
            <w:tcMar>
              <w:top w:w="80" w:type="dxa"/>
              <w:start w:w="120" w:type="dxa"/>
              <w:bottom w:w="80" w:type="dxa"/>
              <w:end w:w="120" w:type="dxa"/>
            </w:tcMar>
          </w:tcPr>
          <w:p>
            <w:pPr>
              <w:spacing w:after="0"/>
            </w:pPr>
            <w:r>
              <w:rPr>
                <w:color w:val="1D2733"/>
                <w:sz w:val="18"/>
              </w:rPr>
              <w:t>cod_pedido</w:t>
            </w:r>
          </w:p>
        </w:tc>
        <w:tc>
          <w:tcPr>
            <w:tcW w:type="dxa" w:w="3400"/>
            <w:vAlign w:val="center"/>
            <w:tcMar>
              <w:top w:w="80" w:type="dxa"/>
              <w:start w:w="120" w:type="dxa"/>
              <w:bottom w:w="80" w:type="dxa"/>
              <w:end w:w="120" w:type="dxa"/>
            </w:tcMar>
          </w:tcPr>
          <w:p>
            <w:pPr>
              <w:spacing w:after="0"/>
            </w:pPr>
            <w:r>
              <w:rPr>
                <w:color w:val="1D2733"/>
                <w:sz w:val="18"/>
              </w:rPr>
              <w:t>Número armazenado como inteiro, mas sem significado quantitativo</w:t>
            </w:r>
          </w:p>
        </w:tc>
      </w:tr>
      <w:tr>
        <w:tc>
          <w:tcPr>
            <w:tcW w:type="dxa" w:w="1600"/>
            <w:vAlign w:val="center"/>
            <w:tcMar>
              <w:top w:w="80" w:type="dxa"/>
              <w:start w:w="120" w:type="dxa"/>
              <w:bottom w:w="80" w:type="dxa"/>
              <w:end w:w="120" w:type="dxa"/>
            </w:tcMar>
          </w:tcPr>
          <w:p>
            <w:pPr>
              <w:spacing w:after="0"/>
            </w:pPr>
            <w:r>
              <w:rPr>
                <w:color w:val="1D2733"/>
                <w:sz w:val="18"/>
              </w:rPr>
              <w:t>Temporal</w:t>
            </w:r>
          </w:p>
        </w:tc>
        <w:tc>
          <w:tcPr>
            <w:tcW w:type="dxa" w:w="4360"/>
            <w:vAlign w:val="center"/>
            <w:tcMar>
              <w:top w:w="80" w:type="dxa"/>
              <w:start w:w="120" w:type="dxa"/>
              <w:bottom w:w="80" w:type="dxa"/>
              <w:end w:w="120" w:type="dxa"/>
            </w:tcMar>
          </w:tcPr>
          <w:p>
            <w:pPr>
              <w:spacing w:after="0"/>
            </w:pPr>
            <w:r>
              <w:rPr>
                <w:color w:val="1D2733"/>
                <w:sz w:val="18"/>
              </w:rPr>
              <w:t>data</w:t>
            </w:r>
          </w:p>
        </w:tc>
        <w:tc>
          <w:tcPr>
            <w:tcW w:type="dxa" w:w="3400"/>
            <w:vAlign w:val="center"/>
            <w:tcMar>
              <w:top w:w="80" w:type="dxa"/>
              <w:start w:w="120" w:type="dxa"/>
              <w:bottom w:w="80" w:type="dxa"/>
              <w:end w:w="120" w:type="dxa"/>
            </w:tcMar>
          </w:tcPr>
          <w:p>
            <w:pPr>
              <w:spacing w:after="0"/>
            </w:pPr>
            <w:r>
              <w:rPr>
                <w:color w:val="1D2733"/>
                <w:sz w:val="18"/>
              </w:rPr>
              <w:t>Deve ser convertida em data e pode gerar ano, mês, dia da semana e sazonalidade</w:t>
            </w:r>
          </w:p>
        </w:tc>
      </w:tr>
    </w:tbl>
    <w:p>
      <w:pPr>
        <w:spacing w:after="0"/>
      </w:pPr>
    </w:p>
    <w:p>
      <w:pPr>
        <w:pStyle w:val="Heading1"/>
      </w:pPr>
      <w:r>
        <w:t>3. Importância do código do pedido</w:t>
      </w:r>
    </w:p>
    <w:p>
      <w:r>
        <w:t>O código do pedido é essencial para controle e engenharia de dados, porém normalmente não deve entrar como variável preditora. Trata-se de um identificador arbitrário: a diferença entre dois códigos não representa diferença econômica, comportamental ou temporal.</w:t>
      </w:r>
    </w:p>
    <w:p>
      <w:pPr>
        <w:pStyle w:val="ListBullet"/>
      </w:pPr>
      <w:r>
        <w:t>Permite identificar pedidos únicos e evitar dupla contagem quando um pedido possui mais de um item.</w:t>
      </w:r>
    </w:p>
    <w:p>
      <w:pPr>
        <w:pStyle w:val="ListBullet"/>
      </w:pPr>
      <w:r>
        <w:t>Deve ser usado para agrupar linhas e calcular ticket, quantidade de itens e valor total por pedido.</w:t>
      </w:r>
    </w:p>
    <w:p>
      <w:pPr>
        <w:pStyle w:val="ListBullet"/>
      </w:pPr>
      <w:r>
        <w:t>Ajuda a localizar duplicidades e rastrear problemas de qualidade.</w:t>
      </w:r>
    </w:p>
    <w:p>
      <w:pPr>
        <w:pStyle w:val="ListBullet"/>
      </w:pPr>
      <w:r>
        <w:t>Deve orientar a separação treino/teste por grupos, impedindo vazamento entre itens do mesmo pedido.</w:t>
      </w:r>
    </w:p>
    <w:p>
      <w:pPr>
        <w:pStyle w:val="ListBullet"/>
      </w:pPr>
      <w:r>
        <w:t>Não deve ser transformado em variável contínua nem em milhares de dummies, pois isso favorece memorização sem capacidade de generalização.</w:t>
      </w:r>
    </w:p>
    <w:p>
      <w:r>
        <w:t>Na base original existem 25.141 ocorrências adicionais de códigos já vistos. Isso não significa necessariamente duplicidade integral: um pedido pode conter mais de uma linha de produto. Não há linhas completamente duplicadas.</w:t>
      </w:r>
    </w:p>
    <w:p>
      <w:pPr>
        <w:pStyle w:val="Heading1"/>
      </w:pPr>
      <w:r>
        <w:t>4. Identificação de outliers</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E8EEF5"/>
            <w:vAlign w:val="center"/>
          </w:tcPr>
          <w:p>
            <w:pPr>
              <w:spacing w:after="0"/>
            </w:pPr>
            <w:r>
              <w:rPr>
                <w:b/>
                <w:color w:val="17324D"/>
              </w:rPr>
              <w:t xml:space="preserve">RESULTADO </w:t>
            </w:r>
            <w:r>
              <w:rPr>
                <w:color w:val="1D2733"/>
              </w:rPr>
              <w:t>A regra do intervalo interquartil sinalizou 44.324 registros únicos, equivalentes a 17,7% das 250.059 linhas. O total é a união dos registros sinalizados em pelo menos uma variável, e não a soma das contagens por coluna.</w:t>
            </w:r>
          </w:p>
        </w:tc>
      </w:tr>
    </w:tbl>
    <w:p>
      <w:pPr>
        <w:spacing w:after="0"/>
      </w:pPr>
    </w:p>
    <w:p>
      <w:r>
        <w:t>Foi aplicada a regra 1,5 × IQR às cinco variáveis numéricas de negócio. Para cada coluna, calculou-se IQR = Q3 − Q1. Valores menores que Q1 − 1,5 × IQR ou maiores que Q3 + 1,5 × IQR foram classificados como outliers. O código do pedido foi excluído por ser identificador.</w:t>
      </w:r>
    </w:p>
    <w:tbl>
      <w:tblPr>
        <w:tblStyle w:val="TableGrid"/>
        <w:tblW w:type="dxa" w:w="9360"/>
        <w:jc w:val="left"/>
        <w:tblLayout w:type="fixed"/>
        <w:tblLook w:firstColumn="1" w:firstRow="1" w:lastColumn="0" w:lastRow="0" w:noHBand="0" w:noVBand="1" w:val="04A0"/>
        <w:tblInd w:w="120" w:type="dxa"/>
      </w:tblPr>
      <w:tblGrid>
        <w:gridCol w:w="2200"/>
        <w:gridCol w:w="1200"/>
        <w:gridCol w:w="1200"/>
        <w:gridCol w:w="1500"/>
        <w:gridCol w:w="1500"/>
        <w:gridCol w:w="1760"/>
      </w:tblGrid>
      <w:tr>
        <w:trPr>
          <w:tblHeader w:val="true"/>
        </w:trPr>
        <w:tc>
          <w:tcPr>
            <w:tcW w:type="dxa" w:w="2200"/>
            <w:shd w:fill="F2F4F7"/>
            <w:vAlign w:val="center"/>
            <w:tcMar>
              <w:top w:w="80" w:type="dxa"/>
              <w:start w:w="120" w:type="dxa"/>
              <w:bottom w:w="80" w:type="dxa"/>
              <w:end w:w="120" w:type="dxa"/>
            </w:tcMar>
          </w:tcPr>
          <w:p>
            <w:pPr>
              <w:spacing w:after="0"/>
              <w:jc w:val="left"/>
            </w:pPr>
            <w:r>
              <w:rPr>
                <w:b/>
                <w:color w:val="17324D"/>
                <w:sz w:val="19"/>
              </w:rPr>
              <w:t>Variável</w:t>
            </w:r>
          </w:p>
        </w:tc>
        <w:tc>
          <w:tcPr>
            <w:tcW w:type="dxa" w:w="1200"/>
            <w:shd w:fill="F2F4F7"/>
            <w:vAlign w:val="center"/>
            <w:tcMar>
              <w:top w:w="80" w:type="dxa"/>
              <w:start w:w="120" w:type="dxa"/>
              <w:bottom w:w="80" w:type="dxa"/>
              <w:end w:w="120" w:type="dxa"/>
            </w:tcMar>
          </w:tcPr>
          <w:p>
            <w:pPr>
              <w:spacing w:after="0"/>
              <w:jc w:val="left"/>
            </w:pPr>
            <w:r>
              <w:rPr>
                <w:b/>
                <w:color w:val="17324D"/>
                <w:sz w:val="19"/>
              </w:rPr>
              <w:t>Q1</w:t>
            </w:r>
          </w:p>
        </w:tc>
        <w:tc>
          <w:tcPr>
            <w:tcW w:type="dxa" w:w="1200"/>
            <w:shd w:fill="F2F4F7"/>
            <w:vAlign w:val="center"/>
            <w:tcMar>
              <w:top w:w="80" w:type="dxa"/>
              <w:start w:w="120" w:type="dxa"/>
              <w:bottom w:w="80" w:type="dxa"/>
              <w:end w:w="120" w:type="dxa"/>
            </w:tcMar>
          </w:tcPr>
          <w:p>
            <w:pPr>
              <w:spacing w:after="0"/>
              <w:jc w:val="left"/>
            </w:pPr>
            <w:r>
              <w:rPr>
                <w:b/>
                <w:color w:val="17324D"/>
                <w:sz w:val="19"/>
              </w:rPr>
              <w:t>Q3</w:t>
            </w:r>
          </w:p>
        </w:tc>
        <w:tc>
          <w:tcPr>
            <w:tcW w:type="dxa" w:w="1500"/>
            <w:shd w:fill="F2F4F7"/>
            <w:vAlign w:val="center"/>
            <w:tcMar>
              <w:top w:w="80" w:type="dxa"/>
              <w:start w:w="120" w:type="dxa"/>
              <w:bottom w:w="80" w:type="dxa"/>
              <w:end w:w="120" w:type="dxa"/>
            </w:tcMar>
          </w:tcPr>
          <w:p>
            <w:pPr>
              <w:spacing w:after="0"/>
              <w:jc w:val="left"/>
            </w:pPr>
            <w:r>
              <w:rPr>
                <w:b/>
                <w:color w:val="17324D"/>
                <w:sz w:val="19"/>
              </w:rPr>
              <w:t>Limite inf.</w:t>
            </w:r>
          </w:p>
        </w:tc>
        <w:tc>
          <w:tcPr>
            <w:tcW w:type="dxa" w:w="1500"/>
            <w:shd w:fill="F2F4F7"/>
            <w:vAlign w:val="center"/>
            <w:tcMar>
              <w:top w:w="80" w:type="dxa"/>
              <w:start w:w="120" w:type="dxa"/>
              <w:bottom w:w="80" w:type="dxa"/>
              <w:end w:w="120" w:type="dxa"/>
            </w:tcMar>
          </w:tcPr>
          <w:p>
            <w:pPr>
              <w:spacing w:after="0"/>
              <w:jc w:val="left"/>
            </w:pPr>
            <w:r>
              <w:rPr>
                <w:b/>
                <w:color w:val="17324D"/>
                <w:sz w:val="19"/>
              </w:rPr>
              <w:t>Limite sup.</w:t>
            </w:r>
          </w:p>
        </w:tc>
        <w:tc>
          <w:tcPr>
            <w:tcW w:type="dxa" w:w="1760"/>
            <w:shd w:fill="F2F4F7"/>
            <w:vAlign w:val="center"/>
            <w:tcMar>
              <w:top w:w="80" w:type="dxa"/>
              <w:start w:w="120" w:type="dxa"/>
              <w:bottom w:w="80" w:type="dxa"/>
              <w:end w:w="120" w:type="dxa"/>
            </w:tcMar>
          </w:tcPr>
          <w:p>
            <w:pPr>
              <w:spacing w:after="0"/>
              <w:jc w:val="left"/>
            </w:pPr>
            <w:r>
              <w:rPr>
                <w:b/>
                <w:color w:val="17324D"/>
                <w:sz w:val="19"/>
              </w:rPr>
              <w:t>Outliers</w:t>
            </w:r>
          </w:p>
        </w:tc>
      </w:tr>
      <w:tr>
        <w:tc>
          <w:tcPr>
            <w:tcW w:type="dxa" w:w="2200"/>
            <w:vAlign w:val="center"/>
            <w:tcMar>
              <w:top w:w="80" w:type="dxa"/>
              <w:start w:w="120" w:type="dxa"/>
              <w:bottom w:w="80" w:type="dxa"/>
              <w:end w:w="120" w:type="dxa"/>
            </w:tcMar>
          </w:tcPr>
          <w:p>
            <w:pPr>
              <w:spacing w:after="0"/>
            </w:pPr>
            <w:r>
              <w:rPr>
                <w:color w:val="1D2733"/>
                <w:sz w:val="18"/>
              </w:rPr>
              <w:t>Valor</w:t>
            </w:r>
          </w:p>
        </w:tc>
        <w:tc>
          <w:tcPr>
            <w:tcW w:type="dxa" w:w="1200"/>
            <w:vAlign w:val="center"/>
            <w:tcMar>
              <w:top w:w="80" w:type="dxa"/>
              <w:start w:w="120" w:type="dxa"/>
              <w:bottom w:w="80" w:type="dxa"/>
              <w:end w:w="120" w:type="dxa"/>
            </w:tcMar>
          </w:tcPr>
          <w:p>
            <w:pPr>
              <w:spacing w:after="0"/>
            </w:pPr>
            <w:r>
              <w:rPr>
                <w:color w:val="1D2733"/>
                <w:sz w:val="18"/>
              </w:rPr>
              <w:t>24,00</w:t>
            </w:r>
          </w:p>
        </w:tc>
        <w:tc>
          <w:tcPr>
            <w:tcW w:type="dxa" w:w="1200"/>
            <w:vAlign w:val="center"/>
            <w:tcMar>
              <w:top w:w="80" w:type="dxa"/>
              <w:start w:w="120" w:type="dxa"/>
              <w:bottom w:w="80" w:type="dxa"/>
              <w:end w:w="120" w:type="dxa"/>
            </w:tcMar>
          </w:tcPr>
          <w:p>
            <w:pPr>
              <w:spacing w:after="0"/>
            </w:pPr>
            <w:r>
              <w:rPr>
                <w:color w:val="1D2733"/>
                <w:sz w:val="18"/>
              </w:rPr>
              <w:t>74,00</w:t>
            </w:r>
          </w:p>
        </w:tc>
        <w:tc>
          <w:tcPr>
            <w:tcW w:type="dxa" w:w="1500"/>
            <w:vAlign w:val="center"/>
            <w:tcMar>
              <w:top w:w="80" w:type="dxa"/>
              <w:start w:w="120" w:type="dxa"/>
              <w:bottom w:w="80" w:type="dxa"/>
              <w:end w:w="120" w:type="dxa"/>
            </w:tcMar>
          </w:tcPr>
          <w:p>
            <w:pPr>
              <w:spacing w:after="0"/>
            </w:pPr>
            <w:r>
              <w:rPr>
                <w:color w:val="1D2733"/>
                <w:sz w:val="18"/>
              </w:rPr>
              <w:t>-51,00</w:t>
            </w:r>
          </w:p>
        </w:tc>
        <w:tc>
          <w:tcPr>
            <w:tcW w:type="dxa" w:w="1500"/>
            <w:vAlign w:val="center"/>
            <w:tcMar>
              <w:top w:w="80" w:type="dxa"/>
              <w:start w:w="120" w:type="dxa"/>
              <w:bottom w:w="80" w:type="dxa"/>
              <w:end w:w="120" w:type="dxa"/>
            </w:tcMar>
          </w:tcPr>
          <w:p>
            <w:pPr>
              <w:spacing w:after="0"/>
            </w:pPr>
            <w:r>
              <w:rPr>
                <w:color w:val="1D2733"/>
                <w:sz w:val="18"/>
              </w:rPr>
              <w:t>149,00</w:t>
            </w:r>
          </w:p>
        </w:tc>
        <w:tc>
          <w:tcPr>
            <w:tcW w:type="dxa" w:w="1760"/>
            <w:vAlign w:val="center"/>
            <w:tcMar>
              <w:top w:w="80" w:type="dxa"/>
              <w:start w:w="120" w:type="dxa"/>
              <w:bottom w:w="80" w:type="dxa"/>
              <w:end w:w="120" w:type="dxa"/>
            </w:tcMar>
          </w:tcPr>
          <w:p>
            <w:pPr>
              <w:spacing w:after="0"/>
            </w:pPr>
            <w:r>
              <w:rPr>
                <w:color w:val="1D2733"/>
                <w:sz w:val="18"/>
              </w:rPr>
              <w:t>31.081</w:t>
            </w:r>
          </w:p>
        </w:tc>
      </w:tr>
      <w:tr>
        <w:tc>
          <w:tcPr>
            <w:tcW w:type="dxa" w:w="2200"/>
            <w:vAlign w:val="center"/>
            <w:tcMar>
              <w:top w:w="80" w:type="dxa"/>
              <w:start w:w="120" w:type="dxa"/>
              <w:bottom w:w="80" w:type="dxa"/>
              <w:end w:w="120" w:type="dxa"/>
            </w:tcMar>
          </w:tcPr>
          <w:p>
            <w:pPr>
              <w:spacing w:after="0"/>
            </w:pPr>
            <w:r>
              <w:rPr>
                <w:color w:val="1D2733"/>
                <w:sz w:val="18"/>
              </w:rPr>
              <w:t>Quantidade</w:t>
            </w:r>
          </w:p>
        </w:tc>
        <w:tc>
          <w:tcPr>
            <w:tcW w:type="dxa" w:w="1200"/>
            <w:vAlign w:val="center"/>
            <w:tcMar>
              <w:top w:w="80" w:type="dxa"/>
              <w:start w:w="120" w:type="dxa"/>
              <w:bottom w:w="80" w:type="dxa"/>
              <w:end w:w="120" w:type="dxa"/>
            </w:tcMar>
          </w:tcPr>
          <w:p>
            <w:pPr>
              <w:spacing w:after="0"/>
            </w:pPr>
            <w:r>
              <w:rPr>
                <w:color w:val="1D2733"/>
                <w:sz w:val="18"/>
              </w:rPr>
              <w:t>1,00</w:t>
            </w:r>
          </w:p>
        </w:tc>
        <w:tc>
          <w:tcPr>
            <w:tcW w:type="dxa" w:w="1200"/>
            <w:vAlign w:val="center"/>
            <w:tcMar>
              <w:top w:w="80" w:type="dxa"/>
              <w:start w:w="120" w:type="dxa"/>
              <w:bottom w:w="80" w:type="dxa"/>
              <w:end w:w="120" w:type="dxa"/>
            </w:tcMar>
          </w:tcPr>
          <w:p>
            <w:pPr>
              <w:spacing w:after="0"/>
            </w:pPr>
            <w:r>
              <w:rPr>
                <w:color w:val="1D2733"/>
                <w:sz w:val="18"/>
              </w:rPr>
              <w:t>3,00</w:t>
            </w:r>
          </w:p>
        </w:tc>
        <w:tc>
          <w:tcPr>
            <w:tcW w:type="dxa" w:w="1500"/>
            <w:vAlign w:val="center"/>
            <w:tcMar>
              <w:top w:w="80" w:type="dxa"/>
              <w:start w:w="120" w:type="dxa"/>
              <w:bottom w:w="80" w:type="dxa"/>
              <w:end w:w="120" w:type="dxa"/>
            </w:tcMar>
          </w:tcPr>
          <w:p>
            <w:pPr>
              <w:spacing w:after="0"/>
            </w:pPr>
            <w:r>
              <w:rPr>
                <w:color w:val="1D2733"/>
                <w:sz w:val="18"/>
              </w:rPr>
              <w:t>-2,00</w:t>
            </w:r>
          </w:p>
        </w:tc>
        <w:tc>
          <w:tcPr>
            <w:tcW w:type="dxa" w:w="1500"/>
            <w:vAlign w:val="center"/>
            <w:tcMar>
              <w:top w:w="80" w:type="dxa"/>
              <w:start w:w="120" w:type="dxa"/>
              <w:bottom w:w="80" w:type="dxa"/>
              <w:end w:w="120" w:type="dxa"/>
            </w:tcMar>
          </w:tcPr>
          <w:p>
            <w:pPr>
              <w:spacing w:after="0"/>
            </w:pPr>
            <w:r>
              <w:rPr>
                <w:color w:val="1D2733"/>
                <w:sz w:val="18"/>
              </w:rPr>
              <w:t>6,00</w:t>
            </w:r>
          </w:p>
        </w:tc>
        <w:tc>
          <w:tcPr>
            <w:tcW w:type="dxa" w:w="1760"/>
            <w:vAlign w:val="center"/>
            <w:tcMar>
              <w:top w:w="80" w:type="dxa"/>
              <w:start w:w="120" w:type="dxa"/>
              <w:bottom w:w="80" w:type="dxa"/>
              <w:end w:w="120" w:type="dxa"/>
            </w:tcMar>
          </w:tcPr>
          <w:p>
            <w:pPr>
              <w:spacing w:after="0"/>
            </w:pPr>
            <w:r>
              <w:rPr>
                <w:color w:val="1D2733"/>
                <w:sz w:val="18"/>
              </w:rPr>
              <w:t>4.700</w:t>
            </w:r>
          </w:p>
        </w:tc>
      </w:tr>
      <w:tr>
        <w:tc>
          <w:tcPr>
            <w:tcW w:type="dxa" w:w="2200"/>
            <w:vAlign w:val="center"/>
            <w:tcMar>
              <w:top w:w="80" w:type="dxa"/>
              <w:start w:w="120" w:type="dxa"/>
              <w:bottom w:w="80" w:type="dxa"/>
              <w:end w:w="120" w:type="dxa"/>
            </w:tcMar>
          </w:tcPr>
          <w:p>
            <w:pPr>
              <w:spacing w:after="0"/>
            </w:pPr>
            <w:r>
              <w:rPr>
                <w:color w:val="1D2733"/>
                <w:sz w:val="18"/>
              </w:rPr>
              <w:t>Valor Total Bruto</w:t>
            </w:r>
          </w:p>
        </w:tc>
        <w:tc>
          <w:tcPr>
            <w:tcW w:type="dxa" w:w="1200"/>
            <w:vAlign w:val="center"/>
            <w:tcMar>
              <w:top w:w="80" w:type="dxa"/>
              <w:start w:w="120" w:type="dxa"/>
              <w:bottom w:w="80" w:type="dxa"/>
              <w:end w:w="120" w:type="dxa"/>
            </w:tcMar>
          </w:tcPr>
          <w:p>
            <w:pPr>
              <w:spacing w:after="0"/>
            </w:pPr>
            <w:r>
              <w:rPr>
                <w:color w:val="1D2733"/>
                <w:sz w:val="18"/>
              </w:rPr>
              <w:t>39,00</w:t>
            </w:r>
          </w:p>
        </w:tc>
        <w:tc>
          <w:tcPr>
            <w:tcW w:type="dxa" w:w="1200"/>
            <w:vAlign w:val="center"/>
            <w:tcMar>
              <w:top w:w="80" w:type="dxa"/>
              <w:start w:w="120" w:type="dxa"/>
              <w:bottom w:w="80" w:type="dxa"/>
              <w:end w:w="120" w:type="dxa"/>
            </w:tcMar>
          </w:tcPr>
          <w:p>
            <w:pPr>
              <w:spacing w:after="0"/>
            </w:pPr>
            <w:r>
              <w:rPr>
                <w:color w:val="1D2733"/>
                <w:sz w:val="18"/>
              </w:rPr>
              <w:t>148,00</w:t>
            </w:r>
          </w:p>
        </w:tc>
        <w:tc>
          <w:tcPr>
            <w:tcW w:type="dxa" w:w="1500"/>
            <w:vAlign w:val="center"/>
            <w:tcMar>
              <w:top w:w="80" w:type="dxa"/>
              <w:start w:w="120" w:type="dxa"/>
              <w:bottom w:w="80" w:type="dxa"/>
              <w:end w:w="120" w:type="dxa"/>
            </w:tcMar>
          </w:tcPr>
          <w:p>
            <w:pPr>
              <w:spacing w:after="0"/>
            </w:pPr>
            <w:r>
              <w:rPr>
                <w:color w:val="1D2733"/>
                <w:sz w:val="18"/>
              </w:rPr>
              <w:t>-124,50</w:t>
            </w:r>
          </w:p>
        </w:tc>
        <w:tc>
          <w:tcPr>
            <w:tcW w:type="dxa" w:w="1500"/>
            <w:vAlign w:val="center"/>
            <w:tcMar>
              <w:top w:w="80" w:type="dxa"/>
              <w:start w:w="120" w:type="dxa"/>
              <w:bottom w:w="80" w:type="dxa"/>
              <w:end w:w="120" w:type="dxa"/>
            </w:tcMar>
          </w:tcPr>
          <w:p>
            <w:pPr>
              <w:spacing w:after="0"/>
            </w:pPr>
            <w:r>
              <w:rPr>
                <w:color w:val="1D2733"/>
                <w:sz w:val="18"/>
              </w:rPr>
              <w:t>311,50</w:t>
            </w:r>
          </w:p>
        </w:tc>
        <w:tc>
          <w:tcPr>
            <w:tcW w:type="dxa" w:w="1760"/>
            <w:vAlign w:val="center"/>
            <w:tcMar>
              <w:top w:w="80" w:type="dxa"/>
              <w:start w:w="120" w:type="dxa"/>
              <w:bottom w:w="80" w:type="dxa"/>
              <w:end w:w="120" w:type="dxa"/>
            </w:tcMar>
          </w:tcPr>
          <w:p>
            <w:pPr>
              <w:spacing w:after="0"/>
            </w:pPr>
            <w:r>
              <w:rPr>
                <w:color w:val="1D2733"/>
                <w:sz w:val="18"/>
              </w:rPr>
              <w:t>36.496</w:t>
            </w:r>
          </w:p>
        </w:tc>
      </w:tr>
      <w:tr>
        <w:tc>
          <w:tcPr>
            <w:tcW w:type="dxa" w:w="2200"/>
            <w:vAlign w:val="center"/>
            <w:tcMar>
              <w:top w:w="80" w:type="dxa"/>
              <w:start w:w="120" w:type="dxa"/>
              <w:bottom w:w="80" w:type="dxa"/>
              <w:end w:w="120" w:type="dxa"/>
            </w:tcMar>
          </w:tcPr>
          <w:p>
            <w:pPr>
              <w:spacing w:after="0"/>
            </w:pPr>
            <w:r>
              <w:rPr>
                <w:color w:val="1D2733"/>
                <w:sz w:val="18"/>
              </w:rPr>
              <w:t>Valor Comissão</w:t>
            </w:r>
          </w:p>
        </w:tc>
        <w:tc>
          <w:tcPr>
            <w:tcW w:type="dxa" w:w="1200"/>
            <w:vAlign w:val="center"/>
            <w:tcMar>
              <w:top w:w="80" w:type="dxa"/>
              <w:start w:w="120" w:type="dxa"/>
              <w:bottom w:w="80" w:type="dxa"/>
              <w:end w:w="120" w:type="dxa"/>
            </w:tcMar>
          </w:tcPr>
          <w:p>
            <w:pPr>
              <w:spacing w:after="0"/>
            </w:pPr>
            <w:r>
              <w:rPr>
                <w:color w:val="1D2733"/>
                <w:sz w:val="18"/>
              </w:rPr>
              <w:t>0,78</w:t>
            </w:r>
          </w:p>
        </w:tc>
        <w:tc>
          <w:tcPr>
            <w:tcW w:type="dxa" w:w="1200"/>
            <w:vAlign w:val="center"/>
            <w:tcMar>
              <w:top w:w="80" w:type="dxa"/>
              <w:start w:w="120" w:type="dxa"/>
              <w:bottom w:w="80" w:type="dxa"/>
              <w:end w:w="120" w:type="dxa"/>
            </w:tcMar>
          </w:tcPr>
          <w:p>
            <w:pPr>
              <w:spacing w:after="0"/>
            </w:pPr>
            <w:r>
              <w:rPr>
                <w:color w:val="1D2733"/>
                <w:sz w:val="18"/>
              </w:rPr>
              <w:t>4,36</w:t>
            </w:r>
          </w:p>
        </w:tc>
        <w:tc>
          <w:tcPr>
            <w:tcW w:type="dxa" w:w="1500"/>
            <w:vAlign w:val="center"/>
            <w:tcMar>
              <w:top w:w="80" w:type="dxa"/>
              <w:start w:w="120" w:type="dxa"/>
              <w:bottom w:w="80" w:type="dxa"/>
              <w:end w:w="120" w:type="dxa"/>
            </w:tcMar>
          </w:tcPr>
          <w:p>
            <w:pPr>
              <w:spacing w:after="0"/>
            </w:pPr>
            <w:r>
              <w:rPr>
                <w:color w:val="1D2733"/>
                <w:sz w:val="18"/>
              </w:rPr>
              <w:t>-4,59</w:t>
            </w:r>
          </w:p>
        </w:tc>
        <w:tc>
          <w:tcPr>
            <w:tcW w:type="dxa" w:w="1500"/>
            <w:vAlign w:val="center"/>
            <w:tcMar>
              <w:top w:w="80" w:type="dxa"/>
              <w:start w:w="120" w:type="dxa"/>
              <w:bottom w:w="80" w:type="dxa"/>
              <w:end w:w="120" w:type="dxa"/>
            </w:tcMar>
          </w:tcPr>
          <w:p>
            <w:pPr>
              <w:spacing w:after="0"/>
            </w:pPr>
            <w:r>
              <w:rPr>
                <w:color w:val="1D2733"/>
                <w:sz w:val="18"/>
              </w:rPr>
              <w:t>9,73</w:t>
            </w:r>
          </w:p>
        </w:tc>
        <w:tc>
          <w:tcPr>
            <w:tcW w:type="dxa" w:w="1760"/>
            <w:vAlign w:val="center"/>
            <w:tcMar>
              <w:top w:w="80" w:type="dxa"/>
              <w:start w:w="120" w:type="dxa"/>
              <w:bottom w:w="80" w:type="dxa"/>
              <w:end w:w="120" w:type="dxa"/>
            </w:tcMar>
          </w:tcPr>
          <w:p>
            <w:pPr>
              <w:spacing w:after="0"/>
            </w:pPr>
            <w:r>
              <w:rPr>
                <w:color w:val="1D2733"/>
                <w:sz w:val="18"/>
              </w:rPr>
              <w:t>33.810</w:t>
            </w:r>
          </w:p>
        </w:tc>
      </w:tr>
      <w:tr>
        <w:tc>
          <w:tcPr>
            <w:tcW w:type="dxa" w:w="2200"/>
            <w:vAlign w:val="center"/>
            <w:tcMar>
              <w:top w:w="80" w:type="dxa"/>
              <w:start w:w="120" w:type="dxa"/>
              <w:bottom w:w="80" w:type="dxa"/>
              <w:end w:w="120" w:type="dxa"/>
            </w:tcMar>
          </w:tcPr>
          <w:p>
            <w:pPr>
              <w:spacing w:after="0"/>
            </w:pPr>
            <w:r>
              <w:rPr>
                <w:color w:val="1D2733"/>
                <w:sz w:val="18"/>
              </w:rPr>
              <w:t>Lucro Líquido</w:t>
            </w:r>
          </w:p>
        </w:tc>
        <w:tc>
          <w:tcPr>
            <w:tcW w:type="dxa" w:w="1200"/>
            <w:vAlign w:val="center"/>
            <w:tcMar>
              <w:top w:w="80" w:type="dxa"/>
              <w:start w:w="120" w:type="dxa"/>
              <w:bottom w:w="80" w:type="dxa"/>
              <w:end w:w="120" w:type="dxa"/>
            </w:tcMar>
          </w:tcPr>
          <w:p>
            <w:pPr>
              <w:spacing w:after="0"/>
            </w:pPr>
            <w:r>
              <w:rPr>
                <w:color w:val="1D2733"/>
                <w:sz w:val="18"/>
              </w:rPr>
              <w:t>18,00</w:t>
            </w:r>
          </w:p>
        </w:tc>
        <w:tc>
          <w:tcPr>
            <w:tcW w:type="dxa" w:w="1200"/>
            <w:vAlign w:val="center"/>
            <w:tcMar>
              <w:top w:w="80" w:type="dxa"/>
              <w:start w:w="120" w:type="dxa"/>
              <w:bottom w:w="80" w:type="dxa"/>
              <w:end w:w="120" w:type="dxa"/>
            </w:tcMar>
          </w:tcPr>
          <w:p>
            <w:pPr>
              <w:spacing w:after="0"/>
            </w:pPr>
            <w:r>
              <w:rPr>
                <w:color w:val="1D2733"/>
                <w:sz w:val="18"/>
              </w:rPr>
              <w:t>77,38</w:t>
            </w:r>
          </w:p>
        </w:tc>
        <w:tc>
          <w:tcPr>
            <w:tcW w:type="dxa" w:w="1500"/>
            <w:vAlign w:val="center"/>
            <w:tcMar>
              <w:top w:w="80" w:type="dxa"/>
              <w:start w:w="120" w:type="dxa"/>
              <w:bottom w:w="80" w:type="dxa"/>
              <w:end w:w="120" w:type="dxa"/>
            </w:tcMar>
          </w:tcPr>
          <w:p>
            <w:pPr>
              <w:spacing w:after="0"/>
            </w:pPr>
            <w:r>
              <w:rPr>
                <w:color w:val="1D2733"/>
                <w:sz w:val="18"/>
              </w:rPr>
              <w:t>-71,07</w:t>
            </w:r>
          </w:p>
        </w:tc>
        <w:tc>
          <w:tcPr>
            <w:tcW w:type="dxa" w:w="1500"/>
            <w:vAlign w:val="center"/>
            <w:tcMar>
              <w:top w:w="80" w:type="dxa"/>
              <w:start w:w="120" w:type="dxa"/>
              <w:bottom w:w="80" w:type="dxa"/>
              <w:end w:w="120" w:type="dxa"/>
            </w:tcMar>
          </w:tcPr>
          <w:p>
            <w:pPr>
              <w:spacing w:after="0"/>
            </w:pPr>
            <w:r>
              <w:rPr>
                <w:color w:val="1D2733"/>
                <w:sz w:val="18"/>
              </w:rPr>
              <w:t>166,45</w:t>
            </w:r>
          </w:p>
        </w:tc>
        <w:tc>
          <w:tcPr>
            <w:tcW w:type="dxa" w:w="1760"/>
            <w:vAlign w:val="center"/>
            <w:tcMar>
              <w:top w:w="80" w:type="dxa"/>
              <w:start w:w="120" w:type="dxa"/>
              <w:bottom w:w="80" w:type="dxa"/>
              <w:end w:w="120" w:type="dxa"/>
            </w:tcMar>
          </w:tcPr>
          <w:p>
            <w:pPr>
              <w:spacing w:after="0"/>
            </w:pPr>
            <w:r>
              <w:rPr>
                <w:color w:val="1D2733"/>
                <w:sz w:val="18"/>
              </w:rPr>
              <w:t>33.342</w:t>
            </w:r>
          </w:p>
        </w:tc>
      </w:tr>
    </w:tbl>
    <w:p>
      <w:pPr>
        <w:spacing w:after="0"/>
      </w:pPr>
    </w:p>
    <w:p>
      <w:pPr>
        <w:keepNext/>
        <w:jc w:val="center"/>
      </w:pPr>
      <w:r>
        <w:drawing>
          <wp:inline xmlns:a="http://schemas.openxmlformats.org/drawingml/2006/main" xmlns:pic="http://schemas.openxmlformats.org/drawingml/2006/picture">
            <wp:extent cx="5943600" cy="2578600"/>
            <wp:docPr id="1" name="Picture 1"/>
            <wp:cNvGraphicFramePr>
              <a:graphicFrameLocks noChangeAspect="1"/>
            </wp:cNvGraphicFramePr>
            <a:graphic>
              <a:graphicData uri="http://schemas.openxmlformats.org/drawingml/2006/picture">
                <pic:pic>
                  <pic:nvPicPr>
                    <pic:cNvPr id="0" name="outliers_iqr.png"/>
                    <pic:cNvPicPr/>
                  </pic:nvPicPr>
                  <pic:blipFill>
                    <a:blip r:embed="rId11"/>
                    <a:stretch>
                      <a:fillRect/>
                    </a:stretch>
                  </pic:blipFill>
                  <pic:spPr>
                    <a:xfrm>
                      <a:off x="0" y="0"/>
                      <a:ext cx="5943600" cy="2578600"/>
                    </a:xfrm>
                    <a:prstGeom prst="rect"/>
                  </pic:spPr>
                </pic:pic>
              </a:graphicData>
            </a:graphic>
          </wp:inline>
        </w:drawing>
      </w:r>
    </w:p>
    <w:p>
      <w:pPr>
        <w:keepNext w:val="0"/>
        <w:spacing w:before="40" w:after="160"/>
        <w:jc w:val="center"/>
      </w:pPr>
      <w:r>
        <w:rPr>
          <w:i/>
          <w:color w:val="64748B"/>
          <w:sz w:val="18"/>
        </w:rPr>
        <w:t>Figura 1 — Quantidade de outliers e distribuição das variáveis numéricas. Fonte: elaboração própria.</w:t>
      </w:r>
    </w:p>
    <w:p>
      <w:r>
        <w:t>As distribuições são assimétricas e misturam produtos de faixas de preço muito diferentes. Portanto, a regra IQR é adequada para triagem acadêmica, mas não prova que todo registro sinalizado seja erro. Um produto caro ou um pedido em grande quantidade pode ser comercialmente legítimo.</w:t>
      </w:r>
    </w:p>
    <w:p>
      <w:pPr>
        <w:pStyle w:val="Heading1"/>
      </w:pPr>
      <w:r>
        <w:t>5. Estratégia de tratamento dos outliers</w:t>
      </w:r>
    </w:p>
    <w:p>
      <w:r>
        <w:t>A melhor estratégia é combinar validação de negócio, correção de problemas confirmados e técnicas robustas de modelagem. A exclusão automática dos 44.324 registros seria inadequada, pois removeria vendas potencialmente válidas e alteraria artificialmente o mix de produtos.</w:t>
      </w:r>
    </w:p>
    <w:p>
      <w:pPr>
        <w:pStyle w:val="Heading2"/>
      </w:pPr>
      <w:r>
        <w:t>Separar erro de valor extremo legítimo</w:t>
      </w:r>
    </w:p>
    <w:p>
      <w:r>
        <w:t>Conferir valores negativos, zeros, textos em colunas numéricas e inconsistência entre valor unitário, quantidade e total bruto.</w:t>
      </w:r>
    </w:p>
    <w:p>
      <w:pPr>
        <w:pStyle w:val="Heading2"/>
      </w:pPr>
      <w:r>
        <w:t>Corrigir quando houver regra confiável</w:t>
      </w:r>
    </w:p>
    <w:p>
      <w:r>
        <w:t>Se o total bruto estiver incorreto e valor × quantidade for confiável, recalcular por código; se a origem não puder ser confirmada, marcar como ausente e excluir somente da análise dependente daquele campo.</w:t>
      </w:r>
    </w:p>
    <w:p>
      <w:pPr>
        <w:pStyle w:val="Heading2"/>
      </w:pPr>
      <w:r>
        <w:t>Preservar extremos válidos</w:t>
      </w:r>
    </w:p>
    <w:p>
      <w:r>
        <w:t>Pedidos grandes e produtos premium devem permanecer, preferencialmente com segmentação por categoria ou produto.</w:t>
      </w:r>
    </w:p>
    <w:p>
      <w:pPr>
        <w:pStyle w:val="Heading2"/>
      </w:pPr>
      <w:r>
        <w:t>Reduzir influência no modelo</w:t>
      </w:r>
    </w:p>
    <w:p>
      <w:r>
        <w:t>Avaliar transformação logarítmica, escalonamento robusto, winsorização com limites documentados ou modelos menos sensíveis a extremos.</w:t>
      </w:r>
    </w:p>
    <w:p>
      <w:pPr>
        <w:pStyle w:val="Heading2"/>
      </w:pPr>
      <w:r>
        <w:t>Validar o impacto</w:t>
      </w:r>
    </w:p>
    <w:p>
      <w:r>
        <w:t>Comparar desempenho e coeficientes com e sem tratamento usando somente a base de validação; registrar todas as decisões no pipeline.</w:t>
      </w:r>
    </w:p>
    <w:tbl>
      <w:tblPr>
        <w:tblW w:type="dxa" w:w="9360"/>
        <w:jc w:val="left"/>
        <w:tblLayout w:type="fixed"/>
        <w:tblLook w:firstColumn="1" w:firstRow="1" w:lastColumn="0" w:lastRow="0" w:noHBand="0" w:noVBand="1" w:val="04A0"/>
        <w:tblInd w:w="120" w:type="dxa"/>
      </w:tblPr>
      <w:tblGrid>
        <w:gridCol w:w="9360"/>
      </w:tblGrid>
      <w:tr>
        <w:trPr>
          <w:cantSplit/>
        </w:trPr>
        <w:tc>
          <w:tcPr>
            <w:tcW w:type="dxa" w:w="9360"/>
            <w:tcMar>
              <w:top w:w="80" w:type="dxa"/>
              <w:start w:w="120" w:type="dxa"/>
              <w:bottom w:w="80" w:type="dxa"/>
              <w:end w:w="120" w:type="dxa"/>
            </w:tcMar>
            <w:shd w:fill="FBF5E8"/>
            <w:vAlign w:val="center"/>
          </w:tcPr>
          <w:p>
            <w:pPr>
              <w:spacing w:after="0"/>
            </w:pPr>
            <w:r>
              <w:rPr>
                <w:b/>
                <w:color w:val="17324D"/>
              </w:rPr>
              <w:t xml:space="preserve">APLICAÇÃO NESTE TRABALHO </w:t>
            </w:r>
            <w:r>
              <w:rPr>
                <w:color w:val="1D2733"/>
              </w:rPr>
              <w:t>Para o dashboard foram excluídas apenas 972 linhas com problema confirmado de conversão, valor não positivo, data inválida ou incoerência aritmética fora da tolerância de arredondamento. Os outliers positivos sinalizados pelo IQR foram mantidos para não apagar vendas reais sem validação adicional.</w:t>
            </w:r>
          </w:p>
        </w:tc>
      </w:tr>
    </w:tbl>
    <w:p>
      <w:pPr>
        <w:spacing w:after="0"/>
      </w:pPr>
    </w:p>
    <w:p>
      <w:pPr>
        <w:pStyle w:val="Heading1"/>
      </w:pPr>
      <w:r>
        <w:t>Conclusão</w:t>
      </w:r>
    </w:p>
    <w:p>
      <w:r>
        <w:t>A base possui volume suficiente para modelagem, mas exige um pipeline explícito de limpeza e uma divisão temporal que respeite o código do pedido. O código funciona como chave de controle, não como explicador. A análise IQR identificou um conjunto amplo de valores extremos; a decisão correta é investigar sua origem e aplicar tratamento proporcional ao objetivo do modelo, evitando tanto a remoção indiscriminada quanto a aceitação automática de erros.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8"/>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748B"/>
        <w:sz w:val="17"/>
      </w:rPr>
      <w:t>PBL • Melhores Compras | Desafio 2 — Ciência de Dados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7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