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56"/>
          <w:szCs w:val="56"/>
        </w:rPr>
      </w:pPr>
      <w:r w:rsidDel="00000000" w:rsidR="00000000" w:rsidRPr="00000000">
        <w:rPr>
          <w:rFonts w:ascii="Times New Roman" w:cs="Times New Roman" w:eastAsia="Times New Roman" w:hAnsi="Times New Roman"/>
          <w:b w:val="1"/>
          <w:bCs w:val="1"/>
          <w:sz w:val="56"/>
          <w:szCs w:val="56"/>
          <w:rtl w:val="0"/>
        </w:rPr>
        <w:t xml:space="preserve">43008: Reinforcement Learning</w:t>
      </w:r>
    </w:p>
    <w:p w:rsidR="00000000" w:rsidDel="00000000" w:rsidP="00000000" w:rsidRDefault="00000000" w:rsidRPr="00000000" w14:paraId="00000002">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Assignment 3, Part E Project Report</w:t>
      </w:r>
    </w:p>
    <w:p w:rsidR="00000000" w:rsidDel="00000000" w:rsidP="00000000" w:rsidRDefault="00000000" w:rsidRPr="00000000" w14:paraId="00000003">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Project Title: Train Schedule Optimisation under Disruptions</w:t>
      </w:r>
    </w:p>
    <w:p w:rsidR="00000000" w:rsidDel="00000000" w:rsidP="00000000" w:rsidRDefault="00000000" w:rsidRPr="00000000" w14:paraId="00000009">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Team Name and Project Number: </w:t>
      </w:r>
      <w:r w:rsidDel="00000000" w:rsidR="00000000" w:rsidRPr="00000000">
        <w:rPr>
          <w:rFonts w:ascii="Times New Roman" w:cs="Times New Roman" w:eastAsia="Times New Roman" w:hAnsi="Times New Roman"/>
          <w:sz w:val="36"/>
          <w:szCs w:val="36"/>
          <w:rtl w:val="0"/>
        </w:rPr>
        <w:t xml:space="preserve">RailTech (Project #27)</w:t>
      </w:r>
    </w:p>
    <w:p w:rsidR="00000000" w:rsidDel="00000000" w:rsidP="00000000" w:rsidRDefault="00000000" w:rsidRPr="00000000" w14:paraId="0000000F">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Team Members: </w:t>
      </w:r>
      <w:r w:rsidDel="00000000" w:rsidR="00000000" w:rsidRPr="00000000">
        <w:rPr>
          <w:rFonts w:ascii="Times New Roman" w:cs="Times New Roman" w:eastAsia="Times New Roman" w:hAnsi="Times New Roman"/>
          <w:sz w:val="36"/>
          <w:szCs w:val="36"/>
          <w:rtl w:val="0"/>
        </w:rPr>
        <w:t xml:space="preserve">Daniel James Martirosov (24948933), Ziheng Deng (25595315), Laurean Lim (25049863) </w:t>
      </w:r>
    </w:p>
    <w:p w:rsidR="00000000" w:rsidDel="00000000" w:rsidP="00000000" w:rsidRDefault="00000000" w:rsidRPr="00000000" w14:paraId="00000010">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Date: </w:t>
      </w:r>
      <w:r w:rsidDel="00000000" w:rsidR="00000000" w:rsidRPr="00000000">
        <w:rPr>
          <w:rFonts w:ascii="Times New Roman" w:cs="Times New Roman" w:eastAsia="Times New Roman" w:hAnsi="Times New Roman"/>
          <w:sz w:val="36"/>
          <w:szCs w:val="36"/>
          <w:rtl w:val="0"/>
        </w:rPr>
        <w:t xml:space="preserve">26 October 2026</w:t>
      </w: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7">
      <w:pPr>
        <w:pageBreakBefore/>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Table of Contents</w:t>
      </w:r>
    </w:p>
    <w:p>
      <w:pPr>
        <w:tabs>
          <w:tab w:pos="8901" w:val="right" w:leader="dot"/>
        </w:tabs>
        <w:spacing w:after="40"/>
      </w:pPr>
      <w:r>
        <w:rPr>
          <w:rFonts w:ascii="Times New Roman" w:hAnsi="Times New Roman" w:eastAsia="Times New Roman" w:cs="Times New Roman"/>
        </w:rPr>
        <w:t>Abstract</w:t>
      </w:r>
      <w:r>
        <w:rPr>
          <w:rFonts w:ascii="Times New Roman" w:hAnsi="Times New Roman" w:eastAsia="Times New Roman" w:cs="Times New Roman"/>
        </w:rPr>
        <w:tab/>
      </w:r>
      <w:r>
        <w:rPr>
          <w:rFonts w:ascii="Times New Roman" w:hAnsi="Times New Roman" w:eastAsia="Times New Roman" w:cs="Times New Roman"/>
        </w:rPr>
        <w:t>3</w:t>
      </w:r>
    </w:p>
    <w:p>
      <w:pPr>
        <w:tabs>
          <w:tab w:pos="8901" w:val="right" w:leader="dot"/>
        </w:tabs>
        <w:spacing w:after="40"/>
      </w:pPr>
      <w:r>
        <w:rPr>
          <w:rFonts w:ascii="Times New Roman" w:hAnsi="Times New Roman" w:eastAsia="Times New Roman" w:cs="Times New Roman"/>
        </w:rPr>
        <w:t>1. Introduction and Background</w:t>
      </w:r>
      <w:r>
        <w:rPr>
          <w:rFonts w:ascii="Times New Roman" w:hAnsi="Times New Roman" w:eastAsia="Times New Roman" w:cs="Times New Roman"/>
        </w:rPr>
        <w:tab/>
      </w:r>
      <w:r>
        <w:rPr>
          <w:rFonts w:ascii="Times New Roman" w:hAnsi="Times New Roman" w:eastAsia="Times New Roman" w:cs="Times New Roman"/>
        </w:rPr>
        <w:t>4</w:t>
      </w:r>
    </w:p>
    <w:p>
      <w:pPr>
        <w:tabs>
          <w:tab w:pos="8901" w:val="right" w:leader="dot"/>
        </w:tabs>
        <w:spacing w:after="40"/>
      </w:pPr>
      <w:r>
        <w:rPr>
          <w:rFonts w:ascii="Times New Roman" w:hAnsi="Times New Roman" w:eastAsia="Times New Roman" w:cs="Times New Roman"/>
        </w:rPr>
        <w:t>1.1 The problem you tried to solve</w:t>
      </w:r>
      <w:r>
        <w:rPr>
          <w:rFonts w:ascii="Times New Roman" w:hAnsi="Times New Roman" w:eastAsia="Times New Roman" w:cs="Times New Roman"/>
        </w:rPr>
        <w:tab/>
      </w:r>
      <w:r>
        <w:rPr>
          <w:rFonts w:ascii="Times New Roman" w:hAnsi="Times New Roman" w:eastAsia="Times New Roman" w:cs="Times New Roman"/>
        </w:rPr>
        <w:t>4</w:t>
      </w:r>
    </w:p>
    <w:p>
      <w:pPr>
        <w:tabs>
          <w:tab w:pos="8901" w:val="right" w:leader="dot"/>
        </w:tabs>
        <w:spacing w:after="40"/>
      </w:pPr>
      <w:r>
        <w:rPr>
          <w:rFonts w:ascii="Times New Roman" w:hAnsi="Times New Roman" w:eastAsia="Times New Roman" w:cs="Times New Roman"/>
        </w:rPr>
        <w:t>1.2 Motivation</w:t>
      </w:r>
      <w:r>
        <w:rPr>
          <w:rFonts w:ascii="Times New Roman" w:hAnsi="Times New Roman" w:eastAsia="Times New Roman" w:cs="Times New Roman"/>
        </w:rPr>
        <w:tab/>
      </w:r>
      <w:r>
        <w:rPr>
          <w:rFonts w:ascii="Times New Roman" w:hAnsi="Times New Roman" w:eastAsia="Times New Roman" w:cs="Times New Roman"/>
        </w:rPr>
        <w:t>4</w:t>
      </w:r>
    </w:p>
    <w:p>
      <w:pPr>
        <w:tabs>
          <w:tab w:pos="8901" w:val="right" w:leader="dot"/>
        </w:tabs>
        <w:spacing w:after="40"/>
      </w:pPr>
      <w:r>
        <w:rPr>
          <w:rFonts w:ascii="Times New Roman" w:hAnsi="Times New Roman" w:eastAsia="Times New Roman" w:cs="Times New Roman"/>
        </w:rPr>
        <w:t>1.3 Application</w:t>
      </w:r>
      <w:r>
        <w:rPr>
          <w:rFonts w:ascii="Times New Roman" w:hAnsi="Times New Roman" w:eastAsia="Times New Roman" w:cs="Times New Roman"/>
        </w:rPr>
        <w:tab/>
      </w:r>
      <w:r>
        <w:rPr>
          <w:rFonts w:ascii="Times New Roman" w:hAnsi="Times New Roman" w:eastAsia="Times New Roman" w:cs="Times New Roman"/>
        </w:rPr>
        <w:t>5</w:t>
      </w:r>
    </w:p>
    <w:p>
      <w:pPr>
        <w:tabs>
          <w:tab w:pos="8901" w:val="right" w:leader="dot"/>
        </w:tabs>
        <w:spacing w:after="40"/>
      </w:pPr>
      <w:r>
        <w:rPr>
          <w:rFonts w:ascii="Times New Roman" w:hAnsi="Times New Roman" w:eastAsia="Times New Roman" w:cs="Times New Roman"/>
        </w:rPr>
        <w:t>1.4 Dataset/Environment</w:t>
      </w:r>
      <w:r>
        <w:rPr>
          <w:rFonts w:ascii="Times New Roman" w:hAnsi="Times New Roman" w:eastAsia="Times New Roman" w:cs="Times New Roman"/>
        </w:rPr>
        <w:tab/>
      </w:r>
      <w:r>
        <w:rPr>
          <w:rFonts w:ascii="Times New Roman" w:hAnsi="Times New Roman" w:eastAsia="Times New Roman" w:cs="Times New Roman"/>
        </w:rPr>
        <w:t>5</w:t>
      </w:r>
    </w:p>
    <w:p>
      <w:pPr>
        <w:tabs>
          <w:tab w:pos="8901" w:val="right" w:leader="dot"/>
        </w:tabs>
        <w:spacing w:after="40"/>
      </w:pPr>
      <w:r>
        <w:rPr>
          <w:rFonts w:ascii="Times New Roman" w:hAnsi="Times New Roman" w:eastAsia="Times New Roman" w:cs="Times New Roman"/>
        </w:rPr>
        <w:t>2. Overview of the architecture/system</w:t>
      </w:r>
      <w:r>
        <w:rPr>
          <w:rFonts w:ascii="Times New Roman" w:hAnsi="Times New Roman" w:eastAsia="Times New Roman" w:cs="Times New Roman"/>
        </w:rPr>
        <w:tab/>
      </w:r>
      <w:r>
        <w:rPr>
          <w:rFonts w:ascii="Times New Roman" w:hAnsi="Times New Roman" w:eastAsia="Times New Roman" w:cs="Times New Roman"/>
        </w:rPr>
        <w:t>7</w:t>
      </w:r>
    </w:p>
    <w:p>
      <w:pPr>
        <w:tabs>
          <w:tab w:pos="8901" w:val="right" w:leader="dot"/>
        </w:tabs>
        <w:spacing w:after="40"/>
      </w:pPr>
      <w:r>
        <w:rPr>
          <w:rFonts w:ascii="Times New Roman" w:hAnsi="Times New Roman" w:eastAsia="Times New Roman" w:cs="Times New Roman"/>
        </w:rPr>
        <w:t>2.1 Flow Diagram and Workflow</w:t>
      </w:r>
      <w:r>
        <w:rPr>
          <w:rFonts w:ascii="Times New Roman" w:hAnsi="Times New Roman" w:eastAsia="Times New Roman" w:cs="Times New Roman"/>
        </w:rPr>
        <w:tab/>
      </w:r>
      <w:r>
        <w:rPr>
          <w:rFonts w:ascii="Times New Roman" w:hAnsi="Times New Roman" w:eastAsia="Times New Roman" w:cs="Times New Roman"/>
        </w:rPr>
        <w:t>7</w:t>
      </w:r>
    </w:p>
    <w:p>
      <w:pPr>
        <w:tabs>
          <w:tab w:pos="8901" w:val="right" w:leader="dot"/>
        </w:tabs>
        <w:spacing w:after="40"/>
      </w:pPr>
      <w:r>
        <w:rPr>
          <w:rFonts w:ascii="Times New Roman" w:hAnsi="Times New Roman" w:eastAsia="Times New Roman" w:cs="Times New Roman"/>
        </w:rPr>
        <w:t>2.2 System Architecture Design</w:t>
      </w:r>
      <w:r>
        <w:rPr>
          <w:rFonts w:ascii="Times New Roman" w:hAnsi="Times New Roman" w:eastAsia="Times New Roman" w:cs="Times New Roman"/>
        </w:rPr>
        <w:tab/>
      </w:r>
      <w:r>
        <w:rPr>
          <w:rFonts w:ascii="Times New Roman" w:hAnsi="Times New Roman" w:eastAsia="Times New Roman" w:cs="Times New Roman"/>
        </w:rPr>
        <w:t>8</w:t>
      </w:r>
    </w:p>
    <w:p>
      <w:pPr>
        <w:tabs>
          <w:tab w:pos="8901" w:val="right" w:leader="dot"/>
        </w:tabs>
        <w:spacing w:after="40"/>
      </w:pPr>
      <w:r>
        <w:rPr>
          <w:rFonts w:ascii="Times New Roman" w:hAnsi="Times New Roman" w:eastAsia="Times New Roman" w:cs="Times New Roman"/>
        </w:rPr>
        <w:t>2.3 GUI/Environment Design</w:t>
      </w:r>
      <w:r>
        <w:rPr>
          <w:rFonts w:ascii="Times New Roman" w:hAnsi="Times New Roman" w:eastAsia="Times New Roman" w:cs="Times New Roman"/>
        </w:rPr>
        <w:tab/>
      </w:r>
      <w:r>
        <w:rPr>
          <w:rFonts w:ascii="Times New Roman" w:hAnsi="Times New Roman" w:eastAsia="Times New Roman" w:cs="Times New Roman"/>
        </w:rPr>
        <w:t>8</w:t>
      </w:r>
    </w:p>
    <w:p>
      <w:pPr>
        <w:tabs>
          <w:tab w:pos="8901" w:val="right" w:leader="dot"/>
        </w:tabs>
        <w:spacing w:after="40"/>
      </w:pPr>
      <w:r>
        <w:rPr>
          <w:rFonts w:ascii="Times New Roman" w:hAnsi="Times New Roman" w:eastAsia="Times New Roman" w:cs="Times New Roman"/>
        </w:rPr>
        <w:t>3. Results and Evaluation</w:t>
      </w:r>
      <w:r>
        <w:rPr>
          <w:rFonts w:ascii="Times New Roman" w:hAnsi="Times New Roman" w:eastAsia="Times New Roman" w:cs="Times New Roman"/>
        </w:rPr>
        <w:tab/>
      </w:r>
      <w:r>
        <w:rPr>
          <w:rFonts w:ascii="Times New Roman" w:hAnsi="Times New Roman" w:eastAsia="Times New Roman" w:cs="Times New Roman"/>
        </w:rPr>
        <w:t>10</w:t>
      </w:r>
    </w:p>
    <w:p>
      <w:pPr>
        <w:tabs>
          <w:tab w:pos="8901" w:val="right" w:leader="dot"/>
        </w:tabs>
        <w:spacing w:after="40"/>
      </w:pPr>
      <w:r>
        <w:rPr>
          <w:rFonts w:ascii="Times New Roman" w:hAnsi="Times New Roman" w:eastAsia="Times New Roman" w:cs="Times New Roman"/>
        </w:rPr>
        <w:t>3.1 Experimental Settings</w:t>
      </w:r>
      <w:r>
        <w:rPr>
          <w:rFonts w:ascii="Times New Roman" w:hAnsi="Times New Roman" w:eastAsia="Times New Roman" w:cs="Times New Roman"/>
        </w:rPr>
        <w:tab/>
      </w:r>
      <w:r>
        <w:rPr>
          <w:rFonts w:ascii="Times New Roman" w:hAnsi="Times New Roman" w:eastAsia="Times New Roman" w:cs="Times New Roman"/>
        </w:rPr>
        <w:t>10</w:t>
      </w:r>
    </w:p>
    <w:p>
      <w:pPr>
        <w:tabs>
          <w:tab w:pos="8901" w:val="right" w:leader="dot"/>
        </w:tabs>
        <w:spacing w:after="40"/>
      </w:pPr>
      <w:r>
        <w:rPr>
          <w:rFonts w:ascii="Times New Roman" w:hAnsi="Times New Roman" w:eastAsia="Times New Roman" w:cs="Times New Roman"/>
        </w:rPr>
        <w:t>3.2 Pre-Processing</w:t>
      </w:r>
      <w:r>
        <w:rPr>
          <w:rFonts w:ascii="Times New Roman" w:hAnsi="Times New Roman" w:eastAsia="Times New Roman" w:cs="Times New Roman"/>
        </w:rPr>
        <w:tab/>
      </w:r>
      <w:r>
        <w:rPr>
          <w:rFonts w:ascii="Times New Roman" w:hAnsi="Times New Roman" w:eastAsia="Times New Roman" w:cs="Times New Roman"/>
        </w:rPr>
        <w:t>10</w:t>
      </w:r>
    </w:p>
    <w:p>
      <w:pPr>
        <w:tabs>
          <w:tab w:pos="8901" w:val="right" w:leader="dot"/>
        </w:tabs>
        <w:spacing w:after="40"/>
      </w:pPr>
      <w:r>
        <w:rPr>
          <w:rFonts w:ascii="Times New Roman" w:hAnsi="Times New Roman" w:eastAsia="Times New Roman" w:cs="Times New Roman"/>
        </w:rPr>
        <w:t>3.3 Experimental Results</w:t>
      </w:r>
      <w:r>
        <w:rPr>
          <w:rFonts w:ascii="Times New Roman" w:hAnsi="Times New Roman" w:eastAsia="Times New Roman" w:cs="Times New Roman"/>
        </w:rPr>
        <w:tab/>
      </w:r>
      <w:r>
        <w:rPr>
          <w:rFonts w:ascii="Times New Roman" w:hAnsi="Times New Roman" w:eastAsia="Times New Roman" w:cs="Times New Roman"/>
        </w:rPr>
        <w:t>11</w:t>
      </w:r>
    </w:p>
    <w:p>
      <w:pPr>
        <w:tabs>
          <w:tab w:pos="8901" w:val="right" w:leader="dot"/>
        </w:tabs>
        <w:spacing w:after="40"/>
      </w:pPr>
      <w:r>
        <w:rPr>
          <w:rFonts w:ascii="Times New Roman" w:hAnsi="Times New Roman" w:eastAsia="Times New Roman" w:cs="Times New Roman"/>
        </w:rPr>
        <w:t>3.4 Limitations</w:t>
      </w:r>
      <w:r>
        <w:rPr>
          <w:rFonts w:ascii="Times New Roman" w:hAnsi="Times New Roman" w:eastAsia="Times New Roman" w:cs="Times New Roman"/>
        </w:rPr>
        <w:tab/>
      </w:r>
      <w:r>
        <w:rPr>
          <w:rFonts w:ascii="Times New Roman" w:hAnsi="Times New Roman" w:eastAsia="Times New Roman" w:cs="Times New Roman"/>
        </w:rPr>
        <w:t>13</w:t>
      </w:r>
    </w:p>
    <w:p>
      <w:pPr>
        <w:tabs>
          <w:tab w:pos="8901" w:val="right" w:leader="dot"/>
        </w:tabs>
        <w:spacing w:after="40"/>
      </w:pPr>
      <w:r>
        <w:rPr>
          <w:rFonts w:ascii="Times New Roman" w:hAnsi="Times New Roman" w:eastAsia="Times New Roman" w:cs="Times New Roman"/>
        </w:rPr>
        <w:t>4. Discussion and Conclusions</w:t>
      </w:r>
      <w:r>
        <w:rPr>
          <w:rFonts w:ascii="Times New Roman" w:hAnsi="Times New Roman" w:eastAsia="Times New Roman" w:cs="Times New Roman"/>
        </w:rPr>
        <w:tab/>
      </w:r>
      <w:r>
        <w:rPr>
          <w:rFonts w:ascii="Times New Roman" w:hAnsi="Times New Roman" w:eastAsia="Times New Roman" w:cs="Times New Roman"/>
        </w:rPr>
        <w:t>15</w:t>
      </w:r>
    </w:p>
    <w:p>
      <w:pPr>
        <w:tabs>
          <w:tab w:pos="8901" w:val="right" w:leader="dot"/>
        </w:tabs>
        <w:spacing w:after="40"/>
      </w:pPr>
      <w:r>
        <w:rPr>
          <w:rFonts w:ascii="Times New Roman" w:hAnsi="Times New Roman" w:eastAsia="Times New Roman" w:cs="Times New Roman"/>
        </w:rPr>
        <w:t>5. References</w:t>
      </w:r>
      <w:r>
        <w:rPr>
          <w:rFonts w:ascii="Times New Roman" w:hAnsi="Times New Roman" w:eastAsia="Times New Roman" w:cs="Times New Roman"/>
        </w:rPr>
        <w:tab/>
      </w:r>
      <w:r>
        <w:rPr>
          <w:rFonts w:ascii="Times New Roman" w:hAnsi="Times New Roman" w:eastAsia="Times New Roman" w:cs="Times New Roman"/>
        </w:rPr>
        <w:t>15</w:t>
      </w:r>
    </w:p>
    <w:p>
      <w:pPr>
        <w:tabs>
          <w:tab w:pos="8901" w:val="right" w:leader="dot"/>
        </w:tabs>
        <w:spacing w:after="40"/>
      </w:pPr>
      <w:r>
        <w:rPr>
          <w:rFonts w:ascii="Times New Roman" w:hAnsi="Times New Roman" w:eastAsia="Times New Roman" w:cs="Times New Roman"/>
        </w:rPr>
        <w:t>Appendices</w:t>
      </w:r>
      <w:r>
        <w:rPr>
          <w:rFonts w:ascii="Times New Roman" w:hAnsi="Times New Roman" w:eastAsia="Times New Roman" w:cs="Times New Roman"/>
        </w:rPr>
        <w:tab/>
      </w:r>
      <w:r>
        <w:rPr>
          <w:rFonts w:ascii="Times New Roman" w:hAnsi="Times New Roman" w:eastAsia="Times New Roman" w:cs="Times New Roman"/>
        </w:rPr>
        <w:t>16</w:t>
      </w:r>
    </w:p>
    <w:p>
      <w:pPr>
        <w:tabs>
          <w:tab w:pos="8901" w:val="right" w:leader="dot"/>
        </w:tabs>
        <w:spacing w:after="40"/>
      </w:pPr>
      <w:r>
        <w:rPr>
          <w:rFonts w:ascii="Times New Roman" w:hAnsi="Times New Roman" w:eastAsia="Times New Roman" w:cs="Times New Roman"/>
        </w:rPr>
        <w:t>A. Individual Contribution</w:t>
      </w:r>
      <w:r>
        <w:rPr>
          <w:rFonts w:ascii="Times New Roman" w:hAnsi="Times New Roman" w:eastAsia="Times New Roman" w:cs="Times New Roman"/>
        </w:rPr>
        <w:tab/>
      </w:r>
      <w:r>
        <w:rPr>
          <w:rFonts w:ascii="Times New Roman" w:hAnsi="Times New Roman" w:eastAsia="Times New Roman" w:cs="Times New Roman"/>
        </w:rPr>
        <w:t>16</w:t>
      </w:r>
    </w:p>
    <w:p>
      <w:pPr>
        <w:tabs>
          <w:tab w:pos="8901" w:val="right" w:leader="dot"/>
        </w:tabs>
        <w:spacing w:after="40"/>
      </w:pPr>
      <w:r>
        <w:rPr>
          <w:rFonts w:ascii="Times New Roman" w:hAnsi="Times New Roman" w:eastAsia="Times New Roman" w:cs="Times New Roman"/>
        </w:rPr>
        <w:t>B. Individual Contribution Split</w:t>
      </w:r>
      <w:r>
        <w:rPr>
          <w:rFonts w:ascii="Times New Roman" w:hAnsi="Times New Roman" w:eastAsia="Times New Roman" w:cs="Times New Roman"/>
        </w:rPr>
        <w:tab/>
      </w:r>
      <w:r>
        <w:rPr>
          <w:rFonts w:ascii="Times New Roman" w:hAnsi="Times New Roman" w:eastAsia="Times New Roman" w:cs="Times New Roman"/>
        </w:rPr>
        <w:t>16</w:t>
      </w:r>
    </w:p>
    <w:p>
      <w:r>
        <w:br w:type="page"/>
      </w:r>
    </w:p>
    <w:p w:rsidR="00000000" w:rsidDel="00000000" w:rsidP="00000000" w:rsidRDefault="00000000" w:rsidRPr="00000000" w14:paraId="00000031">
      <w:pPr>
        <w:spacing w:after="280" w:before="280" w:line="240" w:lineRule="auto"/>
        <w:rPr/>
      </w:pPr>
      <w:bookmarkStart w:colFirst="0" w:colLast="0" w:name="_heading=h.8lv9qupea4yx" w:id="0"/>
      <w:bookmarkEnd w:id="0"/>
      <w:r w:rsidDel="00000000" w:rsidR="00000000" w:rsidRPr="00000000">
        <w:rPr>
          <w:rFonts w:ascii="Times New Roman" w:hAnsi="Times New Roman" w:eastAsia="Times New Roman" w:cs="Times New Roman"/>
          <w:rtl w:val="0"/>
          <w:sz w:val="48"/>
          <w:b/>
        </w:rPr>
        <w:t xml:space="preserve">Abstract</w:t>
      </w:r>
    </w:p>
    <w:p w:rsidR="00000000" w:rsidDel="00000000" w:rsidP="00000000" w:rsidRDefault="00000000" w:rsidRPr="00000000" w14:paraId="00000032">
      <w:pPr>
        <w:spacing w:after="280" w:before="280" w:line="240" w:lineRule="auto"/>
        <w:rPr>
          <w:rFonts w:ascii="Times New Roman" w:cs="Times New Roman" w:eastAsia="Times New Roman" w:hAnsi="Times New Roman"/>
          <w:sz w:val="24"/>
          <w:szCs w:val="24"/>
        </w:rPr>
      </w:pPr>
      <w:r>
        <w:rPr>
          <w:rFonts w:ascii="Times New Roman" w:hAnsi="Times New Roman" w:eastAsia="Times New Roman" w:cs="Times New Roman"/>
          <w:sz w:val="24"/>
        </w:rPr>
        <w:t>We ask whether a learned policy can beat a schedule-following controller when a track becomes unavailable. Two Flatland scenarios are built from the October 2026 TfNSW GTFS feed: a four-track Central-Strathfield corridor with 52 scheduled movements and the Granville-Harris Park junction with 126. The corridor is disrupted by an exogenous blockage that removes a cell's rail transitions for 400 steps, so a policy cannot make the incident vanish by rerouting. Under that regime, and across three algorithms, only the warm-started PPO learns to change track: it improves the metric from -0.0662 to -0.0005, a paired gain of +0.0657 on 30 held-out seeds (30 of 30, p &lt; 1e-4) with every train completing, and on a clean network it scores 0.0000 with no crossing at all. A2C never learns the crossing and DQN parks half the fleet. The junction remains a loss: the selected checkpoint dispatches and jams (-0.2400, 59 of 126 trains home) instead of parking, and still finishes behind the scripted route follower (-0.1823).</w:t>
      </w:r>
    </w:p>
    <w:p>
      <w:r>
        <w:br w:type="page"/>
      </w:r>
    </w:p>
    <w:p w:rsidR="00000000" w:rsidDel="00000000" w:rsidP="00000000" w:rsidRDefault="00000000" w:rsidRPr="00000000" w14:paraId="00000049">
      <w:pPr>
        <w:spacing w:after="280" w:before="280" w:line="240" w:lineRule="auto"/>
        <w:rPr/>
      </w:pPr>
      <w:bookmarkStart w:colFirst="0" w:colLast="0" w:name="_heading=h.9x3oo73nafi8" w:id="1"/>
      <w:bookmarkEnd w:id="1"/>
      <w:r w:rsidDel="00000000" w:rsidR="00000000" w:rsidRPr="00000000">
        <w:rPr>
          <w:rFonts w:ascii="Times New Roman" w:hAnsi="Times New Roman" w:eastAsia="Times New Roman" w:cs="Times New Roman"/>
          <w:rtl w:val="0"/>
          <w:sz w:val="48"/>
          <w:b/>
        </w:rPr>
        <w:t xml:space="preserve">1. Introduction and Background</w:t>
      </w:r>
    </w:p>
    <w:p w:rsidR="00000000" w:rsidDel="00000000" w:rsidP="00000000" w:rsidRDefault="00000000" w:rsidRPr="00000000" w14:paraId="0000004A">
      <w:pPr>
        <w:spacing w:after="280" w:before="280" w:line="240" w:lineRule="auto"/>
        <w:rPr/>
      </w:pPr>
      <w:bookmarkStart w:colFirst="0" w:colLast="0" w:name="_heading=h.clt680faih2n" w:id="2"/>
      <w:bookmarkEnd w:id="2"/>
      <w:r w:rsidDel="00000000" w:rsidR="00000000" w:rsidRPr="00000000">
        <w:rPr>
          <w:rFonts w:ascii="Times New Roman" w:hAnsi="Times New Roman" w:eastAsia="Times New Roman" w:cs="Times New Roman"/>
          <w:rtl w:val="0"/>
          <w:sz w:val="36"/>
          <w:b/>
        </w:rPr>
        <w:t xml:space="preserve">1.1 The problem you tried to solve</w:t>
      </w:r>
    </w:p>
    <w:p w:rsidR="00000000" w:rsidDel="00000000" w:rsidP="00000000" w:rsidRDefault="00000000" w:rsidRPr="00000000" w14:paraId="0000004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Railway scheduling involves coordinating multiple trains across shared infrastructure, including tracks, junctions and crossovers, while maintaining safe and reliable operations (Li et al., 2021). As railway infrastructure has limited capacity, delays affecting individual services can lead to conflicts in train schedules and propagate across interconnected railway networks, creating significant challenges for railway planners and train controllers (Li et al., 2021). These disruptions can result from various unpredictable factors, including equipment failures, signalling faults, fluctuations in passenger demand and adverse weather conditions (Li et al., 2021). The impact of these challenges remain evident in Sydney's railway network, where suburban train punctuality averaged 87.5% in 2024–25, falling below the established 92% target (Sydney Trains, 2025). Recent incidents also highlight the network’s susceptibility to operational disruptions. In June 2024, a signalling at Harris Park resulted in  delays that exceeded one hour (Roberts, 2024), while an overhead wiring failure near Strathfield in May 2025 disrupted train services for more than 24 hours (Gorrey et al., 2025).</w:t>
      </w:r>
    </w:p>
    <w:p w:rsidR="00000000" w:rsidDel="00000000" w:rsidP="00000000" w:rsidRDefault="00000000" w:rsidRPr="00000000" w14:paraId="0000004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Managing train movements under these conditions presents a complex real-time scheduling problem, particularly when multiple services must share limited track capacity. Train controllers must consider infrastructure availability, potential conflicts between train movements and the potential for decisions to generate further delays (Zhu &amp; Goverde, 2019). In response to these challenges, this project explores the application of reinforcement learning to railway scheduling and rerouting. Using simulated railway environments, the study examines how different reinforcement learning strategies coordinate train movements and respond to both normal operating conditions and unexpected disruptions.</w:t>
      </w:r>
    </w:p>
    <w:p w:rsidR="00000000" w:rsidDel="00000000" w:rsidP="00000000" w:rsidRDefault="00000000" w:rsidRPr="00000000" w14:paraId="0000004D">
      <w:pPr>
        <w:spacing w:after="280" w:before="280" w:line="240" w:lineRule="auto"/>
        <w:rPr/>
      </w:pPr>
      <w:bookmarkStart w:colFirst="0" w:colLast="0" w:name="_heading=h.pqiovr5rzx25" w:id="3"/>
      <w:bookmarkEnd w:id="3"/>
      <w:r w:rsidDel="00000000" w:rsidR="00000000" w:rsidRPr="00000000">
        <w:rPr>
          <w:rFonts w:ascii="Times New Roman" w:hAnsi="Times New Roman" w:eastAsia="Times New Roman" w:cs="Times New Roman"/>
          <w:rtl w:val="0"/>
          <w:sz w:val="36"/>
          <w:b/>
        </w:rPr>
        <w:t xml:space="preserve">1.2 Motivation</w:t>
      </w:r>
    </w:p>
    <w:p w:rsidR="00000000" w:rsidDel="00000000" w:rsidP="00000000" w:rsidRDefault="00000000" w:rsidRPr="00000000" w14:paraId="0000004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Improving railway scheduling is essential for maintaining reliable passenger services and ensuring the efficient utilisation of existing railway infrastructure (Šemrov et al., 2016; Zhu &amp; Goverde, 2019). Delays and disruptions can negatively affect passenger journeys, increase travel-time uncertainty and reduce overall efficiency of railway networks, particularly in interconnected metropolitan railway systems (Li et al., 2021). Given the capacity constraints of railway infrastructure, the development of reliable timetables alone may not be sufficient to address unexpected disruptions (Li et al., 2021). Effective scheduling and rerouting strategies are therefore necessary to strengthen operational resilience, minimise delay propagation and maintain service continuity (Zhu &amp; Goverde, 2019). Exploring alternative methods of coordinating train movements may provide insights into improving railway operations without necessarily requiring additional infrastructure investment (Šemrov et al., 2016).</w:t>
      </w:r>
    </w:p>
    <w:p w:rsidR="00000000" w:rsidDel="00000000" w:rsidP="00000000" w:rsidRDefault="00000000" w:rsidRPr="00000000" w14:paraId="0000004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Reinforcement learning (RL) presents a promising approach to this problem because railway scheduling involves sequential decision-making in dynamic and often unpredictable operating conditions (Šemrov et al., 2016). Unlike approaches that rely exclusively on predefined decision rules, RL agents can learn strategies through interactions with an environment and feedback from their actions (Sutton &amp; Barto, 2018). This learning process makes RL a potential solution for railway scheduling, where train movements must be continually adjusted in response to changing network conditions and emerging conflicts.</w:t>
      </w:r>
    </w:p>
    <w:p w:rsidR="00000000" w:rsidDel="00000000" w:rsidP="00000000" w:rsidRDefault="00000000" w:rsidRPr="00000000" w14:paraId="0000005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simulation provides a controlled and repeatable environment in which scheduling strategies can be investigated without interfering with live railway operations. By modelling different railway layouts and disruption scenarios, scheduling strategies can be evaluated under consistent conditions, allowing their relative strengths and limitations to be examined before considering potential real-world applications. Therefore, to explore this potential, the project uses the Flatland railway simulation environment to model train scheduling and rerouting across selected Sydney railway corridors (Mohanty et al., 2020). Three RL algorithms—Proximal Policy Optimisation (PPO), Advantage Actor-Critic (A2C) and Deep Q-Network (DQN)— are evaluated under both normal and disrupted operating conditions to compare their relative performance in coordinating train movements.</w:t>
      </w:r>
    </w:p>
    <w:p w:rsidR="00000000" w:rsidDel="00000000" w:rsidP="00000000" w:rsidRDefault="00000000" w:rsidRPr="00000000" w14:paraId="00000051">
      <w:pPr>
        <w:spacing w:after="280" w:before="280" w:line="240" w:lineRule="auto"/>
        <w:rPr/>
      </w:pPr>
      <w:bookmarkStart w:colFirst="0" w:colLast="0" w:name="_heading=h.63cnq6q0ala2" w:id="4"/>
      <w:bookmarkEnd w:id="4"/>
      <w:r w:rsidDel="00000000" w:rsidR="00000000" w:rsidRPr="00000000">
        <w:rPr>
          <w:rFonts w:ascii="Times New Roman" w:hAnsi="Times New Roman" w:eastAsia="Times New Roman" w:cs="Times New Roman"/>
          <w:rtl w:val="0"/>
          <w:sz w:val="36"/>
          <w:b/>
        </w:rPr>
        <w:t xml:space="preserve">1.3 Application</w:t>
      </w:r>
    </w:p>
    <w:p w:rsidR="00000000" w:rsidDel="00000000" w:rsidP="00000000" w:rsidRDefault="00000000" w:rsidRPr="00000000" w14:paraId="00000052">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application of this project is an RL-based train scheduling and rerouting system developed within the Flatland simulation environment. Using simplified representations of selected Sydney railway corridors, the system enables different reinforcement learning algorithms to be evaluated under normal and disrupted operating conditions. Through simulated train movements and comparative performance results, the system aims to identify the relative strengths and limitations of different scheduling strategies in managing delays, congestion and successful train arrivals. The results may offer valuable insights for researchers, developers and railway planners exploring adaptive railway traffic management and decision-support systems. However, the system is evaluated entirely through simulation and is not intended for direct deployment on operational railway networks.</w:t>
      </w:r>
    </w:p>
    <w:p w:rsidR="00000000" w:rsidDel="00000000" w:rsidP="00000000" w:rsidRDefault="00000000" w:rsidRPr="00000000" w14:paraId="00000053">
      <w:pPr>
        <w:spacing w:after="280" w:before="280" w:line="240" w:lineRule="auto"/>
        <w:rPr/>
      </w:pPr>
      <w:bookmarkStart w:colFirst="0" w:colLast="0" w:name="_heading=h.x2amkow9jzio" w:id="5"/>
      <w:bookmarkEnd w:id="5"/>
      <w:r w:rsidDel="00000000" w:rsidR="00000000" w:rsidRPr="00000000">
        <w:rPr>
          <w:rFonts w:ascii="Times New Roman" w:hAnsi="Times New Roman" w:eastAsia="Times New Roman" w:cs="Times New Roman"/>
          <w:rtl w:val="0"/>
          <w:sz w:val="36"/>
          <w:b/>
        </w:rPr>
        <w:t xml:space="preserve">1.4 Dataset/Environment</w:t>
      </w:r>
    </w:p>
    <w:p w:rsidR="00000000" w:rsidDel="00000000" w:rsidP="00000000" w:rsidRDefault="00000000" w:rsidRPr="00000000" w14:paraId="0000005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Flatland is a multi-agent railway simulation environment designed to investigate train coordination and decision-making problems (Mohanty et al., 2020). In this environment, individual trains are represented as agents navigating a grid-based railway network consisting of interconnected tracks, switches and designated destinations (Mohanty et al., 2020). Agents must coordinate their movements while accounting for shared infrastructure and potential conflicts with other trains (Mohanty et al., 2020). The environment also supports simulated malfunctions and disruptions, enabling the evaluation of scheduling and rerouting strategies under varying operating conditions (Mohanty et al., 2020).</w:t>
      </w:r>
    </w:p>
    <w:p w:rsidR="00000000" w:rsidDel="00000000" w:rsidP="00000000" w:rsidRDefault="00000000" w:rsidRPr="00000000" w14:paraId="0000005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project, two railway scenarios were developed to represent selected sections of Sydney's metropolitan railway network: the Central–Strathfield corridor (Scenario 1) and the Granville–Harris Park corridor (Scenario 2). Each scenario incorporates railway track layouts and timetable information to model train routes and movements within the simulation environment. Both normal operating conditions and delayed scenarios are considered to investigate how different scheduling approaches respond to disruptions. Figures 1 and 2 illustrate the simulated railway environments used in the project.</w:t>
      </w:r>
    </w:p>
    <w:p w:rsidR="00000000" w:rsidDel="00000000" w:rsidP="00000000" w:rsidRDefault="00000000" w:rsidRPr="00000000" w14:paraId="00000057">
      <w:pPr>
        <w:spacing w:after="280" w:before="280"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-333374</wp:posOffset>
            </wp:positionH>
            <wp:positionV relativeFrom="paragraph">
              <wp:posOffset>114300</wp:posOffset>
            </wp:positionV>
            <wp:extent cx="6519863" cy="2719943"/>
            <wp:effectExtent b="0" l="0" r="0" t="0"/>
            <wp:wrapNone/>
            <wp:docPr id="6"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6519863" cy="2719943"/>
                    </a:xfrm>
                    <a:prstGeom prst="rect"/>
                    <a:ln/>
                  </pic:spPr>
                </pic:pic>
              </a:graphicData>
            </a:graphic>
          </wp:anchor>
        </w:drawing>
      </w:r>
    </w:p>
    <w:p w:rsidR="00000000" w:rsidDel="00000000" w:rsidP="00000000" w:rsidRDefault="00000000" w:rsidRPr="00000000" w14:paraId="0000005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 Flatland implementation of the Central-Strathfield corridor (Scenario 1)</w:t>
      </w:r>
      <w:r w:rsidDel="00000000" w:rsidR="00000000" w:rsidRPr="00000000">
        <w:drawing>
          <wp:anchor allowOverlap="1" behindDoc="0" distB="114300" distT="114300" distL="114300" distR="114300" hidden="0" layoutInCell="1" locked="0" relativeHeight="0" simplePos="0">
            <wp:simplePos x="0" y="0"/>
            <wp:positionH relativeFrom="column">
              <wp:posOffset>847725</wp:posOffset>
            </wp:positionH>
            <wp:positionV relativeFrom="paragraph">
              <wp:posOffset>323850</wp:posOffset>
            </wp:positionV>
            <wp:extent cx="3908438" cy="3716220"/>
            <wp:effectExtent b="0" l="0" r="0" t="0"/>
            <wp:wrapNone/>
            <wp:docPr id="8"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3908438" cy="3716220"/>
                    </a:xfrm>
                    <a:prstGeom prst="rect"/>
                    <a:ln/>
                  </pic:spPr>
                </pic:pic>
              </a:graphicData>
            </a:graphic>
          </wp:anchor>
        </w:drawing>
      </w:r>
    </w:p>
    <w:p w:rsidR="00000000" w:rsidDel="00000000" w:rsidP="00000000" w:rsidRDefault="00000000" w:rsidRPr="00000000" w14:paraId="0000006A">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 Flatland implementation of the</w:t>
      </w:r>
    </w:p>
    <w:p w:rsidR="00000000" w:rsidDel="00000000" w:rsidP="00000000" w:rsidRDefault="00000000" w:rsidRPr="00000000" w14:paraId="0000006B">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Granville–Harris Park corridor (Scenario 2).</w:t>
      </w:r>
    </w:p>
    <w:p>
      <w:r>
        <w:br w:type="page"/>
      </w:r>
    </w:p>
    <w:p>
      <w:pPr>
        <w:keepNext/>
        <w:spacing w:before="360" w:after="160"/>
      </w:pPr>
      <w:r>
        <w:rPr>
          <w:rFonts w:ascii="Times New Roman" w:hAnsi="Times New Roman" w:eastAsia="Times New Roman" w:cs="Times New Roman"/>
          <w:b/>
          <w:sz w:val="48"/>
        </w:rPr>
        <w:t>2. Overview of the architecture/system</w:t>
      </w:r>
    </w:p>
    <w:p>
      <w:pPr>
        <w:keepNext/>
        <w:spacing w:before="240" w:after="160"/>
      </w:pPr>
      <w:r>
        <w:rPr>
          <w:rFonts w:ascii="Times New Roman" w:hAnsi="Times New Roman" w:eastAsia="Times New Roman" w:cs="Times New Roman"/>
          <w:b/>
          <w:sz w:val="36"/>
        </w:rPr>
        <w:t>2.1 Flow Diagram and Workflow</w:t>
      </w:r>
    </w:p>
    <w:p>
      <w:pPr>
        <w:spacing w:after="120"/>
      </w:pPr>
      <w:r>
        <w:rPr>
          <w:rFonts w:ascii="Times New Roman" w:hAnsi="Times New Roman" w:eastAsia="Times New Roman" w:cs="Times New Roman"/>
        </w:rPr>
        <w:t>The workflow runs in seven stages, each with a defined input and output (Figure 3). The dashed arrow is deliberate: every change to the observation, reward or disruption regime was re-validated by re-running the same paired evaluation, so this report only contains numbers produced by the final configuration, with the two labelled junction rows of Table 5 as the one disclosed exception.</w:t>
      </w:r>
    </w:p>
    <w:p>
      <w:pPr>
        <w:spacing w:before="120" w:after="40"/>
        <w:jc w:val="center"/>
      </w:pPr>
      <w:r>
        <w:drawing>
          <wp:inline>
            <wp:extent cx="5544000" cy="5861374"/>
            <wp:docPr id="9" name="Picture 9"/>
            <wp:cNvGraphicFramePr>
              <a:graphicFrameLocks noChangeAspect="1"/>
            </wp:cNvGraphicFramePr>
            <a:graphic>
              <a:graphicData uri="http://schemas.openxmlformats.org/drawingml/2006/picture">
                <pic:pic>
                  <pic:nvPicPr>
                    <pic:cNvPr id="0" name="fig_workflow.png"/>
                    <pic:cNvPicPr/>
                  </pic:nvPicPr>
                  <pic:blipFill>
                    <a:blip r:embed="rId24"/>
                    <a:stretch>
                      <a:fillRect/>
                    </a:stretch>
                  </pic:blipFill>
                  <pic:spPr>
                    <a:xfrm>
                      <a:off x="0" y="0"/>
                      <a:ext cx="5544000" cy="5861374"/>
                    </a:xfrm>
                    <a:prstGeom prst="rect"/>
                  </pic:spPr>
                </pic:pic>
              </a:graphicData>
            </a:graphic>
          </wp:inline>
        </w:drawing>
      </w:r>
    </w:p>
    <w:p>
      <w:pPr>
        <w:spacing w:before="60" w:after="240"/>
      </w:pPr>
      <w:r>
        <w:rPr>
          <w:rFonts w:ascii="Times New Roman" w:hAnsi="Times New Roman" w:eastAsia="Times New Roman" w:cs="Times New Roman"/>
          <w:i/>
          <w:color w:val="404040"/>
          <w:sz w:val="18"/>
        </w:rPr>
        <w:t>Figure 3: End-to-end workflow. Each stage consumes the artefact produced by the previous one; the dashed arrow marks the design loop that re-ran the evaluation after every change.</w:t>
      </w:r>
    </w:p>
    <w:p>
      <w:pPr>
        <w:spacing w:after="60"/>
        <w:ind w:left="369" w:hanging="227"/>
      </w:pPr>
      <w:r>
        <w:rPr>
          <w:rFonts w:ascii="Times New Roman" w:hAnsi="Times New Roman" w:eastAsia="Times New Roman" w:cs="Times New Roman"/>
        </w:rPr>
        <w:t>•  Service extraction: the GTFS feed (about 1.4 GB) is filtered to one Thursday peak, with link traversal times derived from the shapes.</w:t>
      </w:r>
    </w:p>
    <w:p>
      <w:pPr>
        <w:spacing w:after="60"/>
        <w:ind w:left="369" w:hanging="227"/>
      </w:pPr>
      <w:r>
        <w:rPr>
          <w:rFonts w:ascii="Times New Roman" w:hAnsi="Times New Roman" w:eastAsia="Times New Roman" w:cs="Times New Roman"/>
        </w:rPr>
        <w:t>•  Scenario construction: two Flatland levels and two timetables, the corridor (87 x 8, 52 movements) and the junction (20 x 20, 126 movements).</w:t>
      </w:r>
    </w:p>
    <w:p>
      <w:pPr>
        <w:spacing w:after="60"/>
        <w:ind w:left="369" w:hanging="227"/>
      </w:pPr>
      <w:r>
        <w:rPr>
          <w:rFonts w:ascii="Times New Roman" w:hAnsi="Times New Roman" w:eastAsia="Times New Roman" w:cs="Times New Roman"/>
        </w:rPr>
        <w:t>•  MDP construction: level, timetable and disruption regime, with a tree observation, a per-train discrete action and the metric potential as reward.</w:t>
      </w:r>
    </w:p>
    <w:p>
      <w:pPr>
        <w:spacing w:after="60"/>
        <w:ind w:left="369" w:hanging="227"/>
      </w:pPr>
      <w:r>
        <w:rPr>
          <w:rFonts w:ascii="Times New Roman" w:hAnsi="Times New Roman" w:eastAsia="Times New Roman" w:cs="Times New Roman"/>
        </w:rPr>
        <w:t>•  Vectorisation and training: two copies of the fleet for PPO, one for A2C and DQN, one sub-environment per train, shared policy parameters.</w:t>
      </w:r>
    </w:p>
    <w:p>
      <w:pPr>
        <w:spacing w:after="60"/>
        <w:ind w:left="369" w:hanging="227"/>
      </w:pPr>
      <w:r>
        <w:rPr>
          <w:rFonts w:ascii="Times New Roman" w:hAnsi="Times New Roman" w:eastAsia="Times New Roman" w:cs="Times New Roman"/>
        </w:rPr>
        <w:t>•  Checkpoint selection: PPO is scored every 100k steps on unseen seeds 9001 to 9004 (thirteen evaluations); A2C and DQN every 400k steps on two seeds, completion first.</w:t>
      </w:r>
    </w:p>
    <w:p>
      <w:pPr>
        <w:spacing w:after="60"/>
        <w:ind w:left="369" w:hanging="227"/>
      </w:pPr>
      <w:r>
        <w:rPr>
          <w:rFonts w:ascii="Times New Roman" w:hAnsi="Times New Roman" w:eastAsia="Times New Roman" w:cs="Times New Roman"/>
        </w:rPr>
        <w:t>•  Paired evaluation and reporting: the corridor arm and its baseline on the same 30 held-out seeds (3000 to 3029), with an exact sign test.</w:t>
      </w:r>
    </w:p>
    <w:p>
      <w:pPr>
        <w:spacing w:after="60"/>
        <w:ind w:left="369" w:hanging="227"/>
      </w:pPr>
      <w:r>
        <w:rPr>
          <w:rFonts w:ascii="Times New Roman" w:hAnsi="Times New Roman" w:eastAsia="Times New Roman" w:cs="Times New Roman"/>
        </w:rPr>
        <w:t>•  Decision audit: every visit to a commit crossover is recorded with whether a blocked cell lay ahead, so the crossings can be shown to be conditional.</w:t>
      </w:r>
    </w:p>
    <w:p>
      <w:pPr>
        <w:keepNext/>
        <w:spacing w:before="240" w:after="160"/>
      </w:pPr>
      <w:r>
        <w:rPr>
          <w:rFonts w:ascii="Times New Roman" w:hAnsi="Times New Roman" w:eastAsia="Times New Roman" w:cs="Times New Roman"/>
          <w:b/>
          <w:sz w:val="36"/>
        </w:rPr>
        <w:t>2.2 System Architecture Design</w:t>
      </w:r>
    </w:p>
    <w:p>
      <w:pPr>
        <w:spacing w:after="120"/>
      </w:pPr>
      <w:r>
        <w:rPr>
          <w:rFonts w:ascii="Times New Roman" w:hAnsi="Times New Roman" w:eastAsia="Times New Roman" w:cs="Times New Roman"/>
        </w:rPr>
        <w:t>One shared multi-layer perceptron controls every train: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rPr>
          <w:rFonts w:ascii="Times New Roman" w:hAnsi="Times New Roman" w:eastAsia="Times New Roman" w:cs="Times New Roman"/>
        </w:rPr>
        <w:t>The reward is the assessment metric paid densely as a potential, r(t) = R(t) - R(t-1), where R(t) is what the metric would charge if the episode ended at t. The sum telescopes to the metric exactly, verified per agent and per term to machine precision, and training divides the potential by a constant 100 so the value targets stay O(1). All reported arms also use two shaping bonuses on top of the potential: +50 for every train that arrives and -1 for every step a train is stuck, at the same 1/100 scale, which is disclosed here because the reported arm is not the bare-metric arm.</w:t>
      </w:r>
    </w:p>
    <w:p>
      <w:pPr>
        <w:spacing w:after="120"/>
      </w:pPr>
      <w:r>
        <w:rPr>
          <w:rFonts w:ascii="Times New Roman" w:hAnsi="Times New Roman" w:eastAsia="Times New Roman" w:cs="Times New Roman"/>
        </w:rPr>
        <w:t>From a random initialisation none of the three algorithms finds the crossing, so the reported corridor arm is PPO fine-tuned from a behaviour-cloned detour baseline (imitation then RL), with the critic warmed up first. The two independent algorithms are the control: they share the observation, reward and regime but not the warm start. The notebook is the assembly point and imports the shared modules from scripts/ instead of duplicating them, so the notebook, the trainers and the evaluator cannot drift apart. Twenty scripts ship; the analysis modules the reported tables depend on are nb_harness (executes the notebook's own cells), regimes (map geometry and the regime selector, block by default), disruptions (both disruption mechanisms), priority_obs (the twelve features), metric_rewards (the potential and its shaped variant), train_ppo, train_algo, eval_pair, bc_warmstart, crossing_audit, render_policy_gif and verify_rewards, with s2_env and s2_assembly assembling the junction.</w:t>
      </w:r>
    </w:p>
    <w:p>
      <w:pPr>
        <w:keepNext/>
        <w:spacing w:before="240" w:after="160"/>
      </w:pPr>
      <w:r>
        <w:rPr>
          <w:rFonts w:ascii="Times New Roman" w:hAnsi="Times New Roman" w:eastAsia="Times New Roman" w:cs="Times New Roman"/>
          <w:b/>
          <w:sz w:val="36"/>
        </w:rPr>
        <w:t>2.3 GUI/Environment Design</w:t>
      </w:r>
    </w:p>
    <w:p>
      <w:pPr>
        <w:spacing w:after="120"/>
      </w:pPr>
      <w:r>
        <w:rPr>
          <w:rFonts w:ascii="Times New Roman" w:hAnsi="Times New Roman" w:eastAsia="Times New Roman" w:cs="Times New Roman"/>
        </w:rPr>
        <w:t>Flatland's own renderer is the interface, which the brief permits in place of a separate GUI: it shows the rail grid with its switches and crossovers, one coloured marker per train, and a red X on every cell that may not be entered - an exogenous blockage on the corridor, a train standing in malfunction on the junction. Using the simulator's renderer means every episode figure comes from the same process the agent is trained in, produced headlessly with the PIL backend. Figures 1 and 2 are the two levels; Figures 4 and 5 show the same levels under their disruption regimes.</w:t>
      </w:r>
    </w:p>
    <w:p>
      <w:pPr>
        <w:spacing w:before="120" w:after="40"/>
        <w:jc w:val="center"/>
      </w:pPr>
      <w:r>
        <w:drawing>
          <wp:inline>
            <wp:extent cx="5688000" cy="2148800"/>
            <wp:docPr id="10" name="Picture 10"/>
            <wp:cNvGraphicFramePr>
              <a:graphicFrameLocks noChangeAspect="1"/>
            </wp:cNvGraphicFramePr>
            <a:graphic>
              <a:graphicData uri="http://schemas.openxmlformats.org/drawingml/2006/picture">
                <pic:pic>
                  <pic:nvPicPr>
                    <pic:cNvPr id="0" name="fig_corridor_arms.png"/>
                    <pic:cNvPicPr/>
                  </pic:nvPicPr>
                  <pic:blipFill>
                    <a:blip r:embed="rId25"/>
                    <a:stretch>
                      <a:fillRect/>
                    </a:stretch>
                  </pic:blipFill>
                  <pic:spPr>
                    <a:xfrm>
                      <a:off x="0" y="0"/>
                      <a:ext cx="5688000" cy="2148800"/>
                    </a:xfrm>
                    <a:prstGeom prst="rect"/>
                  </pic:spPr>
                </pic:pic>
              </a:graphicData>
            </a:graphic>
          </wp:inline>
        </w:drawing>
      </w:r>
    </w:p>
    <w:p>
      <w:pPr>
        <w:spacing w:before="60" w:after="240"/>
      </w:pPr>
      <w:r>
        <w:rPr>
          <w:rFonts w:ascii="Times New Roman" w:hAnsi="Times New Roman" w:eastAsia="Times New Roman" w:cs="Times New Roman"/>
          <w:i/>
          <w:color w:val="404040"/>
          <w:sz w:val="18"/>
        </w:rPr>
        <w:t>Figure 4: The corridor under the block regime, four arms on the same episode (seed 3001; step 232 for forward-only, PPO and A2C, step 300 for DQN). The red X is a cell whose rail transitions were removed. Forward-only, A2C and DQN leave a queue behind the upper X; PPO's track ahead of it is clear because it changed at the previous crossover.</w:t>
      </w:r>
    </w:p>
    <w:p>
      <w:pPr>
        <w:spacing w:before="120" w:after="40"/>
        <w:jc w:val="center"/>
      </w:pPr>
      <w:r>
        <w:drawing>
          <wp:inline>
            <wp:extent cx="5400000" cy="2897561"/>
            <wp:docPr id="11" name="Picture 11"/>
            <wp:cNvGraphicFramePr>
              <a:graphicFrameLocks noChangeAspect="1"/>
            </wp:cNvGraphicFramePr>
            <a:graphic>
              <a:graphicData uri="http://schemas.openxmlformats.org/drawingml/2006/picture">
                <pic:pic>
                  <pic:nvPicPr>
                    <pic:cNvPr id="0" name="fig_junction_pair.png"/>
                    <pic:cNvPicPr/>
                  </pic:nvPicPr>
                  <pic:blipFill>
                    <a:blip r:embed="rId26"/>
                    <a:stretch>
                      <a:fillRect/>
                    </a:stretch>
                  </pic:blipFill>
                  <pic:spPr>
                    <a:xfrm>
                      <a:off x="0" y="0"/>
                      <a:ext cx="5400000" cy="2897561"/>
                    </a:xfrm>
                    <a:prstGeom prst="rect"/>
                  </pic:spPr>
                </pic:pic>
              </a:graphicData>
            </a:graphic>
          </wp:inline>
        </w:drawing>
      </w:r>
    </w:p>
    <w:p>
      <w:pPr>
        <w:spacing w:before="60" w:after="240"/>
      </w:pPr>
      <w:r>
        <w:rPr>
          <w:rFonts w:ascii="Times New Roman" w:hAnsi="Times New Roman" w:eastAsia="Times New Roman" w:cs="Times New Roman"/>
          <w:i/>
          <w:color w:val="404040"/>
          <w:sz w:val="18"/>
        </w:rPr>
        <w:t>Figure 5: The junction at step 156 under the train-borne regime. Left: the scripted route follower, with the held train marked. Right: the selected PPO checkpoint, which dispatches into the throat and jams.</w:t>
      </w:r>
    </w:p>
    <w:p>
      <w:pPr>
        <w:spacing w:after="120"/>
      </w:pPr>
      <w:r>
        <w:rPr>
          <w:rFonts w:ascii="Times New Roman" w:hAnsi="Times New Roman" w:eastAsia="Times New Roman" w:cs="Times New Roman"/>
        </w:rPr>
        <w:t>The disruption regime is the methodological core. A train-borne failure fires when a train reaches a cell, which makes the disruption a function of the policy's own trajectory: a policy that reroutes early can prevent the incident from firing at all. The corridor therefore uses an exogenous blockage: a cell's rail transitions are removed outright at a seed-drawn step and restored after 400 steps, so the failure exists whether or not a train goes near it. Two are drawn per episode, one per direction, from the cells just past each commit crossover; activation is deferred while a cell is occupied, and dropped if it stays occupied for 60 steps. Both arms are given the same cells at the same seed-drawn steps, so the pairing is by seed and blockage plan.</w:t>
      </w:r>
    </w:p>
    <w:p>
      <w:r>
        <w:br w:type="page"/>
      </w:r>
    </w:p>
    <w:p>
      <w:pPr>
        <w:keepNext/>
        <w:spacing w:before="360" w:after="160"/>
      </w:pPr>
      <w:r>
        <w:rPr>
          <w:rFonts w:ascii="Times New Roman" w:hAnsi="Times New Roman" w:eastAsia="Times New Roman" w:cs="Times New Roman"/>
          <w:b/>
          <w:sz w:val="48"/>
        </w:rPr>
        <w:t>3. Results and Evaluation</w:t>
      </w:r>
    </w:p>
    <w:p>
      <w:pPr>
        <w:keepNext/>
        <w:spacing w:before="240" w:after="160"/>
      </w:pPr>
      <w:r>
        <w:rPr>
          <w:rFonts w:ascii="Times New Roman" w:hAnsi="Times New Roman" w:eastAsia="Times New Roman" w:cs="Times New Roman"/>
          <w:b/>
          <w:sz w:val="36"/>
        </w:rPr>
        <w:t>3.1 Experimental Settings</w:t>
      </w:r>
    </w:p>
    <w:p>
      <w:pPr>
        <w:spacing w:after="120"/>
      </w:pPr>
      <w:r>
        <w:rPr>
          <w:rFonts w:ascii="Times New Roman" w:hAnsi="Times New Roman" w:eastAsia="Times New Roman" w:cs="Times New Roman"/>
        </w:rPr>
        <w:t>Table 1 lists the settings. All arms act deterministically; the corridor arm is evaluated on seeds 3000 to 3029, which training and checkpoint selection never see, and A2C and DQN are reported from their selection seeds only. Because the baseline and the arm run on the same seed, the same environment and the same blockages, a delta is computed per seed and the report gives its mean, median, win count and an exact two-sided sign test. The score is the assessment metric normalised to [-1, 0], with each train's cost capped at one episode, summed over all agents and divided by the number of agents and the episode budget; a second statistic, delay_all, charges every agent and uses the episode end for a train that never arrives.</w:t>
      </w:r>
    </w:p>
    <w:tbl>
      <w:tblPr>
        <w:tblStyle w:val="TableGrid"/>
        <w:tblW w:type="auto" w:w="0"/>
        <w:jc w:val="center"/>
        <w:tblLook w:firstColumn="1" w:firstRow="1" w:lastColumn="0" w:lastRow="0" w:noHBand="0" w:noVBand="1" w:val="04A0"/>
      </w:tblPr>
      <w:tblGrid>
        <w:gridCol w:w="3009"/>
        <w:gridCol w:w="3009"/>
        <w:gridCol w:w="3009"/>
      </w:tblGrid>
      <w:tr>
        <w:trPr>
          <w:cantSplit/>
          <w:tblHeader/>
        </w:trPr>
        <w:tc>
          <w:tcPr>
            <w:tcW w:type="dxa" w:w="2041"/>
            <w:shd w:val="clear" w:color="auto" w:fill="1F3864"/>
          </w:tcPr>
          <w:p>
            <w:pPr>
              <w:spacing w:before="20" w:after="20"/>
            </w:pPr>
            <w:r/>
            <w:r>
              <w:rPr>
                <w:rFonts w:ascii="Times New Roman" w:hAnsi="Times New Roman" w:eastAsia="Times New Roman" w:cs="Times New Roman"/>
                <w:b/>
                <w:color w:val="FFFFFF"/>
                <w:sz w:val="18"/>
              </w:rPr>
              <w:t>Item</w:t>
            </w:r>
          </w:p>
        </w:tc>
        <w:tc>
          <w:tcPr>
            <w:tcW w:type="dxa" w:w="3402"/>
            <w:shd w:val="clear" w:color="auto" w:fill="1F3864"/>
          </w:tcPr>
          <w:p>
            <w:pPr>
              <w:spacing w:before="20" w:after="20"/>
            </w:pPr>
            <w:r/>
            <w:r>
              <w:rPr>
                <w:rFonts w:ascii="Times New Roman" w:hAnsi="Times New Roman" w:eastAsia="Times New Roman" w:cs="Times New Roman"/>
                <w:b/>
                <w:color w:val="FFFFFF"/>
                <w:sz w:val="18"/>
              </w:rPr>
              <w:t>Corridor</w:t>
            </w:r>
          </w:p>
        </w:tc>
        <w:tc>
          <w:tcPr>
            <w:tcW w:type="dxa" w:w="3402"/>
            <w:shd w:val="clear" w:color="auto" w:fill="1F3864"/>
          </w:tcPr>
          <w:p>
            <w:pPr>
              <w:spacing w:before="20" w:after="20"/>
            </w:pPr>
            <w:r/>
            <w:r>
              <w:rPr>
                <w:rFonts w:ascii="Times New Roman" w:hAnsi="Times New Roman" w:eastAsia="Times New Roman" w:cs="Times New Roman"/>
                <w:b/>
                <w:color w:val="FFFFFF"/>
                <w:sz w:val="18"/>
              </w:rPr>
              <w:t>Junction</w:t>
            </w:r>
          </w:p>
        </w:tc>
      </w:tr>
      <w:tr>
        <w:trPr>
          <w:cantSplit/>
        </w:trPr>
        <w:tc>
          <w:tcPr>
            <w:tcW w:type="dxa" w:w="2041"/>
          </w:tcPr>
          <w:p>
            <w:pPr>
              <w:spacing w:before="20" w:after="20"/>
            </w:pPr>
            <w:r/>
            <w:r>
              <w:rPr>
                <w:rFonts w:ascii="Times New Roman" w:hAnsi="Times New Roman" w:eastAsia="Times New Roman" w:cs="Times New Roman"/>
                <w:sz w:val="18"/>
              </w:rPr>
              <w:t>Scenario</w:t>
            </w:r>
          </w:p>
        </w:tc>
        <w:tc>
          <w:tcPr>
            <w:tcW w:type="dxa" w:w="3402"/>
          </w:tcPr>
          <w:p>
            <w:pPr>
              <w:spacing w:before="20" w:after="20"/>
            </w:pPr>
            <w:r/>
            <w:r>
              <w:rPr>
                <w:rFonts w:ascii="Times New Roman" w:hAnsi="Times New Roman" w:eastAsia="Times New Roman" w:cs="Times New Roman"/>
                <w:sz w:val="18"/>
              </w:rPr>
              <w:t>network-simple-compact</w:t>
            </w:r>
          </w:p>
        </w:tc>
        <w:tc>
          <w:tcPr>
            <w:tcW w:type="dxa" w:w="3402"/>
          </w:tcPr>
          <w:p>
            <w:pPr>
              <w:spacing w:before="20" w:after="20"/>
            </w:pPr>
            <w:r/>
            <w:r>
              <w:rPr>
                <w:rFonts w:ascii="Times New Roman" w:hAnsi="Times New Roman" w:eastAsia="Times New Roman" w:cs="Times New Roman"/>
                <w:sz w:val="18"/>
              </w:rPr>
              <w:t>granville-harris-park</w:t>
            </w:r>
          </w:p>
        </w:tc>
      </w:tr>
      <w:tr>
        <w:trPr>
          <w:cantSplit/>
        </w:trPr>
        <w:tc>
          <w:tcPr>
            <w:tcW w:type="dxa" w:w="2041"/>
            <w:shd w:val="clear" w:color="auto" w:fill="F2F5FA"/>
          </w:tcPr>
          <w:p>
            <w:pPr>
              <w:spacing w:before="20" w:after="20"/>
            </w:pPr>
            <w:r/>
            <w:r>
              <w:rPr>
                <w:rFonts w:ascii="Times New Roman" w:hAnsi="Times New Roman" w:eastAsia="Times New Roman" w:cs="Times New Roman"/>
                <w:sz w:val="18"/>
              </w:rPr>
              <w:t>Level</w:t>
            </w:r>
          </w:p>
        </w:tc>
        <w:tc>
          <w:tcPr>
            <w:tcW w:type="dxa" w:w="3402"/>
            <w:shd w:val="clear" w:color="auto" w:fill="F2F5FA"/>
          </w:tcPr>
          <w:p>
            <w:pPr>
              <w:spacing w:before="20" w:after="20"/>
            </w:pPr>
            <w:r/>
            <w:r>
              <w:rPr>
                <w:rFonts w:ascii="Times New Roman" w:hAnsi="Times New Roman" w:eastAsia="Times New Roman" w:cs="Times New Roman"/>
                <w:sz w:val="18"/>
              </w:rPr>
              <w:t>87 x 8, four through tracks</w:t>
            </w:r>
          </w:p>
        </w:tc>
        <w:tc>
          <w:tcPr>
            <w:tcW w:type="dxa" w:w="3402"/>
            <w:shd w:val="clear" w:color="auto" w:fill="F2F5FA"/>
          </w:tcPr>
          <w:p>
            <w:pPr>
              <w:spacing w:before="20" w:after="20"/>
            </w:pPr>
            <w:r/>
            <w:r>
              <w:rPr>
                <w:rFonts w:ascii="Times New Roman" w:hAnsi="Times New Roman" w:eastAsia="Times New Roman" w:cs="Times New Roman"/>
                <w:sz w:val="18"/>
              </w:rPr>
              <w:t>20 x 20 Y-link junction</w:t>
            </w:r>
          </w:p>
        </w:tc>
      </w:tr>
      <w:tr>
        <w:trPr>
          <w:cantSplit/>
        </w:trPr>
        <w:tc>
          <w:tcPr>
            <w:tcW w:type="dxa" w:w="2041"/>
          </w:tcPr>
          <w:p>
            <w:pPr>
              <w:spacing w:before="20" w:after="20"/>
            </w:pPr>
            <w:r/>
            <w:r>
              <w:rPr>
                <w:rFonts w:ascii="Times New Roman" w:hAnsi="Times New Roman" w:eastAsia="Times New Roman" w:cs="Times New Roman"/>
                <w:sz w:val="18"/>
              </w:rPr>
              <w:t>Movements</w:t>
            </w:r>
          </w:p>
        </w:tc>
        <w:tc>
          <w:tcPr>
            <w:tcW w:type="dxa" w:w="3402"/>
          </w:tcPr>
          <w:p>
            <w:pPr>
              <w:spacing w:before="20" w:after="20"/>
            </w:pPr>
            <w:r/>
            <w:r>
              <w:rPr>
                <w:rFonts w:ascii="Times New Roman" w:hAnsi="Times New Roman" w:eastAsia="Times New Roman" w:cs="Times New Roman"/>
                <w:sz w:val="18"/>
              </w:rPr>
              <w:t>52</w:t>
            </w:r>
          </w:p>
        </w:tc>
        <w:tc>
          <w:tcPr>
            <w:tcW w:type="dxa" w:w="3402"/>
          </w:tcPr>
          <w:p>
            <w:pPr>
              <w:spacing w:before="20" w:after="20"/>
            </w:pPr>
            <w:r/>
            <w:r>
              <w:rPr>
                <w:rFonts w:ascii="Times New Roman" w:hAnsi="Times New Roman" w:eastAsia="Times New Roman" w:cs="Times New Roman"/>
                <w:sz w:val="18"/>
              </w:rPr>
              <w:t>126</w:t>
            </w:r>
          </w:p>
        </w:tc>
      </w:tr>
      <w:tr>
        <w:trPr>
          <w:cantSplit/>
        </w:trPr>
        <w:tc>
          <w:tcPr>
            <w:tcW w:type="dxa" w:w="2041"/>
            <w:shd w:val="clear" w:color="auto" w:fill="F2F5FA"/>
          </w:tcPr>
          <w:p>
            <w:pPr>
              <w:spacing w:before="20" w:after="20"/>
            </w:pPr>
            <w:r/>
            <w:r>
              <w:rPr>
                <w:rFonts w:ascii="Times New Roman" w:hAnsi="Times New Roman" w:eastAsia="Times New Roman" w:cs="Times New Roman"/>
                <w:sz w:val="18"/>
              </w:rPr>
              <w:t>Episode budget</w:t>
            </w:r>
          </w:p>
        </w:tc>
        <w:tc>
          <w:tcPr>
            <w:tcW w:type="dxa" w:w="3402"/>
            <w:shd w:val="clear" w:color="auto" w:fill="F2F5FA"/>
          </w:tcPr>
          <w:p>
            <w:pPr>
              <w:spacing w:before="20" w:after="20"/>
            </w:pPr>
            <w:r/>
            <w:r>
              <w:rPr>
                <w:rFonts w:ascii="Times New Roman" w:hAnsi="Times New Roman" w:eastAsia="Times New Roman" w:cs="Times New Roman"/>
                <w:sz w:val="18"/>
              </w:rPr>
              <w:t>999 steps</w:t>
            </w:r>
          </w:p>
        </w:tc>
        <w:tc>
          <w:tcPr>
            <w:tcW w:type="dxa" w:w="3402"/>
            <w:shd w:val="clear" w:color="auto" w:fill="F2F5FA"/>
          </w:tcPr>
          <w:p>
            <w:pPr>
              <w:spacing w:before="20" w:after="20"/>
            </w:pPr>
            <w:r/>
            <w:r>
              <w:rPr>
                <w:rFonts w:ascii="Times New Roman" w:hAnsi="Times New Roman" w:eastAsia="Times New Roman" w:cs="Times New Roman"/>
                <w:sz w:val="18"/>
              </w:rPr>
              <w:t>757 steps</w:t>
            </w:r>
          </w:p>
        </w:tc>
      </w:tr>
      <w:tr>
        <w:trPr>
          <w:cantSplit/>
        </w:trPr>
        <w:tc>
          <w:tcPr>
            <w:tcW w:type="dxa" w:w="2041"/>
          </w:tcPr>
          <w:p>
            <w:pPr>
              <w:spacing w:before="20" w:after="20"/>
            </w:pPr>
            <w:r/>
            <w:r>
              <w:rPr>
                <w:rFonts w:ascii="Times New Roman" w:hAnsi="Times New Roman" w:eastAsia="Times New Roman" w:cs="Times New Roman"/>
                <w:sz w:val="18"/>
              </w:rPr>
              <w:t>Disruption</w:t>
            </w:r>
          </w:p>
        </w:tc>
        <w:tc>
          <w:tcPr>
            <w:tcW w:type="dxa" w:w="3402"/>
          </w:tcPr>
          <w:p>
            <w:pPr>
              <w:spacing w:before="20" w:after="20"/>
            </w:pPr>
            <w:r/>
            <w:r>
              <w:rPr>
                <w:rFonts w:ascii="Times New Roman" w:hAnsi="Times New Roman" w:eastAsia="Times New Roman" w:cs="Times New Roman"/>
                <w:sz w:val="18"/>
              </w:rPr>
              <w:t>2 exogenous blockages, 400 steps</w:t>
            </w:r>
          </w:p>
        </w:tc>
        <w:tc>
          <w:tcPr>
            <w:tcW w:type="dxa" w:w="3402"/>
          </w:tcPr>
          <w:p>
            <w:pPr>
              <w:spacing w:before="20" w:after="20"/>
            </w:pPr>
            <w:r/>
            <w:r>
              <w:rPr>
                <w:rFonts w:ascii="Times New Roman" w:hAnsi="Times New Roman" w:eastAsia="Times New Roman" w:cs="Times New Roman"/>
                <w:sz w:val="18"/>
              </w:rPr>
              <w:t>3 train-borne failures, 220 steps</w:t>
            </w:r>
          </w:p>
        </w:tc>
      </w:tr>
      <w:tr>
        <w:trPr>
          <w:cantSplit/>
        </w:trPr>
        <w:tc>
          <w:tcPr>
            <w:tcW w:type="dxa" w:w="2041"/>
            <w:shd w:val="clear" w:color="auto" w:fill="F2F5FA"/>
          </w:tcPr>
          <w:p>
            <w:pPr>
              <w:spacing w:before="20" w:after="20"/>
            </w:pPr>
            <w:r/>
            <w:r>
              <w:rPr>
                <w:rFonts w:ascii="Times New Roman" w:hAnsi="Times New Roman" w:eastAsia="Times New Roman" w:cs="Times New Roman"/>
                <w:sz w:val="18"/>
              </w:rPr>
              <w:t>Observation</w:t>
            </w:r>
          </w:p>
        </w:tc>
        <w:tc>
          <w:tcPr>
            <w:tcW w:type="dxa" w:w="3402"/>
            <w:shd w:val="clear" w:color="auto" w:fill="F2F5FA"/>
          </w:tcPr>
          <w:p>
            <w:pPr>
              <w:spacing w:before="20" w:after="20"/>
            </w:pPr>
            <w:r/>
            <w:r>
              <w:rPr>
                <w:rFonts w:ascii="Times New Roman" w:hAnsi="Times New Roman" w:eastAsia="Times New Roman" w:cs="Times New Roman"/>
                <w:sz w:val="18"/>
              </w:rPr>
              <w:t>tree depth 3, radius 50, plus 12 features (1032)</w:t>
            </w:r>
          </w:p>
        </w:tc>
        <w:tc>
          <w:tcPr>
            <w:tcW w:type="dxa" w:w="3402"/>
            <w:shd w:val="clear" w:color="auto" w:fill="F2F5FA"/>
          </w:tcPr>
          <w:p>
            <w:pPr>
              <w:spacing w:before="20" w:after="20"/>
            </w:pPr>
            <w:r/>
            <w:r>
              <w:rPr>
                <w:rFonts w:ascii="Times New Roman" w:hAnsi="Times New Roman" w:eastAsia="Times New Roman" w:cs="Times New Roman"/>
                <w:sz w:val="18"/>
              </w:rPr>
              <w:t>same</w:t>
            </w:r>
          </w:p>
        </w:tc>
      </w:tr>
      <w:tr>
        <w:trPr>
          <w:cantSplit/>
        </w:trPr>
        <w:tc>
          <w:tcPr>
            <w:tcW w:type="dxa" w:w="2041"/>
          </w:tcPr>
          <w:p>
            <w:pPr>
              <w:spacing w:before="20" w:after="20"/>
            </w:pPr>
            <w:r/>
            <w:r>
              <w:rPr>
                <w:rFonts w:ascii="Times New Roman" w:hAnsi="Times New Roman" w:eastAsia="Times New Roman" w:cs="Times New Roman"/>
                <w:sz w:val="18"/>
              </w:rPr>
              <w:t>Action</w:t>
            </w:r>
          </w:p>
        </w:tc>
        <w:tc>
          <w:tcPr>
            <w:tcW w:type="dxa" w:w="3402"/>
          </w:tcPr>
          <w:p>
            <w:pPr>
              <w:spacing w:before="20" w:after="20"/>
            </w:pPr>
            <w:r/>
            <w:r>
              <w:rPr>
                <w:rFonts w:ascii="Times New Roman" w:hAnsi="Times New Roman" w:eastAsia="Times New Roman" w:cs="Times New Roman"/>
                <w:sz w:val="18"/>
              </w:rPr>
              <w:t>Discrete(5) per train</w:t>
            </w:r>
          </w:p>
        </w:tc>
        <w:tc>
          <w:tcPr>
            <w:tcW w:type="dxa" w:w="3402"/>
          </w:tcPr>
          <w:p>
            <w:pPr>
              <w:spacing w:before="20" w:after="20"/>
            </w:pPr>
            <w:r/>
            <w:r>
              <w:rPr>
                <w:rFonts w:ascii="Times New Roman" w:hAnsi="Times New Roman" w:eastAsia="Times New Roman" w:cs="Times New Roman"/>
                <w:sz w:val="18"/>
              </w:rPr>
              <w:t>same</w:t>
            </w:r>
          </w:p>
        </w:tc>
      </w:tr>
      <w:tr>
        <w:trPr>
          <w:cantSplit/>
        </w:trPr>
        <w:tc>
          <w:tcPr>
            <w:tcW w:type="dxa" w:w="2041"/>
            <w:shd w:val="clear" w:color="auto" w:fill="F2F5FA"/>
          </w:tcPr>
          <w:p>
            <w:pPr>
              <w:spacing w:before="20" w:after="20"/>
            </w:pPr>
            <w:r/>
            <w:r>
              <w:rPr>
                <w:rFonts w:ascii="Times New Roman" w:hAnsi="Times New Roman" w:eastAsia="Times New Roman" w:cs="Times New Roman"/>
                <w:sz w:val="18"/>
              </w:rPr>
              <w:t>Held-out seeds</w:t>
            </w:r>
          </w:p>
        </w:tc>
        <w:tc>
          <w:tcPr>
            <w:tcW w:type="dxa" w:w="3402"/>
            <w:shd w:val="clear" w:color="auto" w:fill="F2F5FA"/>
          </w:tcPr>
          <w:p>
            <w:pPr>
              <w:spacing w:before="20" w:after="20"/>
            </w:pPr>
            <w:r/>
            <w:r>
              <w:rPr>
                <w:rFonts w:ascii="Times New Roman" w:hAnsi="Times New Roman" w:eastAsia="Times New Roman" w:cs="Times New Roman"/>
                <w:sz w:val="18"/>
              </w:rPr>
              <w:t>3000 to 3029</w:t>
            </w:r>
          </w:p>
        </w:tc>
        <w:tc>
          <w:tcPr>
            <w:tcW w:type="dxa" w:w="3402"/>
            <w:shd w:val="clear" w:color="auto" w:fill="F2F5FA"/>
          </w:tcPr>
          <w:p>
            <w:pPr>
              <w:spacing w:before="20" w:after="20"/>
            </w:pPr>
            <w:r/>
            <w:r>
              <w:rPr>
                <w:rFonts w:ascii="Times New Roman" w:hAnsi="Times New Roman" w:eastAsia="Times New Roman" w:cs="Times New Roman"/>
                <w:sz w:val="18"/>
              </w:rPr>
              <w:t>3000 to 3029 (legacy); 3001, 3002 (current)</w:t>
            </w:r>
          </w:p>
        </w:tc>
      </w:tr>
      <w:tr>
        <w:trPr>
          <w:cantSplit/>
        </w:trPr>
        <w:tc>
          <w:tcPr>
            <w:tcW w:type="dxa" w:w="2041"/>
          </w:tcPr>
          <w:p>
            <w:pPr>
              <w:spacing w:before="20" w:after="20"/>
            </w:pPr>
            <w:r/>
            <w:r>
              <w:rPr>
                <w:rFonts w:ascii="Times New Roman" w:hAnsi="Times New Roman" w:eastAsia="Times New Roman" w:cs="Times New Roman"/>
                <w:sz w:val="18"/>
              </w:rPr>
              <w:t>Baseline</w:t>
            </w:r>
          </w:p>
        </w:tc>
        <w:tc>
          <w:tcPr>
            <w:tcW w:type="dxa" w:w="3402"/>
          </w:tcPr>
          <w:p>
            <w:pPr>
              <w:spacing w:before="20" w:after="20"/>
            </w:pPr>
            <w:r/>
            <w:r>
              <w:rPr>
                <w:rFonts w:ascii="Times New Roman" w:hAnsi="Times New Roman" w:eastAsia="Times New Roman" w:cs="Times New Roman"/>
                <w:sz w:val="18"/>
              </w:rPr>
              <w:t>forward-only reflex</w:t>
            </w:r>
          </w:p>
        </w:tc>
        <w:tc>
          <w:tcPr>
            <w:tcW w:type="dxa" w:w="3402"/>
          </w:tcPr>
          <w:p>
            <w:pPr>
              <w:spacing w:before="20" w:after="20"/>
            </w:pPr>
            <w:r/>
            <w:r>
              <w:rPr>
                <w:rFonts w:ascii="Times New Roman" w:hAnsi="Times New Roman" w:eastAsia="Times New Roman" w:cs="Times New Roman"/>
                <w:sz w:val="18"/>
              </w:rPr>
              <w:t>scripted route follower</w:t>
            </w:r>
          </w:p>
        </w:tc>
      </w:tr>
    </w:tbl>
    <w:p>
      <w:pPr>
        <w:spacing w:before="60" w:after="240"/>
      </w:pPr>
      <w:r>
        <w:rPr>
          <w:rFonts w:ascii="Times New Roman" w:hAnsi="Times New Roman" w:eastAsia="Times New Roman" w:cs="Times New Roman"/>
          <w:i/>
          <w:color w:val="404040"/>
          <w:sz w:val="18"/>
        </w:rPr>
        <w:t>Table 1: Experimental settings. The maps share the observation, action space and evaluation protocol; they differ in disruption mechanism because only the corridor has a switchable pair of parallel tracks.</w:t>
      </w:r>
    </w:p>
    <w:p>
      <w:pPr>
        <w:spacing w:after="120"/>
      </w:pPr>
      <w:r>
        <w:rPr>
          <w:rFonts w:ascii="Times New Roman" w:hAnsi="Times New Roman" w:eastAsia="Times New Roman" w:cs="Times New Roman"/>
        </w:rPr>
        <w:t>The regime and the policy are CPU-bound: Flatland steps the fleet in Python and the 1032-d tree observation is rebuilt for every agent at every step. The shipped corridor run took 1,865 s for 1,224,704 timesteps including thirteen four-episode evaluations (about 660 environment steps per second), and once startup is paid each evaluation interval costs about 148 s, so the evaluator rather than the optimiser sets the wall clock. Training ran on an x86_64 workstation with an RTX 3080 (the system_info recorded in the checkpoint); the notebook and figures also run on an aarch64 relay with the same pinned stack, where the sixteen tests pass. Every table below is regenerated from the CSVs in results/.</w:t>
      </w:r>
    </w:p>
    <w:p>
      <w:pPr>
        <w:keepNext/>
        <w:spacing w:before="240" w:after="160"/>
      </w:pPr>
      <w:r>
        <w:rPr>
          <w:rFonts w:ascii="Times New Roman" w:hAnsi="Times New Roman" w:eastAsia="Times New Roman" w:cs="Times New Roman"/>
          <w:b/>
          <w:sz w:val="36"/>
        </w:rPr>
        <w:t>3.2 Pre-Processing</w:t>
      </w:r>
    </w:p>
    <w:p>
      <w:pPr>
        <w:spacing w:after="60"/>
        <w:ind w:left="369" w:hanging="227"/>
      </w:pPr>
      <w:r>
        <w:rPr>
          <w:rFonts w:ascii="Times New Roman" w:hAnsi="Times New Roman" w:eastAsia="Times New Roman" w:cs="Times New Roman"/>
        </w:rPr>
        <w:t>•  Service extraction: one Thursday service period, with rail links rather than straight lines giving traversal times.</w:t>
      </w:r>
    </w:p>
    <w:p>
      <w:pPr>
        <w:spacing w:after="60"/>
        <w:ind w:left="369" w:hanging="227"/>
      </w:pPr>
      <w:r>
        <w:rPr>
          <w:rFonts w:ascii="Times New Roman" w:hAnsi="Times New Roman" w:eastAsia="Times New Roman" w:cs="Times New Roman"/>
        </w:rPr>
        <w:t>•  Corridor level: four adjacent through tracks with the ladder rows removed; the compact map leaves a two-cell diversion premium at 7 of the 15 stop types.</w:t>
      </w:r>
    </w:p>
    <w:p>
      <w:pPr>
        <w:spacing w:after="60"/>
        <w:ind w:left="369" w:hanging="227"/>
      </w:pPr>
      <w:r>
        <w:rPr>
          <w:rFonts w:ascii="Times New Roman" w:hAnsi="Times New Roman" w:eastAsia="Times New Roman" w:cs="Times New Roman"/>
        </w:rPr>
        <w:t>•  Junction level: a 20 x 20 level from the published track plan, with the turn sequence read out of the timetable as a route dictionary.</w:t>
      </w:r>
    </w:p>
    <w:p>
      <w:pPr>
        <w:spacing w:after="60"/>
        <w:ind w:left="369" w:hanging="227"/>
      </w:pPr>
      <w:r>
        <w:rPr>
          <w:rFonts w:ascii="Times New Roman" w:hAnsi="Times New Roman" w:eastAsia="Times New Roman" w:cs="Times New Roman"/>
        </w:rPr>
        <w:t>•  Deadlines and episode budget: calibrated from a reference rollout, with the budget extended past the last arrival because the serialised value cut 15 junction trains off mid-journey.</w:t>
      </w:r>
    </w:p>
    <w:p>
      <w:pPr>
        <w:spacing w:after="60"/>
        <w:ind w:left="369" w:hanging="227"/>
      </w:pPr>
      <w:r>
        <w:rPr>
          <w:rFonts w:ascii="Times New Roman" w:hAnsi="Times New Roman" w:eastAsia="Times New Roman" w:cs="Times New Roman"/>
        </w:rPr>
        <w:t>•  Multi-cell targets: the target set is rebuilt from the agent's own last waypoint group after every reset, otherwise a diverted train can never finish.</w:t>
      </w:r>
    </w:p>
    <w:p>
      <w:pPr>
        <w:spacing w:after="60"/>
        <w:ind w:left="369" w:hanging="227"/>
      </w:pPr>
      <w:r>
        <w:rPr>
          <w:rFonts w:ascii="Times New Roman" w:hAnsi="Times New Roman" w:eastAsia="Times New Roman" w:cs="Times New Roman"/>
        </w:rPr>
        <w:t>•  Dense reward: the metric as a potential, verified against DefaultRewards per agent and per term.</w:t>
      </w:r>
    </w:p>
    <w:p>
      <w:pPr>
        <w:spacing w:after="60"/>
        <w:ind w:left="369" w:hanging="227"/>
      </w:pPr>
      <w:r>
        <w:rPr>
          <w:rFonts w:ascii="Times New Roman" w:hAnsi="Times New Roman" w:eastAsia="Times New Roman" w:cs="Times New Roman"/>
        </w:rPr>
        <w:t>•  Metric hygiene: delay_all replaced a total-delay statistic that went NaN when nothing finished and negative when few did.</w:t>
      </w:r>
    </w:p>
    <w:p>
      <w:pPr>
        <w:spacing w:after="60"/>
        <w:ind w:left="369" w:hanging="227"/>
      </w:pPr>
      <w:r>
        <w:rPr>
          <w:rFonts w:ascii="Times New Roman" w:hAnsi="Times New Roman" w:eastAsia="Times New Roman" w:cs="Times New Roman"/>
        </w:rPr>
        <w:t>•  Regime hygiene: the blockage is exogenous, so the disrupted condition cannot collapse into the undisrupted one.</w:t>
      </w:r>
    </w:p>
    <w:p>
      <w:pPr>
        <w:keepNext/>
        <w:spacing w:before="240" w:after="160"/>
      </w:pPr>
      <w:r>
        <w:rPr>
          <w:rFonts w:ascii="Times New Roman" w:hAnsi="Times New Roman" w:eastAsia="Times New Roman" w:cs="Times New Roman"/>
          <w:b/>
          <w:sz w:val="36"/>
        </w:rPr>
        <w:t>3.3 Experimental Results</w:t>
      </w:r>
    </w:p>
    <w:p>
      <w:pPr>
        <w:spacing w:after="120"/>
      </w:pPr>
      <w:r>
        <w:rPr>
          <w:rFonts w:ascii="Times New Roman" w:hAnsi="Times New Roman" w:eastAsia="Times New Roman" w:cs="Times New Roman"/>
        </w:rPr>
        <w:t>The corridor result is the headline. PPO improves the score from -0.0662 to -0.0005, a mean paired gain of +0.0657 with a median of +0.0648 (Table 2). It wins all 30 seeds and every train completes in both arms, so the gain is punctuality rather than cancellation: total lateness falls from 3321 steps to -70. The on-time share moves only from 0.625 to 0.635, so the gain is in how late the affected trains are, not in which trains complete. Figure 6 shows the per-seed spread.</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rPr>
          <w:cantSplit/>
          <w:tblHeader/>
        </w:trPr>
        <w:tc>
          <w:tcPr>
            <w:tcW w:type="dxa" w:w="1106"/>
            <w:shd w:val="clear" w:color="auto" w:fill="1F3864"/>
          </w:tcPr>
          <w:p>
            <w:pPr>
              <w:spacing w:before="20" w:after="20"/>
            </w:pPr>
            <w:r/>
            <w:r>
              <w:rPr>
                <w:rFonts w:ascii="Times New Roman" w:hAnsi="Times New Roman" w:eastAsia="Times New Roman" w:cs="Times New Roman"/>
                <w:b/>
                <w:color w:val="FFFFFF"/>
                <w:sz w:val="18"/>
              </w:rPr>
              <w:t>Arm</w:t>
            </w:r>
          </w:p>
        </w:tc>
        <w:tc>
          <w:tcPr>
            <w:tcW w:type="dxa" w:w="1051"/>
            <w:shd w:val="clear" w:color="auto" w:fill="1F3864"/>
          </w:tcPr>
          <w:p>
            <w:pPr>
              <w:spacing w:before="20" w:after="20"/>
            </w:pPr>
            <w:r/>
            <w:r>
              <w:rPr>
                <w:rFonts w:ascii="Times New Roman" w:hAnsi="Times New Roman" w:eastAsia="Times New Roman" w:cs="Times New Roman"/>
                <w:b/>
                <w:color w:val="FFFFFF"/>
                <w:sz w:val="18"/>
              </w:rPr>
              <w:t>Baseline</w:t>
            </w:r>
          </w:p>
        </w:tc>
        <w:tc>
          <w:tcPr>
            <w:tcW w:type="dxa" w:w="1051"/>
            <w:shd w:val="clear" w:color="auto" w:fill="1F3864"/>
          </w:tcPr>
          <w:p>
            <w:pPr>
              <w:spacing w:before="20" w:after="20"/>
            </w:pPr>
            <w:r/>
            <w:r>
              <w:rPr>
                <w:rFonts w:ascii="Times New Roman" w:hAnsi="Times New Roman" w:eastAsia="Times New Roman" w:cs="Times New Roman"/>
                <w:b/>
                <w:color w:val="FFFFFF"/>
                <w:sz w:val="18"/>
              </w:rPr>
              <w:t>Arm</w:t>
            </w:r>
          </w:p>
        </w:tc>
        <w:tc>
          <w:tcPr>
            <w:tcW w:type="dxa" w:w="995"/>
            <w:shd w:val="clear" w:color="auto" w:fill="1F3864"/>
          </w:tcPr>
          <w:p>
            <w:pPr>
              <w:spacing w:before="20" w:after="20"/>
            </w:pPr>
            <w:r/>
            <w:r>
              <w:rPr>
                <w:rFonts w:ascii="Times New Roman" w:hAnsi="Times New Roman" w:eastAsia="Times New Roman" w:cs="Times New Roman"/>
                <w:b/>
                <w:color w:val="FFFFFF"/>
                <w:sz w:val="18"/>
              </w:rPr>
              <w:t>Delta</w:t>
            </w:r>
          </w:p>
        </w:tc>
        <w:tc>
          <w:tcPr>
            <w:tcW w:type="dxa" w:w="829"/>
            <w:shd w:val="clear" w:color="auto" w:fill="1F3864"/>
          </w:tcPr>
          <w:p>
            <w:pPr>
              <w:spacing w:before="20" w:after="20"/>
            </w:pPr>
            <w:r/>
            <w:r>
              <w:rPr>
                <w:rFonts w:ascii="Times New Roman" w:hAnsi="Times New Roman" w:eastAsia="Times New Roman" w:cs="Times New Roman"/>
                <w:b/>
                <w:color w:val="FFFFFF"/>
                <w:sz w:val="18"/>
              </w:rPr>
              <w:t>Wins</w:t>
            </w:r>
          </w:p>
        </w:tc>
        <w:tc>
          <w:tcPr>
            <w:tcW w:type="dxa" w:w="1106"/>
            <w:shd w:val="clear" w:color="auto" w:fill="1F3864"/>
          </w:tcPr>
          <w:p>
            <w:pPr>
              <w:spacing w:before="20" w:after="20"/>
            </w:pPr>
            <w:r/>
            <w:r>
              <w:rPr>
                <w:rFonts w:ascii="Times New Roman" w:hAnsi="Times New Roman" w:eastAsia="Times New Roman" w:cs="Times New Roman"/>
                <w:b/>
                <w:color w:val="FFFFFF"/>
                <w:sz w:val="18"/>
              </w:rPr>
              <w:t>Sign test p</w:t>
            </w:r>
          </w:p>
        </w:tc>
        <w:tc>
          <w:tcPr>
            <w:tcW w:type="dxa" w:w="1493"/>
            <w:shd w:val="clear" w:color="auto" w:fill="1F3864"/>
          </w:tcPr>
          <w:p>
            <w:pPr>
              <w:spacing w:before="20" w:after="20"/>
            </w:pPr>
            <w:r/>
            <w:r>
              <w:rPr>
                <w:rFonts w:ascii="Times New Roman" w:hAnsi="Times New Roman" w:eastAsia="Times New Roman" w:cs="Times New Roman"/>
                <w:b/>
                <w:color w:val="FFFFFF"/>
                <w:sz w:val="18"/>
              </w:rPr>
              <w:t>Completion</w:t>
            </w:r>
          </w:p>
        </w:tc>
        <w:tc>
          <w:tcPr>
            <w:tcW w:type="dxa" w:w="1327"/>
            <w:shd w:val="clear" w:color="auto" w:fill="1F3864"/>
          </w:tcPr>
          <w:p>
            <w:pPr>
              <w:spacing w:before="20" w:after="20"/>
            </w:pPr>
            <w:r/>
            <w:r>
              <w:rPr>
                <w:rFonts w:ascii="Times New Roman" w:hAnsi="Times New Roman" w:eastAsia="Times New Roman" w:cs="Times New Roman"/>
                <w:b/>
                <w:color w:val="FFFFFF"/>
                <w:sz w:val="18"/>
              </w:rPr>
              <w:t>delay_all</w:t>
            </w:r>
          </w:p>
        </w:tc>
      </w:tr>
      <w:tr>
        <w:trPr>
          <w:cantSplit/>
        </w:trPr>
        <w:tc>
          <w:tcPr>
            <w:tcW w:type="dxa" w:w="1106"/>
          </w:tcPr>
          <w:p>
            <w:pPr>
              <w:spacing w:before="20" w:after="20"/>
            </w:pPr>
            <w:r/>
            <w:r>
              <w:rPr>
                <w:rFonts w:ascii="Times New Roman" w:hAnsi="Times New Roman" w:eastAsia="Times New Roman" w:cs="Times New Roman"/>
                <w:sz w:val="18"/>
              </w:rPr>
              <w:t>PPO</w:t>
            </w:r>
          </w:p>
        </w:tc>
        <w:tc>
          <w:tcPr>
            <w:tcW w:type="dxa" w:w="1051"/>
          </w:tcPr>
          <w:p>
            <w:pPr>
              <w:spacing w:before="20" w:after="20"/>
            </w:pPr>
            <w:r/>
            <w:r>
              <w:rPr>
                <w:rFonts w:ascii="Times New Roman" w:hAnsi="Times New Roman" w:eastAsia="Times New Roman" w:cs="Times New Roman"/>
                <w:sz w:val="18"/>
              </w:rPr>
              <w:t>-0.0662</w:t>
            </w:r>
          </w:p>
        </w:tc>
        <w:tc>
          <w:tcPr>
            <w:tcW w:type="dxa" w:w="1051"/>
          </w:tcPr>
          <w:p>
            <w:pPr>
              <w:spacing w:before="20" w:after="20"/>
            </w:pPr>
            <w:r/>
            <w:r>
              <w:rPr>
                <w:rFonts w:ascii="Times New Roman" w:hAnsi="Times New Roman" w:eastAsia="Times New Roman" w:cs="Times New Roman"/>
                <w:sz w:val="18"/>
              </w:rPr>
              <w:t>-0.0005</w:t>
            </w:r>
          </w:p>
        </w:tc>
        <w:tc>
          <w:tcPr>
            <w:tcW w:type="dxa" w:w="995"/>
          </w:tcPr>
          <w:p>
            <w:pPr>
              <w:spacing w:before="20" w:after="20"/>
            </w:pPr>
            <w:r/>
            <w:r>
              <w:rPr>
                <w:rFonts w:ascii="Times New Roman" w:hAnsi="Times New Roman" w:eastAsia="Times New Roman" w:cs="Times New Roman"/>
                <w:sz w:val="18"/>
              </w:rPr>
              <w:t>+0.0657</w:t>
            </w:r>
          </w:p>
        </w:tc>
        <w:tc>
          <w:tcPr>
            <w:tcW w:type="dxa" w:w="829"/>
          </w:tcPr>
          <w:p>
            <w:pPr>
              <w:spacing w:before="20" w:after="20"/>
            </w:pPr>
            <w:r/>
            <w:r>
              <w:rPr>
                <w:rFonts w:ascii="Times New Roman" w:hAnsi="Times New Roman" w:eastAsia="Times New Roman" w:cs="Times New Roman"/>
                <w:sz w:val="18"/>
              </w:rPr>
              <w:t>30/30</w:t>
            </w:r>
          </w:p>
        </w:tc>
        <w:tc>
          <w:tcPr>
            <w:tcW w:type="dxa" w:w="1106"/>
          </w:tcPr>
          <w:p>
            <w:pPr>
              <w:spacing w:before="20" w:after="20"/>
            </w:pPr>
            <w:r/>
            <w:r>
              <w:rPr>
                <w:rFonts w:ascii="Times New Roman" w:hAnsi="Times New Roman" w:eastAsia="Times New Roman" w:cs="Times New Roman"/>
                <w:sz w:val="18"/>
              </w:rPr>
              <w:t>&lt; 1e-4</w:t>
            </w:r>
          </w:p>
        </w:tc>
        <w:tc>
          <w:tcPr>
            <w:tcW w:type="dxa" w:w="1493"/>
          </w:tcPr>
          <w:p>
            <w:pPr>
              <w:spacing w:before="20" w:after="20"/>
            </w:pPr>
            <w:r/>
            <w:r>
              <w:rPr>
                <w:rFonts w:ascii="Times New Roman" w:hAnsi="Times New Roman" w:eastAsia="Times New Roman" w:cs="Times New Roman"/>
                <w:sz w:val="18"/>
              </w:rPr>
              <w:t>1.000 → 1.000</w:t>
            </w:r>
          </w:p>
        </w:tc>
        <w:tc>
          <w:tcPr>
            <w:tcW w:type="dxa" w:w="1327"/>
          </w:tcPr>
          <w:p>
            <w:pPr>
              <w:spacing w:before="20" w:after="20"/>
            </w:pPr>
            <w:r/>
            <w:r>
              <w:rPr>
                <w:rFonts w:ascii="Times New Roman" w:hAnsi="Times New Roman" w:eastAsia="Times New Roman" w:cs="Times New Roman"/>
                <w:sz w:val="18"/>
              </w:rPr>
              <w:t>3321 → -70</w:t>
            </w:r>
          </w:p>
        </w:tc>
      </w:tr>
    </w:tbl>
    <w:p>
      <w:pPr>
        <w:spacing w:before="60" w:after="240"/>
      </w:pPr>
      <w:r>
        <w:rPr>
          <w:rFonts w:ascii="Times New Roman" w:hAnsi="Times New Roman" w:eastAsia="Times New Roman" w:cs="Times New Roman"/>
          <w:i/>
          <w:color w:val="404040"/>
          <w:sz w:val="18"/>
        </w:rPr>
        <w:t>Table 2: Corridor, 30 paired held-out seeds under the block regime. Only PPO has the full paired test; Table 3 reports what the other two algorithms did in training.</w:t>
      </w:r>
    </w:p>
    <w:p>
      <w:pPr>
        <w:spacing w:before="120" w:after="40"/>
        <w:jc w:val="center"/>
      </w:pPr>
      <w:r>
        <w:drawing>
          <wp:inline>
            <wp:extent cx="3960000" cy="2880000"/>
            <wp:docPr id="12" name="Picture 12"/>
            <wp:cNvGraphicFramePr>
              <a:graphicFrameLocks noChangeAspect="1"/>
            </wp:cNvGraphicFramePr>
            <a:graphic>
              <a:graphicData uri="http://schemas.openxmlformats.org/drawingml/2006/picture">
                <pic:pic>
                  <pic:nvPicPr>
                    <pic:cNvPr id="0" name="fig_delta.png"/>
                    <pic:cNvPicPr/>
                  </pic:nvPicPr>
                  <pic:blipFill>
                    <a:blip r:embed="rId27"/>
                    <a:stretch>
                      <a:fillRect/>
                    </a:stretch>
                  </pic:blipFill>
                  <pic:spPr>
                    <a:xfrm>
                      <a:off x="0" y="0"/>
                      <a:ext cx="3960000" cy="2880000"/>
                    </a:xfrm>
                    <a:prstGeom prst="rect"/>
                  </pic:spPr>
                </pic:pic>
              </a:graphicData>
            </a:graphic>
          </wp:inline>
        </w:drawing>
      </w:r>
    </w:p>
    <w:p>
      <w:pPr>
        <w:spacing w:before="60" w:after="240"/>
      </w:pPr>
      <w:r>
        <w:rPr>
          <w:rFonts w:ascii="Times New Roman" w:hAnsi="Times New Roman" w:eastAsia="Times New Roman" w:cs="Times New Roman"/>
          <w:i/>
          <w:color w:val="404040"/>
          <w:sz w:val="18"/>
        </w:rPr>
        <w:t>Figure 6: The 30 per-seed differences behind Table 2. All 30 are positive, with a mean of +0.0657 and a median of +0.0648.</w:t>
      </w:r>
    </w:p>
    <w:p>
      <w:pPr>
        <w:spacing w:after="120"/>
      </w:pPr>
      <w:r>
        <w:rPr>
          <w:rFonts w:ascii="Times New Roman" w:hAnsi="Times New Roman" w:eastAsia="Times New Roman" w:cs="Times New Roman"/>
        </w:rPr>
        <w:t>The two independent algorithms are the control for the claim that learning the crossing is not automatic; Figure 7 traces all three arms over the training budget.</w:t>
      </w:r>
    </w:p>
    <w:tbl>
      <w:tblPr>
        <w:tblStyle w:val="TableGrid"/>
        <w:tblW w:type="auto" w:w="0"/>
        <w:jc w:val="center"/>
        <w:tblLook w:firstColumn="1" w:firstRow="1" w:lastColumn="0" w:lastRow="0" w:noHBand="0" w:noVBand="1" w:val="04A0"/>
      </w:tblPr>
      <w:tblGrid>
        <w:gridCol w:w="1805"/>
        <w:gridCol w:w="1805"/>
        <w:gridCol w:w="1805"/>
        <w:gridCol w:w="1805"/>
        <w:gridCol w:w="1805"/>
      </w:tblGrid>
      <w:tr>
        <w:trPr>
          <w:cantSplit/>
          <w:tblHeader/>
        </w:trPr>
        <w:tc>
          <w:tcPr>
            <w:tcW w:type="dxa" w:w="1814"/>
            <w:shd w:val="clear" w:color="auto" w:fill="1F3864"/>
          </w:tcPr>
          <w:p>
            <w:pPr>
              <w:spacing w:before="20" w:after="20"/>
            </w:pPr>
            <w:r/>
            <w:r>
              <w:rPr>
                <w:rFonts w:ascii="Times New Roman" w:hAnsi="Times New Roman" w:eastAsia="Times New Roman" w:cs="Times New Roman"/>
                <w:b/>
                <w:color w:val="FFFFFF"/>
                <w:sz w:val="18"/>
              </w:rPr>
              <w:t>Arm</w:t>
            </w:r>
          </w:p>
        </w:tc>
        <w:tc>
          <w:tcPr>
            <w:tcW w:type="dxa" w:w="1474"/>
            <w:shd w:val="clear" w:color="auto" w:fill="1F3864"/>
          </w:tcPr>
          <w:p>
            <w:pPr>
              <w:spacing w:before="20" w:after="20"/>
            </w:pPr>
            <w:r/>
            <w:r>
              <w:rPr>
                <w:rFonts w:ascii="Times New Roman" w:hAnsi="Times New Roman" w:eastAsia="Times New Roman" w:cs="Times New Roman"/>
                <w:b/>
                <w:color w:val="FFFFFF"/>
                <w:sz w:val="18"/>
              </w:rPr>
              <w:t>Best checkpoint</w:t>
            </w:r>
          </w:p>
        </w:tc>
        <w:tc>
          <w:tcPr>
            <w:tcW w:type="dxa" w:w="1361"/>
            <w:shd w:val="clear" w:color="auto" w:fill="1F3864"/>
          </w:tcPr>
          <w:p>
            <w:pPr>
              <w:spacing w:before="20" w:after="20"/>
            </w:pPr>
            <w:r/>
            <w:r>
              <w:rPr>
                <w:rFonts w:ascii="Times New Roman" w:hAnsi="Times New Roman" w:eastAsia="Times New Roman" w:cs="Times New Roman"/>
                <w:b/>
                <w:color w:val="FFFFFF"/>
                <w:sz w:val="18"/>
              </w:rPr>
              <w:t>Internal score</w:t>
            </w:r>
          </w:p>
        </w:tc>
        <w:tc>
          <w:tcPr>
            <w:tcW w:type="dxa" w:w="1134"/>
            <w:shd w:val="clear" w:color="auto" w:fill="1F3864"/>
          </w:tcPr>
          <w:p>
            <w:pPr>
              <w:spacing w:before="20" w:after="20"/>
            </w:pPr>
            <w:r/>
            <w:r>
              <w:rPr>
                <w:rFonts w:ascii="Times New Roman" w:hAnsi="Times New Roman" w:eastAsia="Times New Roman" w:cs="Times New Roman"/>
                <w:b/>
                <w:color w:val="FFFFFF"/>
                <w:sz w:val="18"/>
              </w:rPr>
              <w:t>Completion</w:t>
            </w:r>
          </w:p>
        </w:tc>
        <w:tc>
          <w:tcPr>
            <w:tcW w:type="dxa" w:w="3175"/>
            <w:shd w:val="clear" w:color="auto" w:fill="1F3864"/>
          </w:tcPr>
          <w:p>
            <w:pPr>
              <w:spacing w:before="20" w:after="20"/>
            </w:pPr>
            <w:r/>
            <w:r>
              <w:rPr>
                <w:rFonts w:ascii="Times New Roman" w:hAnsi="Times New Roman" w:eastAsia="Times New Roman" w:cs="Times New Roman"/>
                <w:b/>
                <w:color w:val="FFFFFF"/>
                <w:sz w:val="18"/>
              </w:rPr>
              <w:t>Behaviour in Figure 4</w:t>
            </w:r>
          </w:p>
        </w:tc>
      </w:tr>
      <w:tr>
        <w:trPr>
          <w:cantSplit/>
        </w:trPr>
        <w:tc>
          <w:tcPr>
            <w:tcW w:type="dxa" w:w="1814"/>
          </w:tcPr>
          <w:p>
            <w:pPr>
              <w:spacing w:before="20" w:after="20"/>
            </w:pPr>
            <w:r/>
            <w:r>
              <w:rPr>
                <w:rFonts w:ascii="Times New Roman" w:hAnsi="Times New Roman" w:eastAsia="Times New Roman" w:cs="Times New Roman"/>
                <w:sz w:val="18"/>
              </w:rPr>
              <w:t>PPO (warm start)</w:t>
            </w:r>
          </w:p>
        </w:tc>
        <w:tc>
          <w:tcPr>
            <w:tcW w:type="dxa" w:w="1474"/>
          </w:tcPr>
          <w:p>
            <w:pPr>
              <w:spacing w:before="20" w:after="20"/>
            </w:pPr>
            <w:r/>
            <w:r>
              <w:rPr>
                <w:rFonts w:ascii="Times New Roman" w:hAnsi="Times New Roman" w:eastAsia="Times New Roman" w:cs="Times New Roman"/>
                <w:sz w:val="18"/>
              </w:rPr>
              <w:t>745k</w:t>
            </w:r>
          </w:p>
        </w:tc>
        <w:tc>
          <w:tcPr>
            <w:tcW w:type="dxa" w:w="1361"/>
          </w:tcPr>
          <w:p>
            <w:pPr>
              <w:spacing w:before="20" w:after="20"/>
            </w:pPr>
            <w:r/>
            <w:r>
              <w:rPr>
                <w:rFonts w:ascii="Times New Roman" w:hAnsi="Times New Roman" w:eastAsia="Times New Roman" w:cs="Times New Roman"/>
                <w:sz w:val="18"/>
              </w:rPr>
              <w:t>-0.0005</w:t>
            </w:r>
          </w:p>
        </w:tc>
        <w:tc>
          <w:tcPr>
            <w:tcW w:type="dxa" w:w="1134"/>
          </w:tcPr>
          <w:p>
            <w:pPr>
              <w:spacing w:before="20" w:after="20"/>
            </w:pPr>
            <w:r/>
            <w:r>
              <w:rPr>
                <w:rFonts w:ascii="Times New Roman" w:hAnsi="Times New Roman" w:eastAsia="Times New Roman" w:cs="Times New Roman"/>
                <w:sz w:val="18"/>
              </w:rPr>
              <w:t>1.000</w:t>
            </w:r>
          </w:p>
        </w:tc>
        <w:tc>
          <w:tcPr>
            <w:tcW w:type="dxa" w:w="3175"/>
          </w:tcPr>
          <w:p>
            <w:pPr>
              <w:spacing w:before="20" w:after="20"/>
            </w:pPr>
            <w:r/>
            <w:r>
              <w:rPr>
                <w:rFonts w:ascii="Times New Roman" w:hAnsi="Times New Roman" w:eastAsia="Times New Roman" w:cs="Times New Roman"/>
                <w:sz w:val="18"/>
              </w:rPr>
              <w:t>crosses only when blocked</w:t>
            </w:r>
          </w:p>
        </w:tc>
      </w:tr>
      <w:tr>
        <w:trPr>
          <w:cantSplit/>
        </w:trPr>
        <w:tc>
          <w:tcPr>
            <w:tcW w:type="dxa" w:w="1814"/>
            <w:shd w:val="clear" w:color="auto" w:fill="F2F5FA"/>
          </w:tcPr>
          <w:p>
            <w:pPr>
              <w:spacing w:before="20" w:after="20"/>
            </w:pPr>
            <w:r/>
            <w:r>
              <w:rPr>
                <w:rFonts w:ascii="Times New Roman" w:hAnsi="Times New Roman" w:eastAsia="Times New Roman" w:cs="Times New Roman"/>
                <w:sz w:val="18"/>
              </w:rPr>
              <w:t>A2C</w:t>
            </w:r>
          </w:p>
        </w:tc>
        <w:tc>
          <w:tcPr>
            <w:tcW w:type="dxa" w:w="1474"/>
            <w:shd w:val="clear" w:color="auto" w:fill="F2F5FA"/>
          </w:tcPr>
          <w:p>
            <w:pPr>
              <w:spacing w:before="20" w:after="20"/>
            </w:pPr>
            <w:r/>
            <w:r>
              <w:rPr>
                <w:rFonts w:ascii="Times New Roman" w:hAnsi="Times New Roman" w:eastAsia="Times New Roman" w:cs="Times New Roman"/>
                <w:sz w:val="18"/>
              </w:rPr>
              <w:t>400k</w:t>
            </w:r>
          </w:p>
        </w:tc>
        <w:tc>
          <w:tcPr>
            <w:tcW w:type="dxa" w:w="1361"/>
            <w:shd w:val="clear" w:color="auto" w:fill="F2F5FA"/>
          </w:tcPr>
          <w:p>
            <w:pPr>
              <w:spacing w:before="20" w:after="20"/>
            </w:pPr>
            <w:r/>
            <w:r>
              <w:rPr>
                <w:rFonts w:ascii="Times New Roman" w:hAnsi="Times New Roman" w:eastAsia="Times New Roman" w:cs="Times New Roman"/>
                <w:sz w:val="18"/>
              </w:rPr>
              <w:t>-0.0563</w:t>
            </w:r>
          </w:p>
        </w:tc>
        <w:tc>
          <w:tcPr>
            <w:tcW w:type="dxa" w:w="1134"/>
            <w:shd w:val="clear" w:color="auto" w:fill="F2F5FA"/>
          </w:tcPr>
          <w:p>
            <w:pPr>
              <w:spacing w:before="20" w:after="20"/>
            </w:pPr>
            <w:r/>
            <w:r>
              <w:rPr>
                <w:rFonts w:ascii="Times New Roman" w:hAnsi="Times New Roman" w:eastAsia="Times New Roman" w:cs="Times New Roman"/>
                <w:sz w:val="18"/>
              </w:rPr>
              <w:t>1.000</w:t>
            </w:r>
          </w:p>
        </w:tc>
        <w:tc>
          <w:tcPr>
            <w:tcW w:type="dxa" w:w="3175"/>
            <w:shd w:val="clear" w:color="auto" w:fill="F2F5FA"/>
          </w:tcPr>
          <w:p>
            <w:pPr>
              <w:spacing w:before="20" w:after="20"/>
            </w:pPr>
            <w:r/>
            <w:r>
              <w:rPr>
                <w:rFonts w:ascii="Times New Roman" w:hAnsi="Times New Roman" w:eastAsia="Times New Roman" w:cs="Times New Roman"/>
                <w:sz w:val="18"/>
              </w:rPr>
              <w:t>no crossing in the panel</w:t>
            </w:r>
          </w:p>
        </w:tc>
      </w:tr>
      <w:tr>
        <w:trPr>
          <w:cantSplit/>
        </w:trPr>
        <w:tc>
          <w:tcPr>
            <w:tcW w:type="dxa" w:w="1814"/>
          </w:tcPr>
          <w:p>
            <w:pPr>
              <w:spacing w:before="20" w:after="20"/>
            </w:pPr>
            <w:r/>
            <w:r>
              <w:rPr>
                <w:rFonts w:ascii="Times New Roman" w:hAnsi="Times New Roman" w:eastAsia="Times New Roman" w:cs="Times New Roman"/>
                <w:sz w:val="18"/>
              </w:rPr>
              <w:t>DQN (gamma 0.999)</w:t>
            </w:r>
          </w:p>
        </w:tc>
        <w:tc>
          <w:tcPr>
            <w:tcW w:type="dxa" w:w="1474"/>
          </w:tcPr>
          <w:p>
            <w:pPr>
              <w:spacing w:before="20" w:after="20"/>
            </w:pPr>
            <w:r/>
            <w:r>
              <w:rPr>
                <w:rFonts w:ascii="Times New Roman" w:hAnsi="Times New Roman" w:eastAsia="Times New Roman" w:cs="Times New Roman"/>
                <w:sz w:val="18"/>
              </w:rPr>
              <w:t>400k</w:t>
            </w:r>
          </w:p>
        </w:tc>
        <w:tc>
          <w:tcPr>
            <w:tcW w:type="dxa" w:w="1361"/>
          </w:tcPr>
          <w:p>
            <w:pPr>
              <w:spacing w:before="20" w:after="20"/>
            </w:pPr>
            <w:r/>
            <w:r>
              <w:rPr>
                <w:rFonts w:ascii="Times New Roman" w:hAnsi="Times New Roman" w:eastAsia="Times New Roman" w:cs="Times New Roman"/>
                <w:sz w:val="18"/>
              </w:rPr>
              <w:t>-0.3234</w:t>
            </w:r>
          </w:p>
        </w:tc>
        <w:tc>
          <w:tcPr>
            <w:tcW w:type="dxa" w:w="1134"/>
          </w:tcPr>
          <w:p>
            <w:pPr>
              <w:spacing w:before="20" w:after="20"/>
            </w:pPr>
            <w:r/>
            <w:r>
              <w:rPr>
                <w:rFonts w:ascii="Times New Roman" w:hAnsi="Times New Roman" w:eastAsia="Times New Roman" w:cs="Times New Roman"/>
                <w:sz w:val="18"/>
              </w:rPr>
              <w:t>0.529</w:t>
            </w:r>
          </w:p>
        </w:tc>
        <w:tc>
          <w:tcPr>
            <w:tcW w:type="dxa" w:w="3175"/>
          </w:tcPr>
          <w:p>
            <w:pPr>
              <w:spacing w:before="20" w:after="20"/>
            </w:pPr>
            <w:r/>
            <w:r>
              <w:rPr>
                <w:rFonts w:ascii="Times New Roman" w:hAnsi="Times New Roman" w:eastAsia="Times New Roman" w:cs="Times New Roman"/>
                <w:sz w:val="18"/>
              </w:rPr>
              <w:t>parks half the fleet</w:t>
            </w:r>
          </w:p>
        </w:tc>
      </w:tr>
    </w:tbl>
    <w:p>
      <w:pPr>
        <w:spacing w:before="60" w:after="240"/>
      </w:pPr>
      <w:r>
        <w:rPr>
          <w:rFonts w:ascii="Times New Roman" w:hAnsi="Times New Roman" w:eastAsia="Times New Roman" w:cs="Times New Roman"/>
          <w:i/>
          <w:color w:val="404040"/>
          <w:sz w:val="18"/>
        </w:rPr>
        <w:t>Table 3: Corridor training outcome per arm. Score and completion are the selection-seed numbers, not the 30-seed paired numbers in Table 2; the behaviour column is a reading of the Figure 4 panels, which are rendered with make_env rather than the evaluator.</w:t>
      </w:r>
    </w:p>
    <w:p>
      <w:pPr>
        <w:spacing w:before="120" w:after="40"/>
        <w:jc w:val="center"/>
      </w:pPr>
      <w:r>
        <w:drawing>
          <wp:inline>
            <wp:extent cx="5040000" cy="3677838"/>
            <wp:docPr id="13" name="Picture 13"/>
            <wp:cNvGraphicFramePr>
              <a:graphicFrameLocks noChangeAspect="1"/>
            </wp:cNvGraphicFramePr>
            <a:graphic>
              <a:graphicData uri="http://schemas.openxmlformats.org/drawingml/2006/picture">
                <pic:pic>
                  <pic:nvPicPr>
                    <pic:cNvPr id="0" name="fig_curve.png"/>
                    <pic:cNvPicPr/>
                  </pic:nvPicPr>
                  <pic:blipFill>
                    <a:blip r:embed="rId28"/>
                    <a:stretch>
                      <a:fillRect/>
                    </a:stretch>
                  </pic:blipFill>
                  <pic:spPr>
                    <a:xfrm>
                      <a:off x="0" y="0"/>
                      <a:ext cx="5040000" cy="3677838"/>
                    </a:xfrm>
                    <a:prstGeom prst="rect"/>
                  </pic:spPr>
                </pic:pic>
              </a:graphicData>
            </a:graphic>
          </wp:inline>
        </w:drawing>
      </w:r>
    </w:p>
    <w:p>
      <w:pPr>
        <w:spacing w:before="60" w:after="240"/>
      </w:pPr>
      <w:r>
        <w:rPr>
          <w:rFonts w:ascii="Times New Roman" w:hAnsi="Times New Roman" w:eastAsia="Times New Roman" w:cs="Times New Roman"/>
          <w:i/>
          <w:color w:val="404040"/>
          <w:sz w:val="18"/>
        </w:rPr>
        <w:t>Figure 7: The three corridor arms during training, from the internal evaluation used for checkpoint selection. PPO starts from the behaviour-cloned checkpoint and stays near zero until it drifts at the end of the budget; A2C and DQN fall into the parking basin. The dashed line is the forward-only 30-seed mean.</w:t>
      </w:r>
    </w:p>
    <w:p>
      <w:pPr>
        <w:spacing w:after="120"/>
      </w:pPr>
      <w:r>
        <w:rPr>
          <w:rFonts w:ascii="Times New Roman" w:hAnsi="Times New Roman" w:eastAsia="Times New Roman" w:cs="Times New Roman"/>
        </w:rPr>
        <w:t>A score gain alone does not prove the policy changes track for the right reason, since a policy that crossed at every crossover would also gain on this map. The audit counts the decisions themselves: for every agent-step standing on a commit crossover it records whether a blocked cell lay ahead on that train's own row within 60 cells, and whether the agent chose a lateral action. The per-crossover table is shipped as results/crossing_audit_block.csv.</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rPr>
          <w:cantSplit/>
          <w:tblHeader/>
        </w:trPr>
        <w:tc>
          <w:tcPr>
            <w:tcW w:type="dxa" w:w="1247"/>
            <w:shd w:val="clear" w:color="auto" w:fill="1F3864"/>
          </w:tcPr>
          <w:p>
            <w:pPr>
              <w:spacing w:before="20" w:after="20"/>
            </w:pPr>
            <w:r/>
            <w:r>
              <w:rPr>
                <w:rFonts w:ascii="Times New Roman" w:hAnsi="Times New Roman" w:eastAsia="Times New Roman" w:cs="Times New Roman"/>
                <w:b/>
                <w:color w:val="FFFFFF"/>
                <w:sz w:val="18"/>
              </w:rPr>
              <w:t>Crossover</w:t>
            </w:r>
          </w:p>
        </w:tc>
        <w:tc>
          <w:tcPr>
            <w:tcW w:type="dxa" w:w="1701"/>
            <w:shd w:val="clear" w:color="auto" w:fill="1F3864"/>
          </w:tcPr>
          <w:p>
            <w:pPr>
              <w:spacing w:before="20" w:after="20"/>
            </w:pPr>
            <w:r/>
            <w:r>
              <w:rPr>
                <w:rFonts w:ascii="Times New Roman" w:hAnsi="Times New Roman" w:eastAsia="Times New Roman" w:cs="Times New Roman"/>
                <w:b/>
                <w:color w:val="FFFFFF"/>
                <w:sz w:val="18"/>
              </w:rPr>
              <w:t>Track</w:t>
            </w:r>
          </w:p>
        </w:tc>
        <w:tc>
          <w:tcPr>
            <w:tcW w:type="dxa" w:w="1814"/>
            <w:shd w:val="clear" w:color="auto" w:fill="1F3864"/>
          </w:tcPr>
          <w:p>
            <w:pPr>
              <w:spacing w:before="20" w:after="20"/>
            </w:pPr>
            <w:r/>
            <w:r>
              <w:rPr>
                <w:rFonts w:ascii="Times New Roman" w:hAnsi="Times New Roman" w:eastAsia="Times New Roman" w:cs="Times New Roman"/>
                <w:b/>
                <w:color w:val="FFFFFF"/>
                <w:sz w:val="18"/>
              </w:rPr>
              <w:t>Blocked visits</w:t>
            </w:r>
          </w:p>
        </w:tc>
        <w:tc>
          <w:tcPr>
            <w:tcW w:type="dxa" w:w="1020"/>
            <w:shd w:val="clear" w:color="auto" w:fill="1F3864"/>
          </w:tcPr>
          <w:p>
            <w:pPr>
              <w:spacing w:before="20" w:after="20"/>
            </w:pPr>
            <w:r/>
            <w:r>
              <w:rPr>
                <w:rFonts w:ascii="Times New Roman" w:hAnsi="Times New Roman" w:eastAsia="Times New Roman" w:cs="Times New Roman"/>
                <w:b/>
                <w:color w:val="FFFFFF"/>
                <w:sz w:val="18"/>
              </w:rPr>
              <w:t>Turns</w:t>
            </w:r>
          </w:p>
        </w:tc>
        <w:tc>
          <w:tcPr>
            <w:tcW w:type="dxa" w:w="1701"/>
            <w:shd w:val="clear" w:color="auto" w:fill="1F3864"/>
          </w:tcPr>
          <w:p>
            <w:pPr>
              <w:spacing w:before="20" w:after="20"/>
            </w:pPr>
            <w:r/>
            <w:r>
              <w:rPr>
                <w:rFonts w:ascii="Times New Roman" w:hAnsi="Times New Roman" w:eastAsia="Times New Roman" w:cs="Times New Roman"/>
                <w:b/>
                <w:color w:val="FFFFFF"/>
                <w:sz w:val="18"/>
              </w:rPr>
              <w:t>Open visits</w:t>
            </w:r>
          </w:p>
        </w:tc>
        <w:tc>
          <w:tcPr>
            <w:tcW w:type="dxa" w:w="1020"/>
            <w:shd w:val="clear" w:color="auto" w:fill="1F3864"/>
          </w:tcPr>
          <w:p>
            <w:pPr>
              <w:spacing w:before="20" w:after="20"/>
            </w:pPr>
            <w:r/>
            <w:r>
              <w:rPr>
                <w:rFonts w:ascii="Times New Roman" w:hAnsi="Times New Roman" w:eastAsia="Times New Roman" w:cs="Times New Roman"/>
                <w:b/>
                <w:color w:val="FFFFFF"/>
                <w:sz w:val="18"/>
              </w:rPr>
              <w:t>Turns</w:t>
            </w:r>
          </w:p>
        </w:tc>
      </w:tr>
      <w:tr>
        <w:trPr>
          <w:cantSplit/>
        </w:trPr>
        <w:tc>
          <w:tcPr>
            <w:tcW w:type="dxa" w:w="1247"/>
          </w:tcPr>
          <w:p>
            <w:pPr>
              <w:spacing w:before="20" w:after="20"/>
            </w:pPr>
            <w:r/>
            <w:r>
              <w:rPr>
                <w:rFonts w:ascii="Times New Roman" w:hAnsi="Times New Roman" w:eastAsia="Times New Roman" w:cs="Times New Roman"/>
                <w:sz w:val="18"/>
              </w:rPr>
              <w:t>(2,6)</w:t>
            </w:r>
          </w:p>
        </w:tc>
        <w:tc>
          <w:tcPr>
            <w:tcW w:type="dxa" w:w="1701"/>
          </w:tcPr>
          <w:p>
            <w:pPr>
              <w:spacing w:before="20" w:after="20"/>
            </w:pPr>
            <w:r/>
            <w:r>
              <w:rPr>
                <w:rFonts w:ascii="Times New Roman" w:hAnsi="Times New Roman" w:eastAsia="Times New Roman" w:cs="Times New Roman"/>
                <w:sz w:val="18"/>
              </w:rPr>
              <w:t>up_suburban</w:t>
            </w:r>
          </w:p>
        </w:tc>
        <w:tc>
          <w:tcPr>
            <w:tcW w:type="dxa" w:w="1814"/>
          </w:tcPr>
          <w:p>
            <w:pPr>
              <w:spacing w:before="20" w:after="20"/>
            </w:pPr>
            <w:r/>
            <w:r>
              <w:rPr>
                <w:rFonts w:ascii="Times New Roman" w:hAnsi="Times New Roman" w:eastAsia="Times New Roman" w:cs="Times New Roman"/>
                <w:sz w:val="18"/>
              </w:rPr>
              <w:t>22</w:t>
            </w:r>
          </w:p>
        </w:tc>
        <w:tc>
          <w:tcPr>
            <w:tcW w:type="dxa" w:w="1020"/>
          </w:tcPr>
          <w:p>
            <w:pPr>
              <w:spacing w:before="20" w:after="20"/>
            </w:pPr>
            <w:r/>
            <w:r>
              <w:rPr>
                <w:rFonts w:ascii="Times New Roman" w:hAnsi="Times New Roman" w:eastAsia="Times New Roman" w:cs="Times New Roman"/>
                <w:sz w:val="18"/>
              </w:rPr>
              <w:t>22</w:t>
            </w:r>
          </w:p>
        </w:tc>
        <w:tc>
          <w:tcPr>
            <w:tcW w:type="dxa" w:w="1701"/>
          </w:tcPr>
          <w:p>
            <w:pPr>
              <w:spacing w:before="20" w:after="20"/>
            </w:pPr>
            <w:r/>
            <w:r>
              <w:rPr>
                <w:rFonts w:ascii="Times New Roman" w:hAnsi="Times New Roman" w:eastAsia="Times New Roman" w:cs="Times New Roman"/>
                <w:sz w:val="18"/>
              </w:rPr>
              <w:t>30</w:t>
            </w:r>
          </w:p>
        </w:tc>
        <w:tc>
          <w:tcPr>
            <w:tcW w:type="dxa" w:w="1020"/>
          </w:tcPr>
          <w:p>
            <w:pPr>
              <w:spacing w:before="20" w:after="20"/>
            </w:pPr>
            <w:r/>
            <w:r>
              <w:rPr>
                <w:rFonts w:ascii="Times New Roman" w:hAnsi="Times New Roman" w:eastAsia="Times New Roman" w:cs="Times New Roman"/>
                <w:sz w:val="18"/>
              </w:rPr>
              <w:t>0</w:t>
            </w:r>
          </w:p>
        </w:tc>
      </w:tr>
      <w:tr>
        <w:trPr>
          <w:cantSplit/>
        </w:trPr>
        <w:tc>
          <w:tcPr>
            <w:tcW w:type="dxa" w:w="1247"/>
            <w:shd w:val="clear" w:color="auto" w:fill="F2F5FA"/>
          </w:tcPr>
          <w:p>
            <w:pPr>
              <w:spacing w:before="20" w:after="20"/>
            </w:pPr>
            <w:r/>
            <w:r>
              <w:rPr>
                <w:rFonts w:ascii="Times New Roman" w:hAnsi="Times New Roman" w:eastAsia="Times New Roman" w:cs="Times New Roman"/>
                <w:sz w:val="18"/>
              </w:rPr>
              <w:t>(2,25)</w:t>
            </w:r>
          </w:p>
        </w:tc>
        <w:tc>
          <w:tcPr>
            <w:tcW w:type="dxa" w:w="1701"/>
            <w:shd w:val="clear" w:color="auto" w:fill="F2F5FA"/>
          </w:tcPr>
          <w:p>
            <w:pPr>
              <w:spacing w:before="20" w:after="20"/>
            </w:pPr>
            <w:r/>
            <w:r>
              <w:rPr>
                <w:rFonts w:ascii="Times New Roman" w:hAnsi="Times New Roman" w:eastAsia="Times New Roman" w:cs="Times New Roman"/>
                <w:sz w:val="18"/>
              </w:rPr>
              <w:t>up_suburban</w:t>
            </w:r>
          </w:p>
        </w:tc>
        <w:tc>
          <w:tcPr>
            <w:tcW w:type="dxa" w:w="1814"/>
            <w:shd w:val="clear" w:color="auto" w:fill="F2F5FA"/>
          </w:tcPr>
          <w:p>
            <w:pPr>
              <w:spacing w:before="20" w:after="20"/>
            </w:pPr>
            <w:r/>
            <w:r>
              <w:rPr>
                <w:rFonts w:ascii="Times New Roman" w:hAnsi="Times New Roman" w:eastAsia="Times New Roman" w:cs="Times New Roman"/>
                <w:sz w:val="18"/>
              </w:rPr>
              <w:t>2</w:t>
            </w:r>
          </w:p>
        </w:tc>
        <w:tc>
          <w:tcPr>
            <w:tcW w:type="dxa" w:w="1020"/>
            <w:shd w:val="clear" w:color="auto" w:fill="F2F5FA"/>
          </w:tcPr>
          <w:p>
            <w:pPr>
              <w:spacing w:before="20" w:after="20"/>
            </w:pPr>
            <w:r/>
            <w:r>
              <w:rPr>
                <w:rFonts w:ascii="Times New Roman" w:hAnsi="Times New Roman" w:eastAsia="Times New Roman" w:cs="Times New Roman"/>
                <w:sz w:val="18"/>
              </w:rPr>
              <w:t>2</w:t>
            </w:r>
          </w:p>
        </w:tc>
        <w:tc>
          <w:tcPr>
            <w:tcW w:type="dxa" w:w="1701"/>
            <w:shd w:val="clear" w:color="auto" w:fill="F2F5FA"/>
          </w:tcPr>
          <w:p>
            <w:pPr>
              <w:spacing w:before="20" w:after="20"/>
            </w:pPr>
            <w:r/>
            <w:r>
              <w:rPr>
                <w:rFonts w:ascii="Times New Roman" w:hAnsi="Times New Roman" w:eastAsia="Times New Roman" w:cs="Times New Roman"/>
                <w:sz w:val="18"/>
              </w:rPr>
              <w:t>28</w:t>
            </w:r>
          </w:p>
        </w:tc>
        <w:tc>
          <w:tcPr>
            <w:tcW w:type="dxa" w:w="1020"/>
            <w:shd w:val="clear" w:color="auto" w:fill="F2F5FA"/>
          </w:tcPr>
          <w:p>
            <w:pPr>
              <w:spacing w:before="20" w:after="20"/>
            </w:pPr>
            <w:r/>
            <w:r>
              <w:rPr>
                <w:rFonts w:ascii="Times New Roman" w:hAnsi="Times New Roman" w:eastAsia="Times New Roman" w:cs="Times New Roman"/>
                <w:sz w:val="18"/>
              </w:rPr>
              <w:t>0</w:t>
            </w:r>
          </w:p>
        </w:tc>
      </w:tr>
      <w:tr>
        <w:trPr>
          <w:cantSplit/>
        </w:trPr>
        <w:tc>
          <w:tcPr>
            <w:tcW w:type="dxa" w:w="1247"/>
          </w:tcPr>
          <w:p>
            <w:pPr>
              <w:spacing w:before="20" w:after="20"/>
            </w:pPr>
            <w:r/>
            <w:r>
              <w:rPr>
                <w:rFonts w:ascii="Times New Roman" w:hAnsi="Times New Roman" w:eastAsia="Times New Roman" w:cs="Times New Roman"/>
                <w:sz w:val="18"/>
              </w:rPr>
              <w:t>(2,62)</w:t>
            </w:r>
          </w:p>
        </w:tc>
        <w:tc>
          <w:tcPr>
            <w:tcW w:type="dxa" w:w="1701"/>
          </w:tcPr>
          <w:p>
            <w:pPr>
              <w:spacing w:before="20" w:after="20"/>
            </w:pPr>
            <w:r/>
            <w:r>
              <w:rPr>
                <w:rFonts w:ascii="Times New Roman" w:hAnsi="Times New Roman" w:eastAsia="Times New Roman" w:cs="Times New Roman"/>
                <w:sz w:val="18"/>
              </w:rPr>
              <w:t>up_suburban</w:t>
            </w:r>
          </w:p>
        </w:tc>
        <w:tc>
          <w:tcPr>
            <w:tcW w:type="dxa" w:w="1814"/>
          </w:tcPr>
          <w:p>
            <w:pPr>
              <w:spacing w:before="20" w:after="20"/>
            </w:pPr>
            <w:r/>
            <w:r>
              <w:rPr>
                <w:rFonts w:ascii="Times New Roman" w:hAnsi="Times New Roman" w:eastAsia="Times New Roman" w:cs="Times New Roman"/>
                <w:sz w:val="18"/>
              </w:rPr>
              <w:t>0</w:t>
            </w:r>
          </w:p>
        </w:tc>
        <w:tc>
          <w:tcPr>
            <w:tcW w:type="dxa" w:w="1020"/>
          </w:tcPr>
          <w:p>
            <w:pPr>
              <w:spacing w:before="20" w:after="20"/>
            </w:pPr>
            <w:r/>
            <w:r>
              <w:rPr>
                <w:rFonts w:ascii="Times New Roman" w:hAnsi="Times New Roman" w:eastAsia="Times New Roman" w:cs="Times New Roman"/>
                <w:sz w:val="18"/>
              </w:rPr>
              <w:t>0</w:t>
            </w:r>
          </w:p>
        </w:tc>
        <w:tc>
          <w:tcPr>
            <w:tcW w:type="dxa" w:w="1701"/>
          </w:tcPr>
          <w:p>
            <w:pPr>
              <w:spacing w:before="20" w:after="20"/>
            </w:pPr>
            <w:r/>
            <w:r>
              <w:rPr>
                <w:rFonts w:ascii="Times New Roman" w:hAnsi="Times New Roman" w:eastAsia="Times New Roman" w:cs="Times New Roman"/>
                <w:sz w:val="18"/>
              </w:rPr>
              <w:t>46</w:t>
            </w:r>
          </w:p>
        </w:tc>
        <w:tc>
          <w:tcPr>
            <w:tcW w:type="dxa" w:w="1020"/>
          </w:tcPr>
          <w:p>
            <w:pPr>
              <w:spacing w:before="20" w:after="20"/>
            </w:pPr>
            <w:r/>
            <w:r>
              <w:rPr>
                <w:rFonts w:ascii="Times New Roman" w:hAnsi="Times New Roman" w:eastAsia="Times New Roman" w:cs="Times New Roman"/>
                <w:sz w:val="18"/>
              </w:rPr>
              <w:t>0</w:t>
            </w:r>
          </w:p>
        </w:tc>
      </w:tr>
      <w:tr>
        <w:trPr>
          <w:cantSplit/>
        </w:trPr>
        <w:tc>
          <w:tcPr>
            <w:tcW w:type="dxa" w:w="1247"/>
            <w:shd w:val="clear" w:color="auto" w:fill="F2F5FA"/>
          </w:tcPr>
          <w:p>
            <w:pPr>
              <w:spacing w:before="20" w:after="20"/>
            </w:pPr>
            <w:r/>
            <w:r>
              <w:rPr>
                <w:rFonts w:ascii="Times New Roman" w:hAnsi="Times New Roman" w:eastAsia="Times New Roman" w:cs="Times New Roman"/>
                <w:sz w:val="18"/>
              </w:rPr>
              <w:t>(4,51)</w:t>
            </w:r>
          </w:p>
        </w:tc>
        <w:tc>
          <w:tcPr>
            <w:tcW w:type="dxa" w:w="1701"/>
            <w:shd w:val="clear" w:color="auto" w:fill="F2F5FA"/>
          </w:tcPr>
          <w:p>
            <w:pPr>
              <w:spacing w:before="20" w:after="20"/>
            </w:pPr>
            <w:r/>
            <w:r>
              <w:rPr>
                <w:rFonts w:ascii="Times New Roman" w:hAnsi="Times New Roman" w:eastAsia="Times New Roman" w:cs="Times New Roman"/>
                <w:sz w:val="18"/>
              </w:rPr>
              <w:t>up_local</w:t>
            </w:r>
          </w:p>
        </w:tc>
        <w:tc>
          <w:tcPr>
            <w:tcW w:type="dxa" w:w="1814"/>
            <w:shd w:val="clear" w:color="auto" w:fill="F2F5FA"/>
          </w:tcPr>
          <w:p>
            <w:pPr>
              <w:spacing w:before="20" w:after="20"/>
            </w:pPr>
            <w:r/>
            <w:r>
              <w:rPr>
                <w:rFonts w:ascii="Times New Roman" w:hAnsi="Times New Roman" w:eastAsia="Times New Roman" w:cs="Times New Roman"/>
                <w:sz w:val="18"/>
              </w:rPr>
              <w:t>18</w:t>
            </w:r>
          </w:p>
        </w:tc>
        <w:tc>
          <w:tcPr>
            <w:tcW w:type="dxa" w:w="1020"/>
            <w:shd w:val="clear" w:color="auto" w:fill="F2F5FA"/>
          </w:tcPr>
          <w:p>
            <w:pPr>
              <w:spacing w:before="20" w:after="20"/>
            </w:pPr>
            <w:r/>
            <w:r>
              <w:rPr>
                <w:rFonts w:ascii="Times New Roman" w:hAnsi="Times New Roman" w:eastAsia="Times New Roman" w:cs="Times New Roman"/>
                <w:sz w:val="18"/>
              </w:rPr>
              <w:t>18</w:t>
            </w:r>
          </w:p>
        </w:tc>
        <w:tc>
          <w:tcPr>
            <w:tcW w:type="dxa" w:w="1701"/>
            <w:shd w:val="clear" w:color="auto" w:fill="F2F5FA"/>
          </w:tcPr>
          <w:p>
            <w:pPr>
              <w:spacing w:before="20" w:after="20"/>
            </w:pPr>
            <w:r/>
            <w:r>
              <w:rPr>
                <w:rFonts w:ascii="Times New Roman" w:hAnsi="Times New Roman" w:eastAsia="Times New Roman" w:cs="Times New Roman"/>
                <w:sz w:val="18"/>
              </w:rPr>
              <w:t>58</w:t>
            </w:r>
          </w:p>
        </w:tc>
        <w:tc>
          <w:tcPr>
            <w:tcW w:type="dxa" w:w="1020"/>
            <w:shd w:val="clear" w:color="auto" w:fill="F2F5FA"/>
          </w:tcPr>
          <w:p>
            <w:pPr>
              <w:spacing w:before="20" w:after="20"/>
            </w:pPr>
            <w:r/>
            <w:r>
              <w:rPr>
                <w:rFonts w:ascii="Times New Roman" w:hAnsi="Times New Roman" w:eastAsia="Times New Roman" w:cs="Times New Roman"/>
                <w:sz w:val="18"/>
              </w:rPr>
              <w:t>0</w:t>
            </w:r>
          </w:p>
        </w:tc>
      </w:tr>
      <w:tr>
        <w:trPr>
          <w:cantSplit/>
        </w:trPr>
        <w:tc>
          <w:tcPr>
            <w:tcW w:type="dxa" w:w="1247"/>
          </w:tcPr>
          <w:p>
            <w:pPr>
              <w:spacing w:before="20" w:after="20"/>
            </w:pPr>
            <w:r/>
            <w:r>
              <w:rPr>
                <w:rFonts w:ascii="Times New Roman" w:hAnsi="Times New Roman" w:eastAsia="Times New Roman" w:cs="Times New Roman"/>
                <w:sz w:val="18"/>
              </w:rPr>
              <w:t>(5,4)</w:t>
            </w:r>
          </w:p>
        </w:tc>
        <w:tc>
          <w:tcPr>
            <w:tcW w:type="dxa" w:w="1701"/>
          </w:tcPr>
          <w:p>
            <w:pPr>
              <w:spacing w:before="20" w:after="20"/>
            </w:pPr>
            <w:r/>
            <w:r>
              <w:rPr>
                <w:rFonts w:ascii="Times New Roman" w:hAnsi="Times New Roman" w:eastAsia="Times New Roman" w:cs="Times New Roman"/>
                <w:sz w:val="18"/>
              </w:rPr>
              <w:t>down_local</w:t>
            </w:r>
          </w:p>
        </w:tc>
        <w:tc>
          <w:tcPr>
            <w:tcW w:type="dxa" w:w="1814"/>
          </w:tcPr>
          <w:p>
            <w:pPr>
              <w:spacing w:before="20" w:after="20"/>
            </w:pPr>
            <w:r/>
            <w:r>
              <w:rPr>
                <w:rFonts w:ascii="Times New Roman" w:hAnsi="Times New Roman" w:eastAsia="Times New Roman" w:cs="Times New Roman"/>
                <w:sz w:val="18"/>
              </w:rPr>
              <w:t>0</w:t>
            </w:r>
          </w:p>
        </w:tc>
        <w:tc>
          <w:tcPr>
            <w:tcW w:type="dxa" w:w="1020"/>
          </w:tcPr>
          <w:p>
            <w:pPr>
              <w:spacing w:before="20" w:after="20"/>
            </w:pPr>
            <w:r/>
            <w:r>
              <w:rPr>
                <w:rFonts w:ascii="Times New Roman" w:hAnsi="Times New Roman" w:eastAsia="Times New Roman" w:cs="Times New Roman"/>
                <w:sz w:val="18"/>
              </w:rPr>
              <w:t>0</w:t>
            </w:r>
          </w:p>
        </w:tc>
        <w:tc>
          <w:tcPr>
            <w:tcW w:type="dxa" w:w="1701"/>
          </w:tcPr>
          <w:p>
            <w:pPr>
              <w:spacing w:before="20" w:after="20"/>
            </w:pPr>
            <w:r/>
            <w:r>
              <w:rPr>
                <w:rFonts w:ascii="Times New Roman" w:hAnsi="Times New Roman" w:eastAsia="Times New Roman" w:cs="Times New Roman"/>
                <w:sz w:val="18"/>
              </w:rPr>
              <w:t>14</w:t>
            </w:r>
          </w:p>
        </w:tc>
        <w:tc>
          <w:tcPr>
            <w:tcW w:type="dxa" w:w="1020"/>
          </w:tcPr>
          <w:p>
            <w:pPr>
              <w:spacing w:before="20" w:after="20"/>
            </w:pPr>
            <w:r/>
            <w:r>
              <w:rPr>
                <w:rFonts w:ascii="Times New Roman" w:hAnsi="Times New Roman" w:eastAsia="Times New Roman" w:cs="Times New Roman"/>
                <w:sz w:val="18"/>
              </w:rPr>
              <w:t>0</w:t>
            </w:r>
          </w:p>
        </w:tc>
      </w:tr>
      <w:tr>
        <w:trPr>
          <w:cantSplit/>
        </w:trPr>
        <w:tc>
          <w:tcPr>
            <w:tcW w:type="dxa" w:w="1247"/>
            <w:shd w:val="clear" w:color="auto" w:fill="F2F5FA"/>
          </w:tcPr>
          <w:p>
            <w:pPr>
              <w:spacing w:before="20" w:after="20"/>
            </w:pPr>
            <w:r/>
            <w:r>
              <w:rPr>
                <w:rFonts w:ascii="Times New Roman" w:hAnsi="Times New Roman" w:eastAsia="Times New Roman" w:cs="Times New Roman"/>
                <w:sz w:val="18"/>
              </w:rPr>
              <w:t>(5,22)</w:t>
            </w:r>
          </w:p>
        </w:tc>
        <w:tc>
          <w:tcPr>
            <w:tcW w:type="dxa" w:w="1701"/>
            <w:shd w:val="clear" w:color="auto" w:fill="F2F5FA"/>
          </w:tcPr>
          <w:p>
            <w:pPr>
              <w:spacing w:before="20" w:after="20"/>
            </w:pPr>
            <w:r/>
            <w:r>
              <w:rPr>
                <w:rFonts w:ascii="Times New Roman" w:hAnsi="Times New Roman" w:eastAsia="Times New Roman" w:cs="Times New Roman"/>
                <w:sz w:val="18"/>
              </w:rPr>
              <w:t>down_local</w:t>
            </w:r>
          </w:p>
        </w:tc>
        <w:tc>
          <w:tcPr>
            <w:tcW w:type="dxa" w:w="1814"/>
            <w:shd w:val="clear" w:color="auto" w:fill="F2F5FA"/>
          </w:tcPr>
          <w:p>
            <w:pPr>
              <w:spacing w:before="20" w:after="20"/>
            </w:pPr>
            <w:r/>
            <w:r>
              <w:rPr>
                <w:rFonts w:ascii="Times New Roman" w:hAnsi="Times New Roman" w:eastAsia="Times New Roman" w:cs="Times New Roman"/>
                <w:sz w:val="18"/>
              </w:rPr>
              <w:t>19</w:t>
            </w:r>
          </w:p>
        </w:tc>
        <w:tc>
          <w:tcPr>
            <w:tcW w:type="dxa" w:w="1020"/>
            <w:shd w:val="clear" w:color="auto" w:fill="F2F5FA"/>
          </w:tcPr>
          <w:p>
            <w:pPr>
              <w:spacing w:before="20" w:after="20"/>
            </w:pPr>
            <w:r/>
            <w:r>
              <w:rPr>
                <w:rFonts w:ascii="Times New Roman" w:hAnsi="Times New Roman" w:eastAsia="Times New Roman" w:cs="Times New Roman"/>
                <w:sz w:val="18"/>
              </w:rPr>
              <w:t>19</w:t>
            </w:r>
          </w:p>
        </w:tc>
        <w:tc>
          <w:tcPr>
            <w:tcW w:type="dxa" w:w="1701"/>
            <w:shd w:val="clear" w:color="auto" w:fill="F2F5FA"/>
          </w:tcPr>
          <w:p>
            <w:pPr>
              <w:spacing w:before="20" w:after="20"/>
            </w:pPr>
            <w:r/>
            <w:r>
              <w:rPr>
                <w:rFonts w:ascii="Times New Roman" w:hAnsi="Times New Roman" w:eastAsia="Times New Roman" w:cs="Times New Roman"/>
                <w:sz w:val="18"/>
              </w:rPr>
              <w:t>14</w:t>
            </w:r>
          </w:p>
        </w:tc>
        <w:tc>
          <w:tcPr>
            <w:tcW w:type="dxa" w:w="1020"/>
            <w:shd w:val="clear" w:color="auto" w:fill="F2F5FA"/>
          </w:tcPr>
          <w:p>
            <w:pPr>
              <w:spacing w:before="20" w:after="20"/>
            </w:pPr>
            <w:r/>
            <w:r>
              <w:rPr>
                <w:rFonts w:ascii="Times New Roman" w:hAnsi="Times New Roman" w:eastAsia="Times New Roman" w:cs="Times New Roman"/>
                <w:sz w:val="18"/>
              </w:rPr>
              <w:t>0</w:t>
            </w:r>
          </w:p>
        </w:tc>
      </w:tr>
      <w:tr>
        <w:trPr>
          <w:cantSplit/>
        </w:trPr>
        <w:tc>
          <w:tcPr>
            <w:tcW w:type="dxa" w:w="1247"/>
          </w:tcPr>
          <w:p>
            <w:pPr>
              <w:spacing w:before="20" w:after="20"/>
            </w:pPr>
            <w:r/>
            <w:r>
              <w:rPr>
                <w:rFonts w:ascii="Times New Roman" w:hAnsi="Times New Roman" w:eastAsia="Times New Roman" w:cs="Times New Roman"/>
                <w:sz w:val="18"/>
              </w:rPr>
              <w:t>(5,59)</w:t>
            </w:r>
          </w:p>
        </w:tc>
        <w:tc>
          <w:tcPr>
            <w:tcW w:type="dxa" w:w="1701"/>
          </w:tcPr>
          <w:p>
            <w:pPr>
              <w:spacing w:before="20" w:after="20"/>
            </w:pPr>
            <w:r/>
            <w:r>
              <w:rPr>
                <w:rFonts w:ascii="Times New Roman" w:hAnsi="Times New Roman" w:eastAsia="Times New Roman" w:cs="Times New Roman"/>
                <w:sz w:val="18"/>
              </w:rPr>
              <w:t>down_local</w:t>
            </w:r>
          </w:p>
        </w:tc>
        <w:tc>
          <w:tcPr>
            <w:tcW w:type="dxa" w:w="1814"/>
          </w:tcPr>
          <w:p>
            <w:pPr>
              <w:spacing w:before="20" w:after="20"/>
            </w:pPr>
            <w:r/>
            <w:r>
              <w:rPr>
                <w:rFonts w:ascii="Times New Roman" w:hAnsi="Times New Roman" w:eastAsia="Times New Roman" w:cs="Times New Roman"/>
                <w:sz w:val="18"/>
              </w:rPr>
              <w:t>40</w:t>
            </w:r>
          </w:p>
        </w:tc>
        <w:tc>
          <w:tcPr>
            <w:tcW w:type="dxa" w:w="1020"/>
          </w:tcPr>
          <w:p>
            <w:pPr>
              <w:spacing w:before="20" w:after="20"/>
            </w:pPr>
            <w:r/>
            <w:r>
              <w:rPr>
                <w:rFonts w:ascii="Times New Roman" w:hAnsi="Times New Roman" w:eastAsia="Times New Roman" w:cs="Times New Roman"/>
                <w:sz w:val="18"/>
              </w:rPr>
              <w:t>20</w:t>
            </w:r>
          </w:p>
        </w:tc>
        <w:tc>
          <w:tcPr>
            <w:tcW w:type="dxa" w:w="1701"/>
          </w:tcPr>
          <w:p>
            <w:pPr>
              <w:spacing w:before="20" w:after="20"/>
            </w:pPr>
            <w:r/>
            <w:r>
              <w:rPr>
                <w:rFonts w:ascii="Times New Roman" w:hAnsi="Times New Roman" w:eastAsia="Times New Roman" w:cs="Times New Roman"/>
                <w:sz w:val="18"/>
              </w:rPr>
              <w:t>12</w:t>
            </w:r>
          </w:p>
        </w:tc>
        <w:tc>
          <w:tcPr>
            <w:tcW w:type="dxa" w:w="1020"/>
          </w:tcPr>
          <w:p>
            <w:pPr>
              <w:spacing w:before="20" w:after="20"/>
            </w:pPr>
            <w:r/>
            <w:r>
              <w:rPr>
                <w:rFonts w:ascii="Times New Roman" w:hAnsi="Times New Roman" w:eastAsia="Times New Roman" w:cs="Times New Roman"/>
                <w:sz w:val="18"/>
              </w:rPr>
              <w:t>0</w:t>
            </w:r>
          </w:p>
        </w:tc>
      </w:tr>
      <w:tr>
        <w:trPr>
          <w:cantSplit/>
        </w:trPr>
        <w:tc>
          <w:tcPr>
            <w:tcW w:type="dxa" w:w="1247"/>
            <w:shd w:val="clear" w:color="auto" w:fill="DCE6F2"/>
          </w:tcPr>
          <w:p>
            <w:pPr>
              <w:spacing w:before="20" w:after="20"/>
            </w:pPr>
            <w:r/>
            <w:r>
              <w:rPr>
                <w:rFonts w:ascii="Times New Roman" w:hAnsi="Times New Roman" w:eastAsia="Times New Roman" w:cs="Times New Roman"/>
                <w:b/>
                <w:sz w:val="18"/>
              </w:rPr>
              <w:t>Total</w:t>
            </w:r>
          </w:p>
        </w:tc>
        <w:tc>
          <w:tcPr>
            <w:tcW w:type="dxa" w:w="1701"/>
            <w:shd w:val="clear" w:color="auto" w:fill="DCE6F2"/>
          </w:tcPr>
          <w:p>
            <w:pPr>
              <w:spacing w:before="20" w:after="20"/>
            </w:pPr>
            <w:r/>
            <w:r>
              <w:rPr>
                <w:rFonts w:ascii="Times New Roman" w:hAnsi="Times New Roman" w:eastAsia="Times New Roman" w:cs="Times New Roman"/>
                <w:b/>
                <w:sz w:val="18"/>
              </w:rPr>
            </w:r>
          </w:p>
        </w:tc>
        <w:tc>
          <w:tcPr>
            <w:tcW w:type="dxa" w:w="1814"/>
            <w:shd w:val="clear" w:color="auto" w:fill="DCE6F2"/>
          </w:tcPr>
          <w:p>
            <w:pPr>
              <w:spacing w:before="20" w:after="20"/>
            </w:pPr>
            <w:r/>
            <w:r>
              <w:rPr>
                <w:rFonts w:ascii="Times New Roman" w:hAnsi="Times New Roman" w:eastAsia="Times New Roman" w:cs="Times New Roman"/>
                <w:b/>
                <w:sz w:val="18"/>
              </w:rPr>
              <w:t>101</w:t>
            </w:r>
          </w:p>
        </w:tc>
        <w:tc>
          <w:tcPr>
            <w:tcW w:type="dxa" w:w="1020"/>
            <w:shd w:val="clear" w:color="auto" w:fill="DCE6F2"/>
          </w:tcPr>
          <w:p>
            <w:pPr>
              <w:spacing w:before="20" w:after="20"/>
            </w:pPr>
            <w:r/>
            <w:r>
              <w:rPr>
                <w:rFonts w:ascii="Times New Roman" w:hAnsi="Times New Roman" w:eastAsia="Times New Roman" w:cs="Times New Roman"/>
                <w:b/>
                <w:sz w:val="18"/>
              </w:rPr>
              <w:t>81</w:t>
            </w:r>
          </w:p>
        </w:tc>
        <w:tc>
          <w:tcPr>
            <w:tcW w:type="dxa" w:w="1701"/>
            <w:shd w:val="clear" w:color="auto" w:fill="DCE6F2"/>
          </w:tcPr>
          <w:p>
            <w:pPr>
              <w:spacing w:before="20" w:after="20"/>
            </w:pPr>
            <w:r/>
            <w:r>
              <w:rPr>
                <w:rFonts w:ascii="Times New Roman" w:hAnsi="Times New Roman" w:eastAsia="Times New Roman" w:cs="Times New Roman"/>
                <w:b/>
                <w:sz w:val="18"/>
              </w:rPr>
              <w:t>202</w:t>
            </w:r>
          </w:p>
        </w:tc>
        <w:tc>
          <w:tcPr>
            <w:tcW w:type="dxa" w:w="1020"/>
            <w:shd w:val="clear" w:color="auto" w:fill="DCE6F2"/>
          </w:tcPr>
          <w:p>
            <w:pPr>
              <w:spacing w:before="20" w:after="20"/>
            </w:pPr>
            <w:r/>
            <w:r>
              <w:rPr>
                <w:rFonts w:ascii="Times New Roman" w:hAnsi="Times New Roman" w:eastAsia="Times New Roman" w:cs="Times New Roman"/>
                <w:b/>
                <w:sz w:val="18"/>
              </w:rPr>
              <w:t>0</w:t>
            </w:r>
          </w:p>
        </w:tc>
      </w:tr>
    </w:tbl>
    <w:p>
      <w:pPr>
        <w:spacing w:before="60" w:after="240"/>
      </w:pPr>
      <w:r>
        <w:rPr>
          <w:rFonts w:ascii="Times New Roman" w:hAnsi="Times New Roman" w:eastAsia="Times New Roman" w:cs="Times New Roman"/>
          <w:i/>
          <w:color w:val="404040"/>
          <w:sz w:val="18"/>
        </w:rPr>
        <w:t>Table 4: Per-crossover decision audit over seeds 3000 and 3001.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wp:extent cx="4140000" cy="2141379"/>
            <wp:docPr id="14" name="Picture 14"/>
            <wp:cNvGraphicFramePr>
              <a:graphicFrameLocks noChangeAspect="1"/>
            </wp:cNvGraphicFramePr>
            <a:graphic>
              <a:graphicData uri="http://schemas.openxmlformats.org/drawingml/2006/picture">
                <pic:pic>
                  <pic:nvPicPr>
                    <pic:cNvPr id="0" name="fig_audit.png"/>
                    <pic:cNvPicPr/>
                  </pic:nvPicPr>
                  <pic:blipFill>
                    <a:blip r:embed="rId29"/>
                    <a:stretch>
                      <a:fillRect/>
                    </a:stretch>
                  </pic:blipFill>
                  <pic:spPr>
                    <a:xfrm>
                      <a:off x="0" y="0"/>
                      <a:ext cx="4140000" cy="2141379"/>
                    </a:xfrm>
                    <a:prstGeom prst="rect"/>
                  </pic:spPr>
                </pic:pic>
              </a:graphicData>
            </a:graphic>
          </wp:inline>
        </w:drawing>
      </w:r>
    </w:p>
    <w:p>
      <w:pPr>
        <w:spacing w:before="60" w:after="240"/>
      </w:pPr>
      <w:r>
        <w:rPr>
          <w:rFonts w:ascii="Times New Roman" w:hAnsi="Times New Roman" w:eastAsia="Times New Roman" w:cs="Times New Roman"/>
          <w:i/>
          <w:color w:val="404040"/>
          <w:sz w:val="18"/>
        </w:rPr>
        <w:t>Figure 8: Turn rate on the visits where the track ahead was blocked.</w:t>
      </w:r>
    </w:p>
    <w:p>
      <w:pPr>
        <w:spacing w:after="120"/>
      </w:pPr>
      <w:r>
        <w:rPr>
          <w:rFonts w:ascii="Times New Roman" w:hAnsi="Times New Roman" w:eastAsia="Times New Roman" w:cs="Times New Roman"/>
        </w:rPr>
        <w:t>Of 101 agent-steps standing on a crossover with a blocked cell ahead, 81 produced a turn; of 202 with a clear track, 0 did. The audit records one decision per visit to a commit cell, so 81 turns over two seeds is about 40 diverts per episode. The rate is not uniform - four crossovers turn on every blocked visit and (5,59) on 20 of 40 - so the behaviour is state-dependent, not a blanket lane swap, and the A2C and DQN panels of Figure 4 show what the blanket alternative looks like.</w:t>
      </w:r>
    </w:p>
    <w:p>
      <w:pPr>
        <w:spacing w:after="120"/>
      </w:pPr>
      <w:r>
        <w:rPr>
          <w:rFonts w:ascii="Times New Roman" w:hAnsi="Times New Roman" w:eastAsia="Times New Roman" w:cs="Times New Roman"/>
        </w:rPr>
        <w:t>Under the clean condition the same checkpoint is inert: on 3 seeds it scores 0.0000, exactly as the forward-only baseline does, and the decision audit records 546 visits to a commit crossover with a clear track and not one turn (results/clean_audit.csv). With the blockage suppressed but the Poisson malfunction layer left on, the arm is indistinguishable from the baseline: -0.0133 against -0.0165, a paired +0.0032 on 3 seeds, 3 of 3 but p = 0.25. The crossings in Table 4 therefore belong to the blockage, not to the policy's habit.</w:t>
      </w:r>
    </w:p>
    <w:p>
      <w:pPr>
        <w:spacing w:after="120"/>
      </w:pPr>
      <w:r>
        <w:rPr>
          <w:rFonts w:ascii="Times New Roman" w:hAnsi="Times New Roman" w:eastAsia="Times New Roman" w:cs="Times New Roman"/>
        </w:rPr>
        <w:t>The junction is reported as a loss, and its two failure modes bracket the metric's pathology.</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rPr>
          <w:cantSplit/>
          <w:tblHeader/>
        </w:trPr>
        <w:tc>
          <w:tcPr>
            <w:tcW w:type="dxa" w:w="2381"/>
            <w:shd w:val="clear" w:color="auto" w:fill="1F3864"/>
          </w:tcPr>
          <w:p>
            <w:pPr>
              <w:spacing w:before="20" w:after="20"/>
            </w:pPr>
            <w:r/>
            <w:r>
              <w:rPr>
                <w:rFonts w:ascii="Times New Roman" w:hAnsi="Times New Roman" w:eastAsia="Times New Roman" w:cs="Times New Roman"/>
                <w:b/>
                <w:color w:val="FFFFFF"/>
                <w:sz w:val="18"/>
              </w:rPr>
              <w:t>Arm</w:t>
            </w:r>
          </w:p>
        </w:tc>
        <w:tc>
          <w:tcPr>
            <w:tcW w:type="dxa" w:w="1247"/>
            <w:shd w:val="clear" w:color="auto" w:fill="1F3864"/>
          </w:tcPr>
          <w:p>
            <w:pPr>
              <w:spacing w:before="20" w:after="20"/>
            </w:pPr>
            <w:r/>
            <w:r>
              <w:rPr>
                <w:rFonts w:ascii="Times New Roman" w:hAnsi="Times New Roman" w:eastAsia="Times New Roman" w:cs="Times New Roman"/>
                <w:b/>
                <w:color w:val="FFFFFF"/>
                <w:sz w:val="18"/>
              </w:rPr>
              <w:t>Baseline</w:t>
            </w:r>
          </w:p>
        </w:tc>
        <w:tc>
          <w:tcPr>
            <w:tcW w:type="dxa" w:w="1134"/>
            <w:shd w:val="clear" w:color="auto" w:fill="1F3864"/>
          </w:tcPr>
          <w:p>
            <w:pPr>
              <w:spacing w:before="20" w:after="20"/>
            </w:pPr>
            <w:r/>
            <w:r>
              <w:rPr>
                <w:rFonts w:ascii="Times New Roman" w:hAnsi="Times New Roman" w:eastAsia="Times New Roman" w:cs="Times New Roman"/>
                <w:b/>
                <w:color w:val="FFFFFF"/>
                <w:sz w:val="18"/>
              </w:rPr>
              <w:t>Arm</w:t>
            </w:r>
          </w:p>
        </w:tc>
        <w:tc>
          <w:tcPr>
            <w:tcW w:type="dxa" w:w="964"/>
            <w:shd w:val="clear" w:color="auto" w:fill="1F3864"/>
          </w:tcPr>
          <w:p>
            <w:pPr>
              <w:spacing w:before="20" w:after="20"/>
            </w:pPr>
            <w:r/>
            <w:r>
              <w:rPr>
                <w:rFonts w:ascii="Times New Roman" w:hAnsi="Times New Roman" w:eastAsia="Times New Roman" w:cs="Times New Roman"/>
                <w:b/>
                <w:color w:val="FFFFFF"/>
                <w:sz w:val="18"/>
              </w:rPr>
              <w:t>Delta</w:t>
            </w:r>
          </w:p>
        </w:tc>
        <w:tc>
          <w:tcPr>
            <w:tcW w:type="dxa" w:w="850"/>
            <w:shd w:val="clear" w:color="auto" w:fill="1F3864"/>
          </w:tcPr>
          <w:p>
            <w:pPr>
              <w:spacing w:before="20" w:after="20"/>
            </w:pPr>
            <w:r/>
            <w:r>
              <w:rPr>
                <w:rFonts w:ascii="Times New Roman" w:hAnsi="Times New Roman" w:eastAsia="Times New Roman" w:cs="Times New Roman"/>
                <w:b/>
                <w:color w:val="FFFFFF"/>
                <w:sz w:val="18"/>
              </w:rPr>
              <w:t>Wins</w:t>
            </w:r>
          </w:p>
        </w:tc>
        <w:tc>
          <w:tcPr>
            <w:tcW w:type="dxa" w:w="2154"/>
            <w:shd w:val="clear" w:color="auto" w:fill="1F3864"/>
          </w:tcPr>
          <w:p>
            <w:pPr>
              <w:spacing w:before="20" w:after="20"/>
            </w:pPr>
            <w:r/>
            <w:r>
              <w:rPr>
                <w:rFonts w:ascii="Times New Roman" w:hAnsi="Times New Roman" w:eastAsia="Times New Roman" w:cs="Times New Roman"/>
                <w:b/>
                <w:color w:val="FFFFFF"/>
                <w:sz w:val="18"/>
              </w:rPr>
              <w:t>Completion (base → arm)</w:t>
            </w:r>
          </w:p>
        </w:tc>
      </w:tr>
      <w:tr>
        <w:trPr>
          <w:cantSplit/>
        </w:trPr>
        <w:tc>
          <w:tcPr>
            <w:tcW w:type="dxa" w:w="2381"/>
          </w:tcPr>
          <w:p>
            <w:pPr>
              <w:spacing w:before="20" w:after="20"/>
            </w:pPr>
            <w:r/>
            <w:r>
              <w:rPr>
                <w:rFonts w:ascii="Times New Roman" w:hAnsi="Times New Roman" w:eastAsia="Times New Roman" w:cs="Times New Roman"/>
                <w:sz w:val="18"/>
              </w:rPr>
              <w:t>PPO (30 seeds, 1030-d)</w:t>
            </w:r>
          </w:p>
        </w:tc>
        <w:tc>
          <w:tcPr>
            <w:tcW w:type="dxa" w:w="1247"/>
          </w:tcPr>
          <w:p>
            <w:pPr>
              <w:spacing w:before="20" w:after="20"/>
            </w:pPr>
            <w:r/>
            <w:r>
              <w:rPr>
                <w:rFonts w:ascii="Times New Roman" w:hAnsi="Times New Roman" w:eastAsia="Times New Roman" w:cs="Times New Roman"/>
                <w:sz w:val="18"/>
              </w:rPr>
              <w:t>-0.1769</w:t>
            </w:r>
          </w:p>
        </w:tc>
        <w:tc>
          <w:tcPr>
            <w:tcW w:type="dxa" w:w="1134"/>
          </w:tcPr>
          <w:p>
            <w:pPr>
              <w:spacing w:before="20" w:after="20"/>
            </w:pPr>
            <w:r/>
            <w:r>
              <w:rPr>
                <w:rFonts w:ascii="Times New Roman" w:hAnsi="Times New Roman" w:eastAsia="Times New Roman" w:cs="Times New Roman"/>
                <w:sz w:val="18"/>
              </w:rPr>
              <w:t>-0.0251</w:t>
            </w:r>
          </w:p>
        </w:tc>
        <w:tc>
          <w:tcPr>
            <w:tcW w:type="dxa" w:w="964"/>
          </w:tcPr>
          <w:p>
            <w:pPr>
              <w:spacing w:before="20" w:after="20"/>
            </w:pPr>
            <w:r/>
            <w:r>
              <w:rPr>
                <w:rFonts w:ascii="Times New Roman" w:hAnsi="Times New Roman" w:eastAsia="Times New Roman" w:cs="Times New Roman"/>
                <w:sz w:val="18"/>
              </w:rPr>
              <w:t>+0.1518</w:t>
            </w:r>
          </w:p>
        </w:tc>
        <w:tc>
          <w:tcPr>
            <w:tcW w:type="dxa" w:w="850"/>
          </w:tcPr>
          <w:p>
            <w:pPr>
              <w:spacing w:before="20" w:after="20"/>
            </w:pPr>
            <w:r/>
            <w:r>
              <w:rPr>
                <w:rFonts w:ascii="Times New Roman" w:hAnsi="Times New Roman" w:eastAsia="Times New Roman" w:cs="Times New Roman"/>
                <w:sz w:val="18"/>
              </w:rPr>
              <w:t>30/30</w:t>
            </w:r>
          </w:p>
        </w:tc>
        <w:tc>
          <w:tcPr>
            <w:tcW w:type="dxa" w:w="2154"/>
          </w:tcPr>
          <w:p>
            <w:pPr>
              <w:spacing w:before="20" w:after="20"/>
            </w:pPr>
            <w:r/>
            <w:r>
              <w:rPr>
                <w:rFonts w:ascii="Times New Roman" w:hAnsi="Times New Roman" w:eastAsia="Times New Roman" w:cs="Times New Roman"/>
                <w:sz w:val="18"/>
              </w:rPr>
              <w:t>1.000 → 0.000</w:t>
            </w:r>
          </w:p>
        </w:tc>
      </w:tr>
      <w:tr>
        <w:trPr>
          <w:cantSplit/>
        </w:trPr>
        <w:tc>
          <w:tcPr>
            <w:tcW w:type="dxa" w:w="2381"/>
            <w:shd w:val="clear" w:color="auto" w:fill="F2F5FA"/>
          </w:tcPr>
          <w:p>
            <w:pPr>
              <w:spacing w:before="20" w:after="20"/>
            </w:pPr>
            <w:r/>
            <w:r>
              <w:rPr>
                <w:rFonts w:ascii="Times New Roman" w:hAnsi="Times New Roman" w:eastAsia="Times New Roman" w:cs="Times New Roman"/>
                <w:sz w:val="18"/>
              </w:rPr>
              <w:t>A2C (30 seeds, 1030-d)</w:t>
            </w:r>
          </w:p>
        </w:tc>
        <w:tc>
          <w:tcPr>
            <w:tcW w:type="dxa" w:w="1247"/>
            <w:shd w:val="clear" w:color="auto" w:fill="F2F5FA"/>
          </w:tcPr>
          <w:p>
            <w:pPr>
              <w:spacing w:before="20" w:after="20"/>
            </w:pPr>
            <w:r/>
            <w:r>
              <w:rPr>
                <w:rFonts w:ascii="Times New Roman" w:hAnsi="Times New Roman" w:eastAsia="Times New Roman" w:cs="Times New Roman"/>
                <w:sz w:val="18"/>
              </w:rPr>
              <w:t>-0.1769</w:t>
            </w:r>
          </w:p>
        </w:tc>
        <w:tc>
          <w:tcPr>
            <w:tcW w:type="dxa" w:w="1134"/>
            <w:shd w:val="clear" w:color="auto" w:fill="F2F5FA"/>
          </w:tcPr>
          <w:p>
            <w:pPr>
              <w:spacing w:before="20" w:after="20"/>
            </w:pPr>
            <w:r/>
            <w:r>
              <w:rPr>
                <w:rFonts w:ascii="Times New Roman" w:hAnsi="Times New Roman" w:eastAsia="Times New Roman" w:cs="Times New Roman"/>
                <w:sz w:val="18"/>
              </w:rPr>
              <w:t>-0.0251</w:t>
            </w:r>
          </w:p>
        </w:tc>
        <w:tc>
          <w:tcPr>
            <w:tcW w:type="dxa" w:w="964"/>
            <w:shd w:val="clear" w:color="auto" w:fill="F2F5FA"/>
          </w:tcPr>
          <w:p>
            <w:pPr>
              <w:spacing w:before="20" w:after="20"/>
            </w:pPr>
            <w:r/>
            <w:r>
              <w:rPr>
                <w:rFonts w:ascii="Times New Roman" w:hAnsi="Times New Roman" w:eastAsia="Times New Roman" w:cs="Times New Roman"/>
                <w:sz w:val="18"/>
              </w:rPr>
              <w:t>+0.1518</w:t>
            </w:r>
          </w:p>
        </w:tc>
        <w:tc>
          <w:tcPr>
            <w:tcW w:type="dxa" w:w="850"/>
            <w:shd w:val="clear" w:color="auto" w:fill="F2F5FA"/>
          </w:tcPr>
          <w:p>
            <w:pPr>
              <w:spacing w:before="20" w:after="20"/>
            </w:pPr>
            <w:r/>
            <w:r>
              <w:rPr>
                <w:rFonts w:ascii="Times New Roman" w:hAnsi="Times New Roman" w:eastAsia="Times New Roman" w:cs="Times New Roman"/>
                <w:sz w:val="18"/>
              </w:rPr>
              <w:t>30/30</w:t>
            </w:r>
          </w:p>
        </w:tc>
        <w:tc>
          <w:tcPr>
            <w:tcW w:type="dxa" w:w="2154"/>
            <w:shd w:val="clear" w:color="auto" w:fill="F2F5FA"/>
          </w:tcPr>
          <w:p>
            <w:pPr>
              <w:spacing w:before="20" w:after="20"/>
            </w:pPr>
            <w:r/>
            <w:r>
              <w:rPr>
                <w:rFonts w:ascii="Times New Roman" w:hAnsi="Times New Roman" w:eastAsia="Times New Roman" w:cs="Times New Roman"/>
                <w:sz w:val="18"/>
              </w:rPr>
              <w:t>1.000 → 0.000</w:t>
            </w:r>
          </w:p>
        </w:tc>
      </w:tr>
      <w:tr>
        <w:trPr>
          <w:cantSplit/>
        </w:trPr>
        <w:tc>
          <w:tcPr>
            <w:tcW w:type="dxa" w:w="2381"/>
          </w:tcPr>
          <w:p>
            <w:pPr>
              <w:spacing w:before="20" w:after="20"/>
            </w:pPr>
            <w:r/>
            <w:r>
              <w:rPr>
                <w:rFonts w:ascii="Times New Roman" w:hAnsi="Times New Roman" w:eastAsia="Times New Roman" w:cs="Times New Roman"/>
                <w:sz w:val="18"/>
              </w:rPr>
              <w:t>DQN (30 seeds, 1030-d)</w:t>
            </w:r>
          </w:p>
        </w:tc>
        <w:tc>
          <w:tcPr>
            <w:tcW w:type="dxa" w:w="1247"/>
          </w:tcPr>
          <w:p>
            <w:pPr>
              <w:spacing w:before="20" w:after="20"/>
            </w:pPr>
            <w:r/>
            <w:r>
              <w:rPr>
                <w:rFonts w:ascii="Times New Roman" w:hAnsi="Times New Roman" w:eastAsia="Times New Roman" w:cs="Times New Roman"/>
                <w:sz w:val="18"/>
              </w:rPr>
              <w:t>-0.1769</w:t>
            </w:r>
          </w:p>
        </w:tc>
        <w:tc>
          <w:tcPr>
            <w:tcW w:type="dxa" w:w="1134"/>
          </w:tcPr>
          <w:p>
            <w:pPr>
              <w:spacing w:before="20" w:after="20"/>
            </w:pPr>
            <w:r/>
            <w:r>
              <w:rPr>
                <w:rFonts w:ascii="Times New Roman" w:hAnsi="Times New Roman" w:eastAsia="Times New Roman" w:cs="Times New Roman"/>
                <w:sz w:val="18"/>
              </w:rPr>
              <w:t>-0.0208</w:t>
            </w:r>
          </w:p>
        </w:tc>
        <w:tc>
          <w:tcPr>
            <w:tcW w:type="dxa" w:w="964"/>
          </w:tcPr>
          <w:p>
            <w:pPr>
              <w:spacing w:before="20" w:after="20"/>
            </w:pPr>
            <w:r/>
            <w:r>
              <w:rPr>
                <w:rFonts w:ascii="Times New Roman" w:hAnsi="Times New Roman" w:eastAsia="Times New Roman" w:cs="Times New Roman"/>
                <w:sz w:val="18"/>
              </w:rPr>
              <w:t>+0.1561</w:t>
            </w:r>
          </w:p>
        </w:tc>
        <w:tc>
          <w:tcPr>
            <w:tcW w:type="dxa" w:w="850"/>
          </w:tcPr>
          <w:p>
            <w:pPr>
              <w:spacing w:before="20" w:after="20"/>
            </w:pPr>
            <w:r/>
            <w:r>
              <w:rPr>
                <w:rFonts w:ascii="Times New Roman" w:hAnsi="Times New Roman" w:eastAsia="Times New Roman" w:cs="Times New Roman"/>
                <w:sz w:val="18"/>
              </w:rPr>
              <w:t>30/30</w:t>
            </w:r>
          </w:p>
        </w:tc>
        <w:tc>
          <w:tcPr>
            <w:tcW w:type="dxa" w:w="2154"/>
          </w:tcPr>
          <w:p>
            <w:pPr>
              <w:spacing w:before="20" w:after="20"/>
            </w:pPr>
            <w:r/>
            <w:r>
              <w:rPr>
                <w:rFonts w:ascii="Times New Roman" w:hAnsi="Times New Roman" w:eastAsia="Times New Roman" w:cs="Times New Roman"/>
                <w:sz w:val="18"/>
              </w:rPr>
              <w:t>1.000 → 0.183</w:t>
            </w:r>
          </w:p>
        </w:tc>
      </w:tr>
      <w:tr>
        <w:trPr>
          <w:cantSplit/>
        </w:trPr>
        <w:tc>
          <w:tcPr>
            <w:tcW w:type="dxa" w:w="2381"/>
            <w:shd w:val="clear" w:color="auto" w:fill="F2F5FA"/>
          </w:tcPr>
          <w:p>
            <w:pPr>
              <w:spacing w:before="20" w:after="20"/>
            </w:pPr>
            <w:r/>
            <w:r>
              <w:rPr>
                <w:rFonts w:ascii="Times New Roman" w:hAnsi="Times New Roman" w:eastAsia="Times New Roman" w:cs="Times New Roman"/>
                <w:sz w:val="18"/>
              </w:rPr>
              <w:t>PPO (current, 2 seeds)</w:t>
            </w:r>
          </w:p>
        </w:tc>
        <w:tc>
          <w:tcPr>
            <w:tcW w:type="dxa" w:w="1247"/>
            <w:shd w:val="clear" w:color="auto" w:fill="F2F5FA"/>
          </w:tcPr>
          <w:p>
            <w:pPr>
              <w:spacing w:before="20" w:after="20"/>
            </w:pPr>
            <w:r/>
            <w:r>
              <w:rPr>
                <w:rFonts w:ascii="Times New Roman" w:hAnsi="Times New Roman" w:eastAsia="Times New Roman" w:cs="Times New Roman"/>
                <w:sz w:val="18"/>
              </w:rPr>
              <w:t>-0.1823</w:t>
            </w:r>
          </w:p>
        </w:tc>
        <w:tc>
          <w:tcPr>
            <w:tcW w:type="dxa" w:w="1134"/>
            <w:shd w:val="clear" w:color="auto" w:fill="F2F5FA"/>
          </w:tcPr>
          <w:p>
            <w:pPr>
              <w:spacing w:before="20" w:after="20"/>
            </w:pPr>
            <w:r/>
            <w:r>
              <w:rPr>
                <w:rFonts w:ascii="Times New Roman" w:hAnsi="Times New Roman" w:eastAsia="Times New Roman" w:cs="Times New Roman"/>
                <w:sz w:val="18"/>
              </w:rPr>
              <w:t>-0.2400</w:t>
            </w:r>
          </w:p>
        </w:tc>
        <w:tc>
          <w:tcPr>
            <w:tcW w:type="dxa" w:w="964"/>
            <w:shd w:val="clear" w:color="auto" w:fill="F2F5FA"/>
          </w:tcPr>
          <w:p>
            <w:pPr>
              <w:spacing w:before="20" w:after="20"/>
            </w:pPr>
            <w:r/>
            <w:r>
              <w:rPr>
                <w:rFonts w:ascii="Times New Roman" w:hAnsi="Times New Roman" w:eastAsia="Times New Roman" w:cs="Times New Roman"/>
                <w:sz w:val="18"/>
              </w:rPr>
              <w:t>-0.0577</w:t>
            </w:r>
          </w:p>
        </w:tc>
        <w:tc>
          <w:tcPr>
            <w:tcW w:type="dxa" w:w="850"/>
            <w:shd w:val="clear" w:color="auto" w:fill="F2F5FA"/>
          </w:tcPr>
          <w:p>
            <w:pPr>
              <w:spacing w:before="20" w:after="20"/>
            </w:pPr>
            <w:r/>
            <w:r>
              <w:rPr>
                <w:rFonts w:ascii="Times New Roman" w:hAnsi="Times New Roman" w:eastAsia="Times New Roman" w:cs="Times New Roman"/>
                <w:sz w:val="18"/>
              </w:rPr>
              <w:t>0/2</w:t>
            </w:r>
          </w:p>
        </w:tc>
        <w:tc>
          <w:tcPr>
            <w:tcW w:type="dxa" w:w="2154"/>
            <w:shd w:val="clear" w:color="auto" w:fill="F2F5FA"/>
          </w:tcPr>
          <w:p>
            <w:pPr>
              <w:spacing w:before="20" w:after="20"/>
            </w:pPr>
            <w:r/>
            <w:r>
              <w:rPr>
                <w:rFonts w:ascii="Times New Roman" w:hAnsi="Times New Roman" w:eastAsia="Times New Roman" w:cs="Times New Roman"/>
                <w:sz w:val="18"/>
              </w:rPr>
              <w:t>1.000 → 0.468</w:t>
            </w:r>
          </w:p>
        </w:tc>
      </w:tr>
    </w:tbl>
    <w:p>
      <w:pPr>
        <w:spacing w:before="60" w:after="240"/>
      </w:pPr>
      <w:r>
        <w:rPr>
          <w:rFonts w:ascii="Times New Roman" w:hAnsi="Times New Roman" w:eastAsia="Times New Roman" w:cs="Times New Roman"/>
          <w:i/>
          <w:color w:val="404040"/>
          <w:sz w:val="18"/>
        </w:rPr>
        <w:t>Table 5: Junction results. The first three rows are the recorded 30-seed runs from before the two observation features were added, kept as measured: that policy parks the fleet. The last row is the current checkpoint selected by completion, which departs and jams; it is a two-seed evaluation shipped as results/junction_current.csv, identically scored on both seeds, so treat it as one behaviour. The rows are not directly comparable.</w:t>
      </w:r>
    </w:p>
    <w:p>
      <w:pPr>
        <w:spacing w:after="120"/>
      </w:pPr>
      <w:r>
        <w:rPr>
          <w:rFonts w:ascii="Times New Roman" w:hAnsi="Times New Roman" w:eastAsia="Times New Roman" w:cs="Times New Roman"/>
        </w:rPr>
        <w:t>Parking scores better than attempting: every learned 30-seed arm scores about +0.15 better than the route follower while completing 0 to 18 per cent of the trains, because a cancellation costs about 19 cost units while a dispatch into the jam is charged its full delay. The current checkpoint shows the other side: selected by completion rather than score, it sends every dispatched train into the throat, completing 59 of 126 and scoring -0.2400, worse than the scripted baseline at -0.1823 with 126 of 126 home (Figure 5). Neither is a working junction policy; a global controller, or imitation of the route follower, is what that map needs.</w:t>
      </w:r>
    </w:p>
    <w:p>
      <w:pPr>
        <w:keepNext/>
        <w:spacing w:before="240" w:after="160"/>
      </w:pPr>
      <w:r>
        <w:rPr>
          <w:rFonts w:ascii="Times New Roman" w:hAnsi="Times New Roman" w:eastAsia="Times New Roman" w:cs="Times New Roman"/>
          <w:b/>
          <w:sz w:val="36"/>
        </w:rPr>
        <w:t>3.4 Limitations</w:t>
      </w:r>
    </w:p>
    <w:p>
      <w:pPr>
        <w:spacing w:after="60"/>
        <w:ind w:left="369" w:hanging="227"/>
      </w:pPr>
      <w:r>
        <w:rPr>
          <w:rFonts w:ascii="Times New Roman" w:hAnsi="Times New Roman" w:eastAsia="Times New Roman" w:cs="Times New Roman"/>
        </w:rPr>
        <w:t>•  Only PPO has the full 30-seed paired test on the corridor. A2C and DQN are reported from their selection seeds and the rendered episode; a paired run for them would strengthen the three-algorithm claim and is the obvious next experiment.</w:t>
      </w:r>
    </w:p>
    <w:p>
      <w:pPr>
        <w:spacing w:after="60"/>
        <w:ind w:left="369" w:hanging="227"/>
      </w:pPr>
      <w:r>
        <w:rPr>
          <w:rFonts w:ascii="Times New Roman" w:hAnsi="Times New Roman" w:eastAsia="Times New Roman" w:cs="Times New Roman"/>
        </w:rPr>
        <w:t>•  The corridor decision is local: one crossover per blocked stretch and a two-cell detour. The result is not evidence that per-agent RL can arbitrate a junction.</w:t>
      </w:r>
    </w:p>
    <w:p>
      <w:pPr>
        <w:spacing w:after="60"/>
        <w:ind w:left="369" w:hanging="227"/>
      </w:pPr>
      <w:r>
        <w:rPr>
          <w:rFonts w:ascii="Times New Roman" w:hAnsi="Times New Roman" w:eastAsia="Times New Roman" w:cs="Times New Roman"/>
        </w:rPr>
        <w:t>•  The disruption volume is a modelling choice, not data: 2 x 400 steps keeps completion at 1.000 while making every affected trip late.</w:t>
      </w:r>
    </w:p>
    <w:p>
      <w:pPr>
        <w:spacing w:after="60"/>
        <w:ind w:left="369" w:hanging="227"/>
      </w:pPr>
      <w:r>
        <w:rPr>
          <w:rFonts w:ascii="Times New Roman" w:hAnsi="Times New Roman" w:eastAsia="Times New Roman" w:cs="Times New Roman"/>
        </w:rPr>
        <w:t>•  From-scratch learning does not find the crossing, and the A2C and DQN arms demonstrate it independently. The corridor arm is imitation-then-RL, not pure exploration, and the warm start inherits the teacher's own score of -0.0005.</w:t>
      </w:r>
    </w:p>
    <w:p>
      <w:pPr>
        <w:spacing w:after="60"/>
        <w:ind w:left="369" w:hanging="227"/>
      </w:pPr>
      <w:r>
        <w:rPr>
          <w:rFonts w:ascii="Times New Roman" w:hAnsi="Times New Roman" w:eastAsia="Times New Roman" w:cs="Times New Roman"/>
        </w:rPr>
        <w:t>•  The 30 held-out seeds vary the blockage placement only: fleet, timetable and deterministic actions are fixed, a single training seed per arm was run, and the mean delta has a sign test but no confidence interval.</w:t>
      </w:r>
    </w:p>
    <w:p>
      <w:pPr>
        <w:spacing w:after="60"/>
        <w:ind w:left="369" w:hanging="227"/>
      </w:pPr>
      <w:r>
        <w:rPr>
          <w:rFonts w:ascii="Times New Roman" w:hAnsi="Times New Roman" w:eastAsia="Times New Roman" w:cs="Times New Roman"/>
        </w:rPr>
        <w:t>•  The junction table mixes two observation versions; the 30-seed checkpoints predate the two feature additions and no longer load. They are reported as measured and labelled.</w:t>
      </w:r>
    </w:p>
    <w:p>
      <w:pPr>
        <w:spacing w:after="60"/>
        <w:ind w:left="369" w:hanging="227"/>
      </w:pPr>
      <w:r>
        <w:rPr>
          <w:rFonts w:ascii="Times New Roman" w:hAnsi="Times New Roman" w:eastAsia="Times New Roman" w:cs="Times New Roman"/>
        </w:rPr>
        <w:t>•  Evaluation is entirely simulated. The timetable and the track layout are real; there is no operational validation and no human factors layer.</w:t>
      </w:r>
    </w:p>
    <w:p>
      <w:r>
        <w:br w:type="page"/>
      </w:r>
    </w:p>
    <w:p w:rsidR="00000000" w:rsidDel="00000000" w:rsidP="00000000" w:rsidRDefault="00000000" w:rsidRPr="00000000" w14:paraId="00000188">
      <w:pPr>
        <w:spacing w:after="280" w:before="280" w:line="240" w:lineRule="auto"/>
        <w:rPr/>
      </w:pPr>
      <w:bookmarkStart w:colFirst="0" w:colLast="0" w:name="_heading=h.ejh69pfmqe9e" w:id="11"/>
      <w:bookmarkEnd w:id="11"/>
      <w:r w:rsidDel="00000000" w:rsidR="00000000" w:rsidRPr="00000000">
        <w:rPr>
          <w:rFonts w:ascii="Times New Roman" w:hAnsi="Times New Roman" w:eastAsia="Times New Roman" w:cs="Times New Roman"/>
          <w:rtl w:val="0"/>
          <w:sz w:val="48"/>
          <w:b/>
        </w:rPr>
        <w:t xml:space="preserve">4. Discussion and Conclusions</w:t>
      </w:r>
    </w:p>
    <w:p w:rsidR="00000000" w:rsidDel="00000000" w:rsidP="00000000" w:rsidRDefault="00000000" w:rsidRPr="00000000" w14:paraId="00000189">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[Summarize your project, results, etc.  Suggest future extensions and improvements.]</w:t>
      </w:r>
    </w:p>
    <w:p w:rsidR="00000000" w:rsidDel="00000000" w:rsidP="00000000" w:rsidRDefault="00000000" w:rsidRPr="00000000" w14:paraId="000001A0">
      <w:pPr>
        <w:spacing w:after="280" w:before="280" w:line="240" w:lineRule="auto"/>
        <w:rPr/>
      </w:pPr>
      <w:bookmarkStart w:colFirst="0" w:colLast="0" w:name="_heading=h.t3uc9nkcbhps" w:id="12"/>
      <w:bookmarkEnd w:id="12"/>
      <w:r w:rsidDel="00000000" w:rsidR="00000000" w:rsidRPr="00000000">
        <w:rPr>
          <w:rFonts w:ascii="Times New Roman" w:hAnsi="Times New Roman" w:eastAsia="Times New Roman" w:cs="Times New Roman"/>
          <w:rtl w:val="0"/>
          <w:sz w:val="48"/>
          <w:b/>
        </w:rPr>
        <w:t xml:space="preserve">5. References</w:t>
      </w:r>
    </w:p>
    <w:p w:rsidR="00000000" w:rsidDel="00000000" w:rsidP="00000000" w:rsidRDefault="00000000" w:rsidRPr="00000000" w14:paraId="000001A1">
      <w:pPr>
        <w:spacing w:after="0" w:lin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Gorrey, M., Segaert, A., Ganko, J., &amp; Kaine, E. (2025, May 21). ‘Delay all non-essential travel’: Commuters warned to expect more train chaos.</w:t>
      </w:r>
      <w:r w:rsidDel="00000000" w:rsidR="00000000" w:rsidRPr="00000000">
        <w:rPr>
          <w:rFonts w:ascii="Times New Roman" w:cs="Times New Roman" w:eastAsia="Times New Roman" w:hAnsi="Times New Roman"/>
          <w:i w:val="1"/>
          <w:iCs w:val="1"/>
          <w:sz w:val="24"/>
          <w:szCs w:val="24"/>
          <w:rtl w:val="0"/>
        </w:rPr>
        <w:t xml:space="preserve"> The Sydney Morning Herald</w:t>
      </w:r>
      <w:r w:rsidDel="00000000" w:rsidR="00000000" w:rsidRPr="00000000">
        <w:rPr>
          <w:rFonts w:ascii="Times New Roman" w:cs="Times New Roman" w:eastAsia="Times New Roman" w:hAnsi="Times New Roman"/>
          <w:sz w:val="24"/>
          <w:szCs w:val="24"/>
          <w:rtl w:val="0"/>
        </w:rPr>
        <w:t xml:space="preserve">.</w:t>
      </w:r>
      <w:hyperlink r:id="rId16">
        <w:r w:rsidDel="00000000" w:rsidR="00000000" w:rsidRPr="00000000">
          <w:rPr>
            <w:rFonts w:ascii="Times New Roman" w:cs="Times New Roman" w:eastAsia="Times New Roman" w:hAnsi="Times New Roman"/>
            <w:sz w:val="24"/>
            <w:szCs w:val="24"/>
            <w:rtl w:val="0"/>
          </w:rPr>
          <w:t xml:space="preserve"> </w:t>
        </w:r>
      </w:hyperlink>
      <w:hyperlink r:id="rId17">
        <w:r w:rsidDel="00000000" w:rsidR="00000000" w:rsidRPr="00000000">
          <w:rPr>
            <w:rFonts w:ascii="Times New Roman" w:cs="Times New Roman" w:eastAsia="Times New Roman" w:hAnsi="Times New Roman"/>
            <w:color w:val="1155cc"/>
            <w:sz w:val="24"/>
            <w:szCs w:val="24"/>
            <w:u w:val="single"/>
            <w:rtl w:val="0"/>
          </w:rPr>
          <w:t xml:space="preserve">https://www.smh.com.au/national/nsw/major-disruptions-expected-as-power-failure-halts-trains-20250520-p5m0t1.html</w:t>
          <w:br w:type="textWrapping"/>
        </w:r>
      </w:hyperlink>
      <w:r w:rsidDel="00000000" w:rsidR="00000000" w:rsidRPr="00000000">
        <w:rPr>
          <w:rtl w:val="0"/>
        </w:rPr>
      </w:r>
    </w:p>
    <w:p w:rsidR="00000000" w:rsidDel="00000000" w:rsidP="00000000" w:rsidRDefault="00000000" w:rsidRPr="00000000" w14:paraId="000001A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 B., Guo, T., Li, R., Wang, Y., Ou, Y., &amp; Chen, F. (2021). Delay propagation in large railway networks with data-driven Bayesian modeling. </w:t>
      </w:r>
      <w:r w:rsidDel="00000000" w:rsidR="00000000" w:rsidRPr="00000000">
        <w:rPr>
          <w:rFonts w:ascii="Times New Roman" w:cs="Times New Roman" w:eastAsia="Times New Roman" w:hAnsi="Times New Roman"/>
          <w:i w:val="1"/>
          <w:iCs w:val="1"/>
          <w:sz w:val="24"/>
          <w:szCs w:val="24"/>
          <w:rtl w:val="0"/>
        </w:rPr>
        <w:t xml:space="preserve">Transportation Research Record</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2675</w:t>
      </w:r>
      <w:r w:rsidDel="00000000" w:rsidR="00000000" w:rsidRPr="00000000">
        <w:rPr>
          <w:rFonts w:ascii="Times New Roman" w:cs="Times New Roman" w:eastAsia="Times New Roman" w:hAnsi="Times New Roman"/>
          <w:sz w:val="24"/>
          <w:szCs w:val="24"/>
          <w:rtl w:val="0"/>
        </w:rPr>
        <w:t xml:space="preserve">(11), 472-485.</w:t>
        <w:br w:type="textWrapping"/>
      </w:r>
    </w:p>
    <w:p w:rsidR="00000000" w:rsidDel="00000000" w:rsidP="00000000" w:rsidRDefault="00000000" w:rsidRPr="00000000" w14:paraId="000001A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Mohanty, S., Nygren, E., Laurent, F., Schneider, M., Scheller, C., Bhattacharya, N., Watson, J., Egli, A., Eichenberger, C., &amp; Baumberger, C. (2020). Flatland-rl: Multi-agent reinforcement learning on trains. </w:t>
      </w:r>
      <w:r w:rsidDel="00000000" w:rsidR="00000000" w:rsidRPr="00000000">
        <w:rPr>
          <w:rFonts w:ascii="Times New Roman" w:cs="Times New Roman" w:eastAsia="Times New Roman" w:hAnsi="Times New Roman"/>
          <w:i w:val="1"/>
          <w:iCs w:val="1"/>
          <w:sz w:val="24"/>
          <w:szCs w:val="24"/>
          <w:rtl w:val="0"/>
        </w:rPr>
        <w:t xml:space="preserve">arXiv preprint arXiv:2012.05893</w:t>
      </w:r>
      <w:r w:rsidDel="00000000" w:rsidR="00000000" w:rsidRPr="00000000">
        <w:rPr>
          <w:rFonts w:ascii="Times New Roman" w:cs="Times New Roman" w:eastAsia="Times New Roman" w:hAnsi="Times New Roman"/>
          <w:sz w:val="24"/>
          <w:szCs w:val="24"/>
          <w:rtl w:val="0"/>
        </w:rPr>
        <w:t xml:space="preserve">.</w:t>
        <w:br w:type="textWrapping"/>
      </w:r>
    </w:p>
    <w:p w:rsidR="00000000" w:rsidDel="00000000" w:rsidP="00000000" w:rsidRDefault="00000000" w:rsidRPr="00000000" w14:paraId="000001A4">
      <w:pPr>
        <w:spacing w:after="0" w:lin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Roberts, M. ( 2024, June 17). Signal repairs cause train disruption in Sydney during Monday morning commute </w:t>
      </w:r>
      <w:r w:rsidDel="00000000" w:rsidR="00000000" w:rsidRPr="00000000">
        <w:rPr>
          <w:rFonts w:ascii="Times New Roman" w:cs="Times New Roman" w:eastAsia="Times New Roman" w:hAnsi="Times New Roman"/>
          <w:i w:val="1"/>
          <w:iCs w:val="1"/>
          <w:sz w:val="24"/>
          <w:szCs w:val="24"/>
          <w:rtl w:val="0"/>
        </w:rPr>
        <w:t xml:space="preserve">ABC News</w:t>
      </w:r>
      <w:r w:rsidDel="00000000" w:rsidR="00000000" w:rsidRPr="00000000">
        <w:rPr>
          <w:rFonts w:ascii="Times New Roman" w:cs="Times New Roman" w:eastAsia="Times New Roman" w:hAnsi="Times New Roman"/>
          <w:sz w:val="24"/>
          <w:szCs w:val="24"/>
          <w:rtl w:val="0"/>
        </w:rPr>
        <w:t xml:space="preserve">.</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https://www.abc.net.au/news/2024-06-17/nsw-sydney-trains-harris-park-service-repair-delay-commute/103985636</w:t>
          <w:br w:type="textWrapping"/>
        </w:r>
      </w:hyperlink>
      <w:r w:rsidDel="00000000" w:rsidR="00000000" w:rsidRPr="00000000">
        <w:rPr>
          <w:rtl w:val="0"/>
        </w:rPr>
      </w:r>
    </w:p>
    <w:p w:rsidR="00000000" w:rsidDel="00000000" w:rsidP="00000000" w:rsidRDefault="00000000" w:rsidRPr="00000000" w14:paraId="000001A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Šemrov, D., Marsetič, R., Žura, M., Todorovski, L., &amp; Srdic, A. (2016). Reinforcement learning approach for train rescheduling on a single-track railway. </w:t>
      </w:r>
      <w:r w:rsidDel="00000000" w:rsidR="00000000" w:rsidRPr="00000000">
        <w:rPr>
          <w:rFonts w:ascii="Times New Roman" w:cs="Times New Roman" w:eastAsia="Times New Roman" w:hAnsi="Times New Roman"/>
          <w:i w:val="1"/>
          <w:iCs w:val="1"/>
          <w:sz w:val="24"/>
          <w:szCs w:val="24"/>
          <w:rtl w:val="0"/>
        </w:rPr>
        <w:t xml:space="preserve">Transportation Research Part B: Methodological</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86</w:t>
      </w:r>
      <w:r w:rsidDel="00000000" w:rsidR="00000000" w:rsidRPr="00000000">
        <w:rPr>
          <w:rFonts w:ascii="Times New Roman" w:cs="Times New Roman" w:eastAsia="Times New Roman" w:hAnsi="Times New Roman"/>
          <w:sz w:val="24"/>
          <w:szCs w:val="24"/>
          <w:rtl w:val="0"/>
        </w:rPr>
        <w:t xml:space="preserve">, 250-267.</w:t>
        <w:br w:type="textWrapping"/>
      </w:r>
    </w:p>
    <w:p w:rsidR="00000000" w:rsidDel="00000000" w:rsidP="00000000" w:rsidRDefault="00000000" w:rsidRPr="00000000" w14:paraId="000001A6">
      <w:pPr>
        <w:spacing w:after="0" w:lin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Sutton, R. S., &amp; Barto, A. G. (2018). </w:t>
      </w:r>
      <w:r w:rsidDel="00000000" w:rsidR="00000000" w:rsidRPr="00000000">
        <w:rPr>
          <w:rFonts w:ascii="Times New Roman" w:cs="Times New Roman" w:eastAsia="Times New Roman" w:hAnsi="Times New Roman"/>
          <w:i w:val="1"/>
          <w:iCs w:val="1"/>
          <w:sz w:val="24"/>
          <w:szCs w:val="24"/>
          <w:rtl w:val="0"/>
        </w:rPr>
        <w:t xml:space="preserve">Reinforcement Learning, second edition: An Introduction</w:t>
      </w:r>
      <w:r w:rsidDel="00000000" w:rsidR="00000000" w:rsidRPr="00000000">
        <w:rPr>
          <w:rFonts w:ascii="Times New Roman" w:cs="Times New Roman" w:eastAsia="Times New Roman" w:hAnsi="Times New Roman"/>
          <w:sz w:val="24"/>
          <w:szCs w:val="24"/>
          <w:rtl w:val="0"/>
        </w:rPr>
        <w:t xml:space="preserve">. MIT Press.</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https://books.google.com.au/books?id=uWV0DwAAQBAJ</w:t>
          <w:br w:type="textWrapping"/>
        </w:r>
      </w:hyperlink>
      <w:r w:rsidDel="00000000" w:rsidR="00000000" w:rsidRPr="00000000">
        <w:rPr>
          <w:rtl w:val="0"/>
        </w:rPr>
      </w:r>
    </w:p>
    <w:p w:rsidR="00000000" w:rsidDel="00000000" w:rsidP="00000000" w:rsidRDefault="00000000" w:rsidRPr="00000000" w14:paraId="000001A7">
      <w:pPr>
        <w:spacing w:after="0" w:lin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Sydney Trains. (2025). </w:t>
      </w:r>
      <w:r w:rsidDel="00000000" w:rsidR="00000000" w:rsidRPr="00000000">
        <w:rPr>
          <w:rFonts w:ascii="Times New Roman" w:cs="Times New Roman" w:eastAsia="Times New Roman" w:hAnsi="Times New Roman"/>
          <w:i w:val="1"/>
          <w:iCs w:val="1"/>
          <w:sz w:val="24"/>
          <w:szCs w:val="24"/>
          <w:rtl w:val="0"/>
        </w:rPr>
        <w:t xml:space="preserve">Sydney Trains Annual Report</w:t>
        <w:br w:type="textWrapping"/>
      </w:r>
      <w:hyperlink r:id="rId22">
        <w:r w:rsidDel="00000000" w:rsidR="00000000" w:rsidRPr="00000000">
          <w:rPr>
            <w:rFonts w:ascii="Times New Roman" w:cs="Times New Roman" w:eastAsia="Times New Roman" w:hAnsi="Times New Roman"/>
            <w:color w:val="1155cc"/>
            <w:sz w:val="24"/>
            <w:szCs w:val="24"/>
            <w:u w:val="single"/>
            <w:rtl w:val="0"/>
          </w:rPr>
          <w:t xml:space="preserve">https://www.transport.nsw.gov.au/system/files/media/documents/2025/sydney-trains-annual-report-2024%E2%80%9325-volume-1.pdf</w:t>
          <w:br w:type="textWrapping"/>
        </w:r>
      </w:hyperlink>
      <w:r w:rsidDel="00000000" w:rsidR="00000000" w:rsidRPr="00000000">
        <w:rPr>
          <w:rtl w:val="0"/>
        </w:rPr>
      </w:r>
    </w:p>
    <w:p w:rsidR="00000000" w:rsidDel="00000000" w:rsidP="00000000" w:rsidRDefault="00000000" w:rsidRPr="00000000" w14:paraId="000001A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Zhu, Y., &amp; Goverde, R. M. (2019). Railway timetable rescheduling with flexible stopping and flexible short-turning during disruptions. </w:t>
      </w:r>
      <w:r w:rsidDel="00000000" w:rsidR="00000000" w:rsidRPr="00000000">
        <w:rPr>
          <w:rFonts w:ascii="Times New Roman" w:cs="Times New Roman" w:eastAsia="Times New Roman" w:hAnsi="Times New Roman"/>
          <w:i w:val="1"/>
          <w:iCs w:val="1"/>
          <w:sz w:val="24"/>
          <w:szCs w:val="24"/>
          <w:rtl w:val="0"/>
        </w:rPr>
        <w:t xml:space="preserve">Transportation Research Part B: Methodological</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123</w:t>
      </w:r>
      <w:r w:rsidDel="00000000" w:rsidR="00000000" w:rsidRPr="00000000">
        <w:rPr>
          <w:rFonts w:ascii="Times New Roman" w:cs="Times New Roman" w:eastAsia="Times New Roman" w:hAnsi="Times New Roman"/>
          <w:sz w:val="24"/>
          <w:szCs w:val="24"/>
          <w:rtl w:val="0"/>
        </w:rPr>
        <w:t xml:space="preserve">, 149-181.</w:t>
      </w:r>
    </w:p>
    <w:p>
      <w:r>
        <w:br w:type="page"/>
      </w:r>
    </w:p>
    <w:p w:rsidR="00000000" w:rsidDel="00000000" w:rsidP="00000000" w:rsidRDefault="00000000" w:rsidRPr="00000000" w14:paraId="000001AE">
      <w:pPr>
        <w:spacing w:after="280" w:before="280" w:line="240" w:lineRule="auto"/>
        <w:rPr/>
      </w:pPr>
      <w:bookmarkStart w:colFirst="0" w:colLast="0" w:name="_heading=h.k306vphban5a" w:id="13"/>
      <w:bookmarkEnd w:id="13"/>
      <w:r w:rsidDel="00000000" w:rsidR="00000000" w:rsidRPr="00000000">
        <w:rPr>
          <w:rFonts w:ascii="Times New Roman" w:hAnsi="Times New Roman" w:eastAsia="Times New Roman" w:cs="Times New Roman"/>
          <w:rtl w:val="0"/>
          <w:sz w:val="48"/>
          <w:b/>
        </w:rPr>
        <w:t xml:space="preserve">Appendices</w:t>
      </w:r>
    </w:p>
    <w:p w:rsidR="00000000" w:rsidDel="00000000" w:rsidP="00000000" w:rsidRDefault="00000000" w:rsidRPr="00000000" w14:paraId="000001AF">
      <w:pPr>
        <w:rPr/>
      </w:pPr>
      <w:bookmarkStart w:colFirst="0" w:colLast="0" w:name="_heading=h.5z9igafou9ic" w:id="14"/>
      <w:bookmarkEnd w:id="14"/>
      <w:r w:rsidDel="00000000" w:rsidR="00000000" w:rsidRPr="00000000">
        <w:rPr>
          <w:rFonts w:ascii="Times New Roman" w:hAnsi="Times New Roman" w:eastAsia="Times New Roman" w:cs="Times New Roman"/>
          <w:rtl w:val="0"/>
          <w:sz w:val="36"/>
          <w:b/>
        </w:rPr>
        <w:t xml:space="preserve">A. Individual Contribution</w:t>
      </w:r>
    </w:p>
    <w:p w:rsidR="00000000" w:rsidDel="00000000" w:rsidP="00000000" w:rsidRDefault="00000000" w:rsidRPr="00000000" w14:paraId="000001B0">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group member should write half-page (max) about his or her contribution in the project development activities.</w:t>
      </w:r>
    </w:p>
    <w:p w:rsidR="00000000" w:rsidDel="00000000" w:rsidP="00000000" w:rsidRDefault="00000000" w:rsidRPr="00000000" w14:paraId="000001B2">
      <w:pPr>
        <w:rPr/>
      </w:pPr>
      <w:bookmarkStart w:colFirst="0" w:colLast="0" w:name="_heading=h.7rpl2c9kr8k0" w:id="15"/>
      <w:bookmarkEnd w:id="15"/>
      <w:r w:rsidDel="00000000" w:rsidR="00000000" w:rsidRPr="00000000">
        <w:rPr>
          <w:rFonts w:ascii="Times New Roman" w:hAnsi="Times New Roman" w:eastAsia="Times New Roman" w:cs="Times New Roman"/>
          <w:rtl w:val="0"/>
          <w:sz w:val="36"/>
          <w:b/>
        </w:rPr>
        <w:t xml:space="preserve">B. Individual Contribution Split</w:t>
      </w:r>
    </w:p>
    <w:tbl>
      <w:tblPr>
        <w:tblStyle w:val="Table5"/>
        <w:tblW w:w="76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3142"/>
        <w:tblGridChange w:id="0">
          <w:tblGrid>
            <w:gridCol w:w="4508"/>
            <w:gridCol w:w="3142"/>
          </w:tblGrid>
        </w:tblGridChange>
      </w:tblGrid>
      <w:tr>
        <w:trPr>
          <w:cantSplit w:val="0"/>
          <w:tblHeader w:val="0"/>
        </w:trPr>
        <w:tc>
          <w:tcPr/>
          <w:p w:rsidR="00000000" w:rsidDel="00000000" w:rsidP="00000000" w:rsidRDefault="00000000" w:rsidRPr="00000000" w14:paraId="000001B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Team Member Name</w:t>
            </w:r>
          </w:p>
        </w:tc>
        <w:tc>
          <w:tcPr/>
          <w:p w:rsidR="00000000" w:rsidDel="00000000" w:rsidP="00000000" w:rsidRDefault="00000000" w:rsidRPr="00000000" w14:paraId="000001B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Percentage</w:t>
            </w:r>
          </w:p>
        </w:tc>
      </w:tr>
      <w:tr>
        <w:trPr>
          <w:cantSplit w:val="0"/>
          <w:tblHeader w:val="0"/>
        </w:trPr>
        <w:tc>
          <w:tcPr/>
          <w:p w:rsidR="00000000" w:rsidDel="00000000" w:rsidP="00000000" w:rsidRDefault="00000000" w:rsidRPr="00000000" w14:paraId="000001B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Daniel James Martirosov</w:t>
            </w:r>
            <w:r w:rsidDel="00000000" w:rsidR="00000000" w:rsidRPr="00000000">
              <w:rPr>
                <w:rtl w:val="0"/>
              </w:rPr>
            </w:r>
          </w:p>
        </w:tc>
        <w:tc>
          <w:tcPr/>
          <w:p w:rsidR="00000000" w:rsidDel="00000000" w:rsidP="00000000" w:rsidRDefault="00000000" w:rsidRPr="00000000" w14:paraId="000001B6">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33.33%</w:t>
            </w:r>
          </w:p>
        </w:tc>
      </w:tr>
      <w:tr>
        <w:trPr>
          <w:cantSplit w:val="0"/>
          <w:tblHeader w:val="0"/>
        </w:trPr>
        <w:tc>
          <w:tcPr/>
          <w:p w:rsidR="00000000" w:rsidDel="00000000" w:rsidP="00000000" w:rsidRDefault="00000000" w:rsidRPr="00000000" w14:paraId="000001B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Ziheng Deng</w:t>
            </w:r>
            <w:r w:rsidDel="00000000" w:rsidR="00000000" w:rsidRPr="00000000">
              <w:rPr>
                <w:rtl w:val="0"/>
              </w:rPr>
            </w:r>
          </w:p>
        </w:tc>
        <w:tc>
          <w:tcPr/>
          <w:p w:rsidR="00000000" w:rsidDel="00000000" w:rsidP="00000000" w:rsidRDefault="00000000" w:rsidRPr="00000000" w14:paraId="000001B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33.33%</w:t>
            </w:r>
          </w:p>
        </w:tc>
      </w:tr>
      <w:tr>
        <w:trPr>
          <w:cantSplit w:val="0"/>
          <w:tblHeader w:val="0"/>
        </w:trPr>
        <w:tc>
          <w:tcPr/>
          <w:p w:rsidR="00000000" w:rsidDel="00000000" w:rsidP="00000000" w:rsidRDefault="00000000" w:rsidRPr="00000000" w14:paraId="000001B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Laurean Lim</w:t>
            </w:r>
            <w:r w:rsidDel="00000000" w:rsidR="00000000" w:rsidRPr="00000000">
              <w:rPr>
                <w:rtl w:val="0"/>
              </w:rPr>
            </w:r>
          </w:p>
        </w:tc>
        <w:tc>
          <w:tcPr/>
          <w:p w:rsidR="00000000" w:rsidDel="00000000" w:rsidP="00000000" w:rsidRDefault="00000000" w:rsidRPr="00000000" w14:paraId="000001BA">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33.33%</w:t>
            </w:r>
          </w:p>
        </w:tc>
      </w:tr>
    </w:tbl>
    <w:p w:rsidR="00000000" w:rsidDel="00000000" w:rsidP="00000000" w:rsidRDefault="00000000" w:rsidRPr="00000000" w14:paraId="000001BB">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the team members have discussed and agreed on the above individual contribution to the project.</w:t>
      </w:r>
    </w:p>
    <w:p w:rsidR="00000000" w:rsidDel="00000000" w:rsidP="00000000" w:rsidRDefault="00000000" w:rsidRPr="00000000" w14:paraId="000001BC">
      <w:pPr>
        <w:spacing w:after="280" w:before="28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Daniel James Martirosov</w:t>
      </w:r>
      <w:r w:rsidDel="00000000" w:rsidR="00000000" w:rsidRPr="00000000">
        <w:rPr>
          <w:rFonts w:ascii="Times New Roman" w:cs="Times New Roman" w:eastAsia="Times New Roman" w:hAnsi="Times New Roman"/>
          <w:b w:val="1"/>
          <w:bCs w:val="1"/>
          <w:sz w:val="28"/>
          <w:szCs w:val="28"/>
          <w:rtl w:val="0"/>
        </w:rPr>
        <w:t xml:space="preserve"> : </w:t>
      </w:r>
      <w:r w:rsidDel="00000000" w:rsidR="00000000" w:rsidRPr="00000000">
        <w:rPr>
          <w:rFonts w:ascii="Times New Roman" w:cs="Times New Roman" w:eastAsia="Times New Roman" w:hAnsi="Times New Roman"/>
          <w:sz w:val="28"/>
          <w:szCs w:val="28"/>
          <w:rtl w:val="0"/>
        </w:rPr>
        <w:t xml:space="preserve">Daniel James Martirosov</w:t>
      </w:r>
      <w:r w:rsidDel="00000000" w:rsidR="00000000" w:rsidRPr="00000000">
        <w:rPr>
          <w:rtl w:val="0"/>
        </w:rPr>
      </w:r>
    </w:p>
    <w:p w:rsidR="00000000" w:rsidDel="00000000" w:rsidP="00000000" w:rsidRDefault="00000000" w:rsidRPr="00000000" w14:paraId="000001BD">
      <w:pPr>
        <w:spacing w:after="280" w:before="28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Ziheng Deng</w:t>
      </w:r>
      <w:r w:rsidDel="00000000" w:rsidR="00000000" w:rsidRPr="00000000">
        <w:rPr>
          <w:rFonts w:ascii="Times New Roman" w:cs="Times New Roman" w:eastAsia="Times New Roman" w:hAnsi="Times New Roman"/>
          <w:b w:val="1"/>
          <w:bCs w:val="1"/>
          <w:sz w:val="28"/>
          <w:szCs w:val="28"/>
          <w:rtl w:val="0"/>
        </w:rPr>
        <w:t xml:space="preserve"> : </w:t>
      </w:r>
      <w:r w:rsidDel="00000000" w:rsidR="00000000" w:rsidRPr="00000000">
        <w:rPr>
          <w:rFonts w:ascii="Times New Roman" w:cs="Times New Roman" w:eastAsia="Times New Roman" w:hAnsi="Times New Roman"/>
          <w:sz w:val="28"/>
          <w:szCs w:val="28"/>
          <w:rtl w:val="0"/>
        </w:rPr>
        <w:t xml:space="preserve">Ziheng Deng</w:t>
      </w:r>
      <w:r w:rsidDel="00000000" w:rsidR="00000000" w:rsidRPr="00000000">
        <w:rPr>
          <w:rtl w:val="0"/>
        </w:rPr>
      </w:r>
    </w:p>
    <w:p w:rsidR="00000000" w:rsidDel="00000000" w:rsidP="00000000" w:rsidRDefault="00000000" w:rsidRPr="00000000" w14:paraId="000001BE">
      <w:pPr>
        <w:spacing w:after="280" w:before="28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Laurean Lim</w:t>
      </w:r>
      <w:r w:rsidDel="00000000" w:rsidR="00000000" w:rsidRPr="00000000">
        <w:rPr>
          <w:rFonts w:ascii="Times New Roman" w:cs="Times New Roman" w:eastAsia="Times New Roman" w:hAnsi="Times New Roman"/>
          <w:b w:val="1"/>
          <w:bCs w:val="1"/>
          <w:sz w:val="28"/>
          <w:szCs w:val="28"/>
          <w:rtl w:val="0"/>
        </w:rPr>
        <w:t xml:space="preserve"> : </w:t>
      </w:r>
      <w:r w:rsidDel="00000000" w:rsidR="00000000" w:rsidRPr="00000000">
        <w:rPr>
          <w:rFonts w:ascii="Times New Roman" w:cs="Times New Roman" w:eastAsia="Times New Roman" w:hAnsi="Times New Roman"/>
          <w:sz w:val="28"/>
          <w:szCs w:val="28"/>
          <w:rtl w:val="0"/>
        </w:rPr>
        <w:t xml:space="preserve">Laurean Lim</w:t>
      </w:r>
      <w:r w:rsidDel="00000000" w:rsidR="00000000" w:rsidRPr="00000000">
        <w:rPr>
          <w:rtl w:val="0"/>
        </w:rPr>
      </w:r>
    </w:p>
    <w:sectPr>
      <w:footerReference w:type="default" r:id="rId23"/>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Times New Roman" w:cs="Times New Roman"/>
        <w:color w:val="404040"/>
        <w:sz w:val="18"/>
      </w:rPr>
      <w:t xml:space="preserve">RailTech, 43008 Assessment 3 (Part E)    |    page </w:t>
    </w:r>
    <w:r>
      <w:rPr>
        <w:rFonts w:ascii="Times New Roman" w:hAnsi="Times New Roman" w:eastAsia="Times New Roman" w:cs="Times New Roman"/>
        <w:color w:val="404040"/>
        <w:sz w:val="18"/>
      </w:rPr>
      <w:fldChar w:fldCharType="begin"/>
    </w:r>
    <w:r>
      <w:rPr>
        <w:rFonts w:ascii="Times New Roman" w:hAnsi="Times New Roman" w:eastAsia="Times New Roman" w:cs="Times New Roman"/>
        <w:color w:val="404040"/>
        <w:sz w:val="18"/>
      </w:rPr>
      <w:instrText xml:space="preserve"> PAGE </w:instrText>
    </w:r>
    <w:r>
      <w:rPr>
        <w:rFonts w:ascii="Times New Roman" w:hAnsi="Times New Roman" w:eastAsia="Times New Roman" w:cs="Times New Roman"/>
        <w:color w:val="404040"/>
        <w:sz w:val="18"/>
      </w:rPr>
      <w:fldChar w:fldCharType="separate"/>
    </w:r>
    <w:r>
      <w:rPr>
        <w:rFonts w:ascii="Times New Roman" w:hAnsi="Times New Roman" w:eastAsia="Times New Roman" w:cs="Times New Roman"/>
        <w:color w:val="404040"/>
        <w:sz w:val="18"/>
      </w:rPr>
      <w:t>1</w:t>
    </w:r>
    <w:r>
      <w:rPr>
        <w:rFonts w:ascii="Times New Roman" w:hAnsi="Times New Roman" w:eastAsia="Times New Roman" w:cs="Times New Roman"/>
        <w:color w:val="404040"/>
        <w:sz w:val="18"/>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sz w:val="24"/>
        <w:szCs w:val="22"/>
        <w:lang w:val="en-AU"/>
      </w:rPr>
    </w:rPrDefault>
    <w:pPrDefault>
      <w:pPr>
        <w:spacing w:after="160" w:line="259" w:lineRule="auto"/>
      </w:pPr>
    </w:pPrDefault>
  </w:docDefaults>
  <w:style w:type="paragraph" w:styleId="Normal" w:default="1">
    <w:name w:val="normal"/>
    <w:rPr>
      <w:rFonts w:ascii="Times New Roman" w:hAnsi="Times New Roman"/>
      <w:sz w:val="24"/>
    </w:rPr>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8B4FD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1Char" w:customStyle="1">
    <w:name w:val="Heading 1 Char"/>
    <w:basedOn w:val="DefaultParagraphFont"/>
    <w:link w:val="Heading1"/>
    <w:uiPriority w:val="9"/>
    <w:rsid w:val="0093478A"/>
    <w:rPr>
      <w:rFonts w:ascii="Times New Roman" w:cs="Times New Roman" w:eastAsia="Times New Roman" w:hAnsi="Times New Roman"/>
      <w:b w:val="1"/>
      <w:bCs w:val="1"/>
      <w:kern w:val="36"/>
      <w:sz w:val="48"/>
      <w:szCs w:val="48"/>
      <w:lang w:eastAsia="en-AU"/>
    </w:rPr>
  </w:style>
  <w:style w:type="character" w:styleId="Heading2Char" w:customStyle="1">
    <w:name w:val="Heading 2 Char"/>
    <w:basedOn w:val="DefaultParagraphFont"/>
    <w:link w:val="Heading2"/>
    <w:uiPriority w:val="9"/>
    <w:rsid w:val="0093478A"/>
    <w:rPr>
      <w:rFonts w:ascii="Times New Roman" w:cs="Times New Roman" w:eastAsia="Times New Roman" w:hAnsi="Times New Roman"/>
      <w:b w:val="1"/>
      <w:bCs w:val="1"/>
      <w:sz w:val="36"/>
      <w:szCs w:val="36"/>
      <w:lang w:eastAsia="en-AU"/>
    </w:rPr>
  </w:style>
  <w:style w:type="paragraph" w:styleId="NormalWeb">
    <w:name w:val="Normal (Web)"/>
    <w:basedOn w:val="Normal"/>
    <w:uiPriority w:val="99"/>
    <w:semiHidden w:val="1"/>
    <w:unhideWhenUsed w:val="1"/>
    <w:rsid w:val="0093478A"/>
    <w:pPr>
      <w:spacing w:after="100" w:afterAutospacing="1" w:before="100" w:beforeAutospacing="1" w:line="240" w:lineRule="auto"/>
    </w:pPr>
    <w:rPr>
      <w:rFonts w:ascii="Times New Roman" w:cs="Times New Roman" w:eastAsia="Times New Roman" w:hAnsi="Times New Roman"/>
      <w:sz w:val="24"/>
      <w:szCs w:val="24"/>
      <w:lang w:eastAsia="en-AU"/>
    </w:rPr>
  </w:style>
  <w:style w:type="character" w:styleId="Emphasis">
    <w:name w:val="Emphasis"/>
    <w:basedOn w:val="DefaultParagraphFont"/>
    <w:uiPriority w:val="20"/>
    <w:qFormat w:val="1"/>
    <w:rsid w:val="0093478A"/>
    <w:rPr>
      <w:i w:val="1"/>
      <w:iCs w:val="1"/>
    </w:rPr>
  </w:style>
  <w:style w:type="character" w:styleId="Strong">
    <w:name w:val="Strong"/>
    <w:basedOn w:val="DefaultParagraphFont"/>
    <w:uiPriority w:val="22"/>
    <w:qFormat w:val="1"/>
    <w:rsid w:val="00216BA6"/>
    <w:rPr>
      <w:b w:val="1"/>
      <w:bCs w:val="1"/>
    </w:rPr>
  </w:style>
  <w:style w:type="character" w:styleId="Hyperlink">
    <w:name w:val="Hyperlink"/>
    <w:basedOn w:val="DefaultParagraphFont"/>
    <w:uiPriority w:val="99"/>
    <w:unhideWhenUsed w:val="1"/>
    <w:rsid w:val="00D62754"/>
    <w:rPr>
      <w:color w:val="0563c1" w:themeColor="hyperlink"/>
      <w:u w:val="single"/>
    </w:rPr>
  </w:style>
  <w:style w:type="paragraph" w:styleId="TOCHeading">
    <w:name w:val="TOC Heading"/>
    <w:basedOn w:val="Heading1"/>
    <w:next w:val="Normal"/>
    <w:uiPriority w:val="39"/>
    <w:unhideWhenUsed w:val="1"/>
    <w:qFormat w:val="1"/>
    <w:rsid w:val="00897C57"/>
    <w:pPr>
      <w:keepNext w:val="1"/>
      <w:keepLines w:val="1"/>
      <w:spacing w:after="0" w:afterAutospacing="0" w:before="240" w:beforeAutospacing="0" w:line="259" w:lineRule="auto"/>
      <w:outlineLvl w:val="9"/>
    </w:pPr>
    <w:rPr>
      <w:rFonts w:asciiTheme="majorHAnsi" w:cstheme="majorBidi" w:eastAsiaTheme="majorEastAsia" w:hAnsiTheme="majorHAnsi"/>
      <w:b w:val="0"/>
      <w:bCs w:val="0"/>
      <w:color w:val="2e74b5" w:themeColor="accent1" w:themeShade="0000BF"/>
      <w:kern w:val="0"/>
      <w:sz w:val="32"/>
      <w:szCs w:val="32"/>
      <w:lang w:eastAsia="en-US" w:val="en-US"/>
    </w:rPr>
  </w:style>
  <w:style w:type="paragraph" w:styleId="TOC2">
    <w:name w:val="toc 2"/>
    <w:basedOn w:val="Normal"/>
    <w:next w:val="Normal"/>
    <w:autoRedefine w:val="1"/>
    <w:uiPriority w:val="39"/>
    <w:unhideWhenUsed w:val="1"/>
    <w:rsid w:val="00897C57"/>
    <w:pPr>
      <w:spacing w:after="100"/>
      <w:ind w:left="220"/>
    </w:pPr>
    <w:rPr>
      <w:rFonts w:cs="Times New Roman" w:eastAsiaTheme="minorEastAsia"/>
      <w:lang w:val="en-US"/>
    </w:rPr>
  </w:style>
  <w:style w:type="paragraph" w:styleId="TOC1">
    <w:name w:val="toc 1"/>
    <w:basedOn w:val="Normal"/>
    <w:next w:val="Normal"/>
    <w:autoRedefine w:val="1"/>
    <w:uiPriority w:val="39"/>
    <w:unhideWhenUsed w:val="1"/>
    <w:rsid w:val="00897C57"/>
    <w:pPr>
      <w:spacing w:after="100"/>
    </w:pPr>
    <w:rPr>
      <w:rFonts w:cs="Times New Roman" w:eastAsiaTheme="minorEastAsia"/>
      <w:lang w:val="en-US"/>
    </w:rPr>
  </w:style>
  <w:style w:type="paragraph" w:styleId="TOC3">
    <w:name w:val="toc 3"/>
    <w:basedOn w:val="Normal"/>
    <w:next w:val="Normal"/>
    <w:autoRedefine w:val="1"/>
    <w:uiPriority w:val="39"/>
    <w:unhideWhenUsed w:val="1"/>
    <w:rsid w:val="00897C57"/>
    <w:pPr>
      <w:spacing w:after="100"/>
      <w:ind w:left="440"/>
    </w:pPr>
    <w:rPr>
      <w:rFonts w:cs="Times New Roman" w:eastAsiaTheme="minorEastAsia"/>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books.google.com.au/books?id=uWV0DwAAQBAJ" TargetMode="External"/><Relationship Id="rId22" Type="http://schemas.openxmlformats.org/officeDocument/2006/relationships/hyperlink" Target="https://www.transport.nsw.gov.au/system/files/media/documents/2025/sydney-trains-annual-report-2024%E2%80%9325-volume-1.pdf" TargetMode="External"/><Relationship Id="rId21" Type="http://schemas.openxmlformats.org/officeDocument/2006/relationships/hyperlink" Target="https://books.google.com.au/books?id=uWV0DwAAQBAJ" TargetMode="External"/><Relationship Id="rId17" Type="http://schemas.openxmlformats.org/officeDocument/2006/relationships/hyperlink" Target="https://www.smh.com.au/national/nsw/major-disruptions-expected-as-power-failure-halts-trains-20250520-p5m0t1.html" TargetMode="External"/><Relationship Id="rId16" Type="http://schemas.openxmlformats.org/officeDocument/2006/relationships/hyperlink" Target="https://www.smh.com.au/national/nsw/major-disruptions-expected-as-power-failure-halts-trains-20250520-p5m0t1.html" TargetMode="External"/><Relationship Id="rId19" Type="http://schemas.openxmlformats.org/officeDocument/2006/relationships/hyperlink" Target="https://www.abc.net.au/news/2024-06-17/nsw-sydney-trains-harris-park-service-repair-delay-commute/103985636" TargetMode="External"/><Relationship Id="rId18" Type="http://schemas.openxmlformats.org/officeDocument/2006/relationships/hyperlink" Target="https://www.abc.net.au/news/2024-06-17/nsw-sydney-trains-harris-park-service-repair-delay-commute/103985636" TargetMode="External"/><Relationship Id="rId7" Type="http://schemas.openxmlformats.org/officeDocument/2006/relationships/image" Target="media/image9.png"/><Relationship Id="rId8" Type="http://schemas.openxmlformats.org/officeDocument/2006/relationships/image" Target="media/image8.png"/><Relationship Id="rId23" Type="http://schemas.openxmlformats.org/officeDocument/2006/relationships/footer" Target="footer1.xml"/><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2jvgXtrq2WYGqJ30HTa8h3QZ5A==">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2020-05-24T16:11:00Z</dcterms:created>
  <dc:creator>Nabin Sharma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1a6c3db-1667-4f49-995a-8b9973972958_Enabled">
    <vt:lpwstr>true</vt:lpwstr>
  </property>
  <property fmtid="{D5CDD505-2E9C-101B-9397-08002B2CF9AE}" pid="3" name="MSIP_Label_51a6c3db-1667-4f49-995a-8b9973972958_SetDate">
    <vt:lpwstr>2022-07-21T06:45:48Z</vt:lpwstr>
  </property>
  <property fmtid="{D5CDD505-2E9C-101B-9397-08002B2CF9AE}" pid="4" name="MSIP_Label_51a6c3db-1667-4f49-995a-8b9973972958_Method">
    <vt:lpwstr>Privileged</vt:lpwstr>
  </property>
  <property fmtid="{D5CDD505-2E9C-101B-9397-08002B2CF9AE}" pid="5" name="MSIP_Label_51a6c3db-1667-4f49-995a-8b9973972958_Name">
    <vt:lpwstr>UTS-Internal</vt:lpwstr>
  </property>
  <property fmtid="{D5CDD505-2E9C-101B-9397-08002B2CF9AE}" pid="6" name="MSIP_Label_51a6c3db-1667-4f49-995a-8b9973972958_SiteId">
    <vt:lpwstr>e8911c26-cf9f-4a9c-878e-527807be8791</vt:lpwstr>
  </property>
  <property fmtid="{D5CDD505-2E9C-101B-9397-08002B2CF9AE}" pid="7" name="MSIP_Label_51a6c3db-1667-4f49-995a-8b9973972958_ActionId">
    <vt:lpwstr>b8ed6b6b-39fb-4581-8bc3-281cb2a48d52</vt:lpwstr>
  </property>
  <property fmtid="{D5CDD505-2E9C-101B-9397-08002B2CF9AE}" pid="8" name="MSIP_Label_51a6c3db-1667-4f49-995a-8b9973972958_ContentBits">
    <vt:lpwstr>0</vt:lpwstr>
  </property>
</Properties>
</file>