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drifts back to the forward reflex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returns to the reflex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every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Rendered frames are drawn with make_env while evaluation uses make_parallel_env, so a rendered score is indicative and every reported number comes from eval_pair.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about 1000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the rerouting checkpoint measured here produced 0 of 2 incidents on the internal seeds, and its delayed score was bit-identical to the no-disruption episode.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about 40 per cent of an episode,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 steady 145 to 155 s, so the evaluator rather than the optimiser sets the wall clock. We could not run this PettingZoo stack under SubprocVecEnv at all (it hangs at reset in our runs), so every timing here is single-process. The shipped notebook and all figures in this report were executed on an aarch64 Oracle relay (2 vCPU, 11 GB, Python 3.11.17, torch 2.14.1, flatland 4.3.0, SB3 2.9.0), which is also the host of record for the project; the twelve tests pass there (results/test_run.txt).</w:t>
      </w:r>
    </w:p>
    <w:p>
      <w:pPr>
        <w:pStyle w:val="Heading1"/>
      </w:pPr>
      <w:r>
        <w:t>3  Results and evaluation</w:t>
      </w:r>
    </w:p>
    <w:p>
      <w:pPr>
        <w:spacing w:after="120"/>
      </w:pPr>
      <w:r>
        <w:t>This section reports the delayed condition,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because the same trains are affected in both arms; the policy makes them less late rather than making different trains late.</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delayed deadlines kept, the arm is indistinguishable from the baseline: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F3864"/>
          </w:tcPr>
          <w:p>
            <w:pPr>
              <w:spacing w:before="20" w:after="20"/>
            </w:pPr>
            <w:r/>
            <w:r>
              <w:rPr>
                <w:b/>
                <w:color w:val="FFFFFF"/>
                <w:sz w:val="18"/>
              </w:rPr>
              <w:t>Arm</w:t>
            </w:r>
          </w:p>
        </w:tc>
        <w:tc>
          <w:tcPr>
            <w:tcW w:type="dxa" w:w="1474"/>
            <w:shd w:val="clear" w:color="auto" w:fill="1F3864"/>
          </w:tcPr>
          <w:p>
            <w:pPr>
              <w:spacing w:before="20" w:after="20"/>
            </w:pPr>
            <w:r/>
            <w:r>
              <w:rPr>
                <w:b/>
                <w:color w:val="FFFFFF"/>
                <w:sz w:val="18"/>
              </w:rPr>
              <w:t>Best checkpoint</w:t>
            </w:r>
          </w:p>
        </w:tc>
        <w:tc>
          <w:tcPr>
            <w:tcW w:type="dxa" w:w="1361"/>
            <w:shd w:val="clear" w:color="auto" w:fill="1F3864"/>
          </w:tcPr>
          <w:p>
            <w:pPr>
              <w:spacing w:before="20" w:after="20"/>
            </w:pPr>
            <w:r/>
            <w:r>
              <w:rPr>
                <w:b/>
                <w:color w:val="FFFFFF"/>
                <w:sz w:val="18"/>
              </w:rPr>
              <w:t>Internal score</w:t>
            </w:r>
          </w:p>
        </w:tc>
        <w:tc>
          <w:tcPr>
            <w:tcW w:type="dxa" w:w="1134"/>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Rendered episode</w:t>
            </w:r>
          </w:p>
        </w:tc>
        <w:tc>
          <w:tcPr>
            <w:tcW w:type="dxa" w:w="2041"/>
            <w:shd w:val="clear" w:color="auto" w:fill="1F3864"/>
          </w:tcPr>
          <w:p>
            <w:pPr>
              <w:spacing w:before="20" w:after="20"/>
            </w:pPr>
            <w:r/>
            <w:r>
              <w:rPr>
                <w:b/>
                <w:color w:val="FFFFFF"/>
                <w:sz w:val="18"/>
              </w:rPr>
              <w:t>Behaviour</w:t>
            </w:r>
          </w:p>
        </w:tc>
      </w:tr>
      <w:tr>
        <w:trPr>
          <w:cantSplit/>
        </w:trPr>
        <w:tc>
          <w:tcPr>
            <w:tcW w:type="dxa" w:w="1814"/>
          </w:tcPr>
          <w:p>
            <w:pPr>
              <w:spacing w:before="20" w:after="20"/>
            </w:pPr>
            <w:r/>
            <w:r>
              <w:rPr>
                <w:sz w:val="18"/>
              </w:rPr>
              <w:t>PPO (warm start)</w:t>
            </w:r>
          </w:p>
        </w:tc>
        <w:tc>
          <w:tcPr>
            <w:tcW w:type="dxa" w:w="1474"/>
          </w:tcPr>
          <w:p>
            <w:pPr>
              <w:spacing w:before="20" w:after="20"/>
            </w:pPr>
            <w:r/>
            <w:r>
              <w:rPr>
                <w:sz w:val="18"/>
              </w:rPr>
              <w:t>745k</w:t>
            </w:r>
          </w:p>
        </w:tc>
        <w:tc>
          <w:tcPr>
            <w:tcW w:type="dxa" w:w="1361"/>
          </w:tcPr>
          <w:p>
            <w:pPr>
              <w:spacing w:before="20" w:after="20"/>
            </w:pPr>
            <w:r/>
            <w:r>
              <w:rPr>
                <w:sz w:val="18"/>
              </w:rPr>
              <w:t>-0.0005</w:t>
            </w:r>
          </w:p>
        </w:tc>
        <w:tc>
          <w:tcPr>
            <w:tcW w:type="dxa" w:w="1134"/>
          </w:tcPr>
          <w:p>
            <w:pPr>
              <w:spacing w:before="20" w:after="20"/>
            </w:pPr>
            <w:r/>
            <w:r>
              <w:rPr>
                <w:sz w:val="18"/>
              </w:rPr>
              <w:t>1.000</w:t>
            </w:r>
          </w:p>
        </w:tc>
        <w:tc>
          <w:tcPr>
            <w:tcW w:type="dxa" w:w="1474"/>
          </w:tcPr>
          <w:p>
            <w:pPr>
              <w:spacing w:before="20" w:after="20"/>
            </w:pPr>
            <w:r/>
            <w:r>
              <w:rPr>
                <w:sz w:val="18"/>
              </w:rPr>
              <w:t>-0.001</w:t>
            </w:r>
          </w:p>
        </w:tc>
        <w:tc>
          <w:tcPr>
            <w:tcW w:type="dxa" w:w="2041"/>
          </w:tcPr>
          <w:p>
            <w:pPr>
              <w:spacing w:before="20" w:after="20"/>
            </w:pPr>
            <w:r/>
            <w:r>
              <w:rPr>
                <w:sz w:val="18"/>
              </w:rPr>
              <w:t>crosses only when blocked</w:t>
            </w:r>
          </w:p>
        </w:tc>
      </w:tr>
      <w:tr>
        <w:trPr>
          <w:cantSplit/>
        </w:trPr>
        <w:tc>
          <w:tcPr>
            <w:tcW w:type="dxa" w:w="1814"/>
            <w:shd w:val="clear" w:color="auto" w:fill="F2F5FA"/>
          </w:tcPr>
          <w:p>
            <w:pPr>
              <w:spacing w:before="20" w:after="20"/>
            </w:pPr>
            <w:r/>
            <w:r>
              <w:rPr>
                <w:sz w:val="18"/>
              </w:rPr>
              <w:t>A2C</w:t>
            </w:r>
          </w:p>
        </w:tc>
        <w:tc>
          <w:tcPr>
            <w:tcW w:type="dxa" w:w="1474"/>
            <w:shd w:val="clear" w:color="auto" w:fill="F2F5FA"/>
          </w:tcPr>
          <w:p>
            <w:pPr>
              <w:spacing w:before="20" w:after="20"/>
            </w:pPr>
            <w:r/>
            <w:r>
              <w:rPr>
                <w:sz w:val="18"/>
              </w:rPr>
              <w:t>400k</w:t>
            </w:r>
          </w:p>
        </w:tc>
        <w:tc>
          <w:tcPr>
            <w:tcW w:type="dxa" w:w="1361"/>
            <w:shd w:val="clear" w:color="auto" w:fill="F2F5FA"/>
          </w:tcPr>
          <w:p>
            <w:pPr>
              <w:spacing w:before="20" w:after="20"/>
            </w:pPr>
            <w:r/>
            <w:r>
              <w:rPr>
                <w:sz w:val="18"/>
              </w:rPr>
              <w:t>-0.0563</w:t>
            </w:r>
          </w:p>
        </w:tc>
        <w:tc>
          <w:tcPr>
            <w:tcW w:type="dxa" w:w="1134"/>
            <w:shd w:val="clear" w:color="auto" w:fill="F2F5FA"/>
          </w:tcPr>
          <w:p>
            <w:pPr>
              <w:spacing w:before="20" w:after="20"/>
            </w:pPr>
            <w:r/>
            <w:r>
              <w:rPr>
                <w:sz w:val="18"/>
              </w:rPr>
              <w:t>1.000</w:t>
            </w:r>
          </w:p>
        </w:tc>
        <w:tc>
          <w:tcPr>
            <w:tcW w:type="dxa" w:w="1474"/>
            <w:shd w:val="clear" w:color="auto" w:fill="F2F5FA"/>
          </w:tcPr>
          <w:p>
            <w:pPr>
              <w:spacing w:before="20" w:after="20"/>
            </w:pPr>
            <w:r/>
            <w:r>
              <w:rPr>
                <w:sz w:val="18"/>
              </w:rPr>
              <w:t>-0.082</w:t>
            </w:r>
          </w:p>
        </w:tc>
        <w:tc>
          <w:tcPr>
            <w:tcW w:type="dxa" w:w="2041"/>
            <w:shd w:val="clear" w:color="auto" w:fill="F2F5FA"/>
          </w:tcPr>
          <w:p>
            <w:pPr>
              <w:spacing w:before="20" w:after="20"/>
            </w:pPr>
            <w:r/>
            <w:r>
              <w:rPr>
                <w:sz w:val="18"/>
              </w:rPr>
              <w:t>reflex-like, no crossing in the panel</w:t>
            </w:r>
          </w:p>
        </w:tc>
      </w:tr>
      <w:tr>
        <w:trPr>
          <w:cantSplit/>
        </w:trPr>
        <w:tc>
          <w:tcPr>
            <w:tcW w:type="dxa" w:w="1814"/>
          </w:tcPr>
          <w:p>
            <w:pPr>
              <w:spacing w:before="20" w:after="20"/>
            </w:pPr>
            <w:r/>
            <w:r>
              <w:rPr>
                <w:sz w:val="18"/>
              </w:rPr>
              <w:t>DQN (gamma 0.999)</w:t>
            </w:r>
          </w:p>
        </w:tc>
        <w:tc>
          <w:tcPr>
            <w:tcW w:type="dxa" w:w="1474"/>
          </w:tcPr>
          <w:p>
            <w:pPr>
              <w:spacing w:before="20" w:after="20"/>
            </w:pPr>
            <w:r/>
            <w:r>
              <w:rPr>
                <w:sz w:val="18"/>
              </w:rPr>
              <w:t>400k</w:t>
            </w:r>
          </w:p>
        </w:tc>
        <w:tc>
          <w:tcPr>
            <w:tcW w:type="dxa" w:w="1361"/>
          </w:tcPr>
          <w:p>
            <w:pPr>
              <w:spacing w:before="20" w:after="20"/>
            </w:pPr>
            <w:r/>
            <w:r>
              <w:rPr>
                <w:sz w:val="18"/>
              </w:rPr>
              <w:t>-0.3234</w:t>
            </w:r>
          </w:p>
        </w:tc>
        <w:tc>
          <w:tcPr>
            <w:tcW w:type="dxa" w:w="1134"/>
          </w:tcPr>
          <w:p>
            <w:pPr>
              <w:spacing w:before="20" w:after="20"/>
            </w:pPr>
            <w:r/>
            <w:r>
              <w:rPr>
                <w:sz w:val="18"/>
              </w:rPr>
              <w:t>0.529</w:t>
            </w:r>
          </w:p>
        </w:tc>
        <w:tc>
          <w:tcPr>
            <w:tcW w:type="dxa" w:w="1474"/>
          </w:tcPr>
          <w:p>
            <w:pPr>
              <w:spacing w:before="20" w:after="20"/>
            </w:pPr>
            <w:r/>
            <w:r>
              <w:rPr>
                <w:sz w:val="18"/>
              </w:rPr>
              <w:t>-0.377</w:t>
            </w:r>
          </w:p>
        </w:tc>
        <w:tc>
          <w:tcPr>
            <w:tcW w:type="dxa" w:w="2041"/>
          </w:tcPr>
          <w:p>
            <w:pPr>
              <w:spacing w:before="20" w:after="20"/>
            </w:pPr>
            <w:r/>
            <w:r>
              <w:rPr>
                <w:sz w:val="18"/>
              </w:rPr>
              <w:t>parks half the fleet</w:t>
            </w:r>
          </w:p>
        </w:tc>
      </w:tr>
    </w:tbl>
    <w:p>
      <w:pPr>
        <w:spacing w:before="60" w:after="240"/>
      </w:pPr>
      <w:r>
        <w:rPr>
          <w:i/>
          <w:color w:val="404040"/>
          <w:sz w:val="18"/>
        </w:rPr>
        <w:t>Table 3: Corridor training outcome per arm. Internal score and completion come from the selection seeds (9001 to 9004 for PPO, 9001 and 9002 for A2C and DQN) and are not the 30-seed paired numbers, which are in Table 2. The rendered column and the behaviour column are read off Figure 4's labels and panels (seed 3001), which are drawn with make_env rather than the evaluator's make_parallel_env, so they are indicative only.</w:t>
      </w:r>
    </w:p>
    <w:p>
      <w:pPr>
        <w:spacing w:after="120"/>
      </w:pPr>
      <w:r>
        <w:t>The other two algorithms are the control for the claim that learning the crossing is not automatic. A2C oscillates between the reflex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five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while the 30-seed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from the shipped figures and CSVs</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build the corridor arm; the evaluation and audit steps use the shipped evidence.</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notebook, the figures and this report were produced on an aarch64 Oracle relay (2 vCPU, 11 GB) as well as on the x86 GPU box, with the same pinned stack; the tests and a training-plus-render smoke test pass on both.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