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r>
        <w:br w:type="page"/>
      </w:r>
    </w:p>
    <w:p>
      <w:pPr>
        <w:keepNext/>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15</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16</w:t>
      </w:r>
    </w:p>
    <w:p>
      <w:r>
        <w:br w:type="page"/>
      </w:r>
    </w:p>
    <w:p>
      <w:pPr>
        <w:keepNext/>
        <w:spacing w:before="360" w:after="160"/>
      </w:pPr>
      <w:r>
        <w:rPr>
          <w:rFonts w:ascii="Times New Roman" w:hAnsi="Times New Roman" w:eastAsia="Times New Roman" w:cs="Times New Roman"/>
          <w:b/>
          <w:sz w:val="48"/>
        </w:rPr>
        <w:t>Abstract</w:t>
      </w:r>
    </w:p>
    <w:p>
      <w:pPr>
        <w:spacing w:after="8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r>
        <w:br w:type="page"/>
      </w:r>
    </w:p>
    <w:p>
      <w:pPr>
        <w:keepNext/>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8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8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8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8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8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8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8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8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spacing w:before="120" w:after="40"/>
        <w:jc w:val="center"/>
      </w:pPr>
      <w:r>
        <w:drawing>
          <wp:inline>
            <wp:extent cx="5437800" cy="2260175"/>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37800" cy="2260175"/>
                    </a:xfrm>
                    <a:prstGeom prst="rect"/>
                  </pic:spPr>
                </pic:pic>
              </a:graphicData>
            </a:graphic>
          </wp:inline>
        </w:drawing>
      </w:r>
    </w:p>
    <w:p>
      <w:pPr>
        <w:spacing w:before="40" w:after="200"/>
      </w:pPr>
      <w:r>
        <w:rPr>
          <w:rFonts w:ascii="Times New Roman" w:hAnsi="Times New Roman" w:eastAsia="Times New Roman" w:cs="Times New Roman"/>
          <w:i/>
          <w:sz w:val="20"/>
        </w:rPr>
        <w:t>Figure 1: Flatland implementation of the Central-Strathfield corridor (Scenario 1)</w:t>
      </w:r>
    </w:p>
    <w:p>
      <w:pPr>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r>
        <w:br w:type="page"/>
      </w:r>
    </w:p>
    <w:p>
      <w:pPr>
        <w:keepNext/>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8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two labelled junction rows of Table 5 as the one disclosed exception.</w:t>
      </w:r>
    </w:p>
    <w:p>
      <w:pPr>
        <w:spacing w:before="120" w:after="40"/>
        <w:jc w:val="center"/>
      </w:pPr>
      <w:r>
        <w:drawing>
          <wp:inline>
            <wp:extent cx="5437800" cy="5749094"/>
            <wp:docPr id="3" name="Picture 3"/>
            <wp:cNvGraphicFramePr>
              <a:graphicFrameLocks noChangeAspect="1"/>
            </wp:cNvGraphicFramePr>
            <a:graphic>
              <a:graphicData uri="http://schemas.openxmlformats.org/drawingml/2006/picture">
                <pic:pic>
                  <pic:nvPicPr>
                    <pic:cNvPr id="0" name="fig_workflow.png"/>
                    <pic:cNvPicPr/>
                  </pic:nvPicPr>
                  <pic:blipFill>
                    <a:blip r:embed="rId22"/>
                    <a:stretch>
                      <a:fillRect/>
                    </a:stretch>
                  </pic:blipFill>
                  <pic:spPr>
                    <a:xfrm>
                      <a:off x="0" y="0"/>
                      <a:ext cx="5437800" cy="5749094"/>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8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8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80"/>
      </w:pPr>
      <w:r>
        <w:rPr>
          <w:rFonts w:ascii="Times New Roman" w:hAnsi="Times New Roman" w:eastAsia="Times New Roman" w:cs="Times New Roman"/>
          <w:sz w:val="24"/>
        </w:rP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8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Figures 1 and 2 are the two levels; Figures 4 and 5 show the same levels under their disruption regimes.</w:t>
      </w:r>
    </w:p>
    <w:p>
      <w:pPr>
        <w:spacing w:before="120" w:after="40"/>
        <w:jc w:val="center"/>
      </w:pPr>
      <w:r>
        <w:drawing>
          <wp:inline>
            <wp:extent cx="5724000" cy="2162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3"/>
                    <a:stretch>
                      <a:fillRect/>
                    </a:stretch>
                  </pic:blipFill>
                  <pic:spPr>
                    <a:xfrm>
                      <a:off x="0" y="0"/>
                      <a:ext cx="5724000" cy="216240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437800" cy="2917844"/>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4"/>
                    <a:stretch>
                      <a:fillRect/>
                    </a:stretch>
                  </pic:blipFill>
                  <pic:spPr>
                    <a:xfrm>
                      <a:off x="0" y="0"/>
                      <a:ext cx="5437800" cy="2917844"/>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8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keepNext/>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8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8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8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spacing w:before="120" w:after="40"/>
        <w:jc w:val="center"/>
      </w:pPr>
      <w:r>
        <w:drawing>
          <wp:inline>
            <wp:extent cx="4006799" cy="2914036"/>
            <wp:docPr id="6" name="Picture 6"/>
            <wp:cNvGraphicFramePr>
              <a:graphicFrameLocks noChangeAspect="1"/>
            </wp:cNvGraphicFramePr>
            <a:graphic>
              <a:graphicData uri="http://schemas.openxmlformats.org/drawingml/2006/picture">
                <pic:pic>
                  <pic:nvPicPr>
                    <pic:cNvPr id="0" name="fig_delta.png"/>
                    <pic:cNvPicPr/>
                  </pic:nvPicPr>
                  <pic:blipFill>
                    <a:blip r:embed="rId25"/>
                    <a:stretch>
                      <a:fillRect/>
                    </a:stretch>
                  </pic:blipFill>
                  <pic:spPr>
                    <a:xfrm>
                      <a:off x="0" y="0"/>
                      <a:ext cx="4006799" cy="2914036"/>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8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5151600" cy="3759276"/>
            <wp:docPr id="7" name="Picture 7"/>
            <wp:cNvGraphicFramePr>
              <a:graphicFrameLocks noChangeAspect="1"/>
            </wp:cNvGraphicFramePr>
            <a:graphic>
              <a:graphicData uri="http://schemas.openxmlformats.org/drawingml/2006/picture">
                <pic:pic>
                  <pic:nvPicPr>
                    <pic:cNvPr id="0" name="fig_curve.png"/>
                    <pic:cNvPicPr/>
                  </pic:nvPicPr>
                  <pic:blipFill>
                    <a:blip r:embed="rId26"/>
                    <a:stretch>
                      <a:fillRect/>
                    </a:stretch>
                  </pic:blipFill>
                  <pic:spPr>
                    <a:xfrm>
                      <a:off x="0" y="0"/>
                      <a:ext cx="5151600" cy="3759276"/>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8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293000" cy="2220517"/>
            <wp:docPr id="8" name="Picture 8"/>
            <wp:cNvGraphicFramePr>
              <a:graphicFrameLocks noChangeAspect="1"/>
            </wp:cNvGraphicFramePr>
            <a:graphic>
              <a:graphicData uri="http://schemas.openxmlformats.org/drawingml/2006/picture">
                <pic:pic>
                  <pic:nvPicPr>
                    <pic:cNvPr id="0" name="fig_audit.png"/>
                    <pic:cNvPicPr/>
                  </pic:nvPicPr>
                  <pic:blipFill>
                    <a:blip r:embed="rId27"/>
                    <a:stretch>
                      <a:fillRect/>
                    </a:stretch>
                  </pic:blipFill>
                  <pic:spPr>
                    <a:xfrm>
                      <a:off x="0" y="0"/>
                      <a:ext cx="4293000" cy="2220517"/>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8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blanket alternative looks like.</w:t>
      </w:r>
    </w:p>
    <w:p>
      <w:pPr>
        <w:spacing w:after="8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8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8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and the warm start inherits the teacher's own score of -0.0005.</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r>
        <w:br w:type="page"/>
      </w:r>
    </w:p>
    <w:p>
      <w:pPr>
        <w:keepNext/>
        <w:spacing w:before="360" w:after="160"/>
      </w:pPr>
      <w:r>
        <w:rPr>
          <w:rFonts w:ascii="Times New Roman" w:hAnsi="Times New Roman" w:eastAsia="Times New Roman" w:cs="Times New Roman"/>
          <w:b/>
          <w:sz w:val="48"/>
        </w:rPr>
        <w:t>4. Discussion and Conclusions</w:t>
      </w:r>
    </w:p>
    <w:p>
      <w:pPr>
        <w:spacing w:after="80"/>
      </w:pPr>
      <w:r>
        <w:rPr>
          <w:rFonts w:ascii="Times New Roman" w:hAnsi="Times New Roman" w:eastAsia="Times New Roman" w:cs="Times New Roman"/>
          <w:sz w:val="24"/>
        </w:rPr>
        <w:t>A local policy can learn to reroute, but only if the evaluation makes the decision real and the recipe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a behaviour-cloned detour teacher supplies the warm start, the critic is warmed up before the policy is unfrozen, and from a random initialisation neither control finds the crossing in its rendered episode. The same checkpoint does nothing when nothing is blocked, and the decision audit over seeds 3000 and 3001 shows that its crossings follow the blockage rather than the map.</w:t>
      </w:r>
    </w:p>
    <w:p>
      <w:pPr>
        <w:spacing w:after="80"/>
      </w:pPr>
      <w:r>
        <w:rPr>
          <w:rFonts w:ascii="Times New Roman" w:hAnsi="Times New Roman" w:eastAsia="Times New Roman" w:cs="Times New Roman"/>
          <w:sz w:val="24"/>
        </w:rPr>
        <w:t>One bound keeps that honest: the learned arm reproduces its teacher rather than beating it. The hand-written detour rule it is cloned from scores -0.0005 (results/all_arms.md), the same figure as the arm, so what the policy adds is a per-train decision procedure at the same cost, not a better schedule.</w:t>
      </w:r>
    </w:p>
    <w:p>
      <w:pPr>
        <w:spacing w:after="8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real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8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the metric ranks cancelling a service above delaying it, and no local policy arbitrates one throat.</w:t>
      </w:r>
    </w:p>
    <w:p>
      <w:pPr>
        <w:spacing w:after="80"/>
      </w:pPr>
      <w:r>
        <w:rPr>
          <w:rFonts w:ascii="Times New Roman" w:hAnsi="Times New Roman" w:eastAsia="Times New Roman" w:cs="Times New Roman"/>
          <w:sz w:val="24"/>
        </w:rPr>
        <w:t>What this establishes is narrow: on a corridor with two switchable pairs of tracks, a warm-started PPO learns to take the commit crossover when the track ahead is blocked, and never takes one when the track is clear. Necessity is what the audit proves (0 turns in 202 open-track visits); sufficiency is only approximate, since 81 of 101 blocked visits turned and (5,59) turned on 20 of 40. It does not show that per-agent RL arbitrates a junction, and three limits bound the evidence: one training seed per arm, held-out seeds that vary blockage placement only, and a sign test on the per-seed deltas with no confidence interval. Three extensions follow: the same 30-seed paired run for A2C and DQN, a global view for the junction (a graph or attention observation, or imitation of the route follower), and a comparison against the stronger scripted distance-map baseline. A deployed version would also have to make the decision observable: a signaller needs to know which crossover the policy intends to use before it uses it.</w:t>
      </w:r>
    </w:p>
    <w:sectPr>
      <w:footerReference w:type="default" r:id="rId28"/>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