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measured on held-out seeds, a rerouting checkpoint triggered 0 of 2 failures and its delayed score was identical to the clean episode. The corridor therefore uses an exogenous blockage: a cell's rail transitions are removed for 400 steps at a seed-drawn time, so both arms face the same cells at the same steps. Under that regime, and across all three algorithms, only the warm-started PPO learns to change track: it improves the metric from -0.0662 to -0.0005, a paired gain of +0.0657 on 30 held-out seeds (30 of 30, p &lt; 1e-4) with every train completing, and it takes no crossing at all on a clean network. A2C drifts back to the forward reflex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without a flyover.</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at 5.7e-14.</w:t>
      </w:r>
    </w:p>
    <w:p>
      <w:pPr>
        <w:pStyle w:val="ListBullet"/>
        <w:spacing w:after="60"/>
      </w:pPr>
      <w:r>
        <w:t>A negative diagnostic result about disruption placement: the original band regime produced 0 of 9 incidents in which any train could still reach its crossover,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returns to the reflex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(1.47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every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Rendered frames are drawn with make_env while evaluation uses make_parallel_env, so a rendered score is indicative and every reported number comes from eval_pair. Twenty scripts ship; Appendix A maps the modules that matter to their responsibilities, and nothing outside scripts/ is on a live path.</w:t>
      </w:r>
    </w:p>
    <w:p>
      <w:pPr>
        <w:spacing w:after="120"/>
      </w:pPr>
      <w:r>
        <w:t>The learning layer uses one shared multi-layer perceptron for all trains: 1032 inputs, two hidden layers of 256 units,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Four design experiments fixed this architecture before the reported matrix was run. First, the reward: paying the metric only at the end of an episode discounts a terminal charge of about 1000 to 0.6 per cent at gamma = 0.995, so the metric is paid as a potential and the identity is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figure comes from the same process the agent is trained in, produced headlessly with the PIL backend so the figures are reproducible.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the rerouting checkpoint measured here produced 0 of 2 incidents on the internal seeds, and its delayed score was bit-identical to the no-disruption episode. And placing the failure anywhere between a station's escape crossover and its platform usually puts it where every follower has already passed the crossover: on seeds 3000 to 3002, 0 of 9 incidents had any train still on the approach side, so there was no decision to make.</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Both arms therefore face identical cells at identical steps, which is what makes the comparison paired.</w:t>
      </w:r>
    </w:p>
    <w:p>
      <w:pPr>
        <w:spacing w:after="120"/>
      </w:pPr>
      <w:r>
        <w:t>Duration is the lever that makes crossing pay. The detour between the two up tracks costs two cells, so a blockage shorter than that is not worth avoiding. The shipped regime holds a cell for 400 steps, about 40 per cent of an episode,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tree observation with its predictor is the cost, so the GPU is not the lever: measured on the same budget, 52k timesteps took 207 s on CPU and 216 s with the policy on an RTX 3080. Worker processes do not help either; this PettingZoo stack hangs under SubprocVecEnv. What the measurements do show is where the wall clock goes: with 104 agent slots per step, 52k timesteps is about 5.4 M agent-steps in 207 s, and a four-episode evaluation costs roughly 173 s, so the evaluator, not the network, dominates. The shipped notebook and all figures in this report were executed on an aarch64 Oracle relay (2 vCPU, 11 GB, Python 3.11.17, torch 2.14.1, flatland 4.3.0, SB3 2.9.0), which is also the host of record for the project; the eleven tests and a training-and-render smoke test pass there.</w:t>
      </w:r>
    </w:p>
    <w:p>
      <w:pPr>
        <w:pStyle w:val="Heading1"/>
      </w:pPr>
      <w:r>
        <w:t>3  Results and evaluation</w:t>
      </w:r>
    </w:p>
    <w:p>
      <w:pPr>
        <w:spacing w:after="120"/>
      </w:pPr>
      <w:r>
        <w:t>This section reports the delayed condition, which is the only condition with headroom. On both maps the baseline is on time throughout the clean network and scores exactly 0.0000,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All arms are evaluated with deterministic actions on seeds 3000 to 3029.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compacting halved the diversion premium from four cells to two.</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because the same trains are affected in both arms; the policy makes them less late rather than making different trains late.</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814"/>
            <w:shd w:val="clear" w:color="auto" w:fill="1F3864"/>
          </w:tcPr>
          <w:p>
            <w:pPr>
              <w:spacing w:before="20" w:after="20"/>
            </w:pPr>
            <w:r/>
            <w:r>
              <w:rPr>
                <w:b/>
                <w:color w:val="FFFFFF"/>
                <w:sz w:val="18"/>
              </w:rPr>
              <w:t>Arm</w:t>
            </w:r>
          </w:p>
        </w:tc>
        <w:tc>
          <w:tcPr>
            <w:tcW w:type="dxa" w:w="1474"/>
            <w:shd w:val="clear" w:color="auto" w:fill="1F3864"/>
          </w:tcPr>
          <w:p>
            <w:pPr>
              <w:spacing w:before="20" w:after="20"/>
            </w:pPr>
            <w:r/>
            <w:r>
              <w:rPr>
                <w:b/>
                <w:color w:val="FFFFFF"/>
                <w:sz w:val="18"/>
              </w:rPr>
              <w:t>Best checkpoint</w:t>
            </w:r>
          </w:p>
        </w:tc>
        <w:tc>
          <w:tcPr>
            <w:tcW w:type="dxa" w:w="1361"/>
            <w:shd w:val="clear" w:color="auto" w:fill="1F3864"/>
          </w:tcPr>
          <w:p>
            <w:pPr>
              <w:spacing w:before="20" w:after="20"/>
            </w:pPr>
            <w:r/>
            <w:r>
              <w:rPr>
                <w:b/>
                <w:color w:val="FFFFFF"/>
                <w:sz w:val="18"/>
              </w:rPr>
              <w:t>Internal score</w:t>
            </w:r>
          </w:p>
        </w:tc>
        <w:tc>
          <w:tcPr>
            <w:tcW w:type="dxa" w:w="1134"/>
            <w:shd w:val="clear" w:color="auto" w:fill="1F3864"/>
          </w:tcPr>
          <w:p>
            <w:pPr>
              <w:spacing w:before="20" w:after="20"/>
            </w:pPr>
            <w:r/>
            <w:r>
              <w:rPr>
                <w:b/>
                <w:color w:val="FFFFFF"/>
                <w:sz w:val="18"/>
              </w:rPr>
              <w:t>Completion</w:t>
            </w:r>
          </w:p>
        </w:tc>
        <w:tc>
          <w:tcPr>
            <w:tcW w:type="dxa" w:w="1474"/>
            <w:shd w:val="clear" w:color="auto" w:fill="1F3864"/>
          </w:tcPr>
          <w:p>
            <w:pPr>
              <w:spacing w:before="20" w:after="20"/>
            </w:pPr>
            <w:r/>
            <w:r>
              <w:rPr>
                <w:b/>
                <w:color w:val="FFFFFF"/>
                <w:sz w:val="18"/>
              </w:rPr>
              <w:t>Rendered episode</w:t>
            </w:r>
          </w:p>
        </w:tc>
        <w:tc>
          <w:tcPr>
            <w:tcW w:type="dxa" w:w="2041"/>
            <w:shd w:val="clear" w:color="auto" w:fill="1F3864"/>
          </w:tcPr>
          <w:p>
            <w:pPr>
              <w:spacing w:before="20" w:after="20"/>
            </w:pPr>
            <w:r/>
            <w:r>
              <w:rPr>
                <w:b/>
                <w:color w:val="FFFFFF"/>
                <w:sz w:val="18"/>
              </w:rPr>
              <w:t>Behaviour</w:t>
            </w:r>
          </w:p>
        </w:tc>
      </w:tr>
      <w:tr>
        <w:trPr>
          <w:cantSplit/>
        </w:trPr>
        <w:tc>
          <w:tcPr>
            <w:tcW w:type="dxa" w:w="1814"/>
          </w:tcPr>
          <w:p>
            <w:pPr>
              <w:spacing w:before="20" w:after="20"/>
            </w:pPr>
            <w:r/>
            <w:r>
              <w:rPr>
                <w:sz w:val="18"/>
              </w:rPr>
              <w:t>PPO (warm start)</w:t>
            </w:r>
          </w:p>
        </w:tc>
        <w:tc>
          <w:tcPr>
            <w:tcW w:type="dxa" w:w="1474"/>
          </w:tcPr>
          <w:p>
            <w:pPr>
              <w:spacing w:before="20" w:after="20"/>
            </w:pPr>
            <w:r/>
            <w:r>
              <w:rPr>
                <w:sz w:val="18"/>
              </w:rPr>
              <w:t>745k to 905k</w:t>
            </w:r>
          </w:p>
        </w:tc>
        <w:tc>
          <w:tcPr>
            <w:tcW w:type="dxa" w:w="1361"/>
          </w:tcPr>
          <w:p>
            <w:pPr>
              <w:spacing w:before="20" w:after="20"/>
            </w:pPr>
            <w:r/>
            <w:r>
              <w:rPr>
                <w:sz w:val="18"/>
              </w:rPr>
              <w:t>-0.0005</w:t>
            </w:r>
          </w:p>
        </w:tc>
        <w:tc>
          <w:tcPr>
            <w:tcW w:type="dxa" w:w="1134"/>
          </w:tcPr>
          <w:p>
            <w:pPr>
              <w:spacing w:before="20" w:after="20"/>
            </w:pPr>
            <w:r/>
            <w:r>
              <w:rPr>
                <w:sz w:val="18"/>
              </w:rPr>
              <w:t>1.000</w:t>
            </w:r>
          </w:p>
        </w:tc>
        <w:tc>
          <w:tcPr>
            <w:tcW w:type="dxa" w:w="1474"/>
          </w:tcPr>
          <w:p>
            <w:pPr>
              <w:spacing w:before="20" w:after="20"/>
            </w:pPr>
            <w:r/>
            <w:r>
              <w:rPr>
                <w:sz w:val="18"/>
              </w:rPr>
              <w:t>-0.0006</w:t>
            </w:r>
          </w:p>
        </w:tc>
        <w:tc>
          <w:tcPr>
            <w:tcW w:type="dxa" w:w="2041"/>
          </w:tcPr>
          <w:p>
            <w:pPr>
              <w:spacing w:before="20" w:after="20"/>
            </w:pPr>
            <w:r/>
            <w:r>
              <w:rPr>
                <w:sz w:val="18"/>
              </w:rPr>
              <w:t>crosses only when blocked</w:t>
            </w:r>
          </w:p>
        </w:tc>
      </w:tr>
      <w:tr>
        <w:trPr>
          <w:cantSplit/>
        </w:trPr>
        <w:tc>
          <w:tcPr>
            <w:tcW w:type="dxa" w:w="1814"/>
            <w:shd w:val="clear" w:color="auto" w:fill="F2F5FA"/>
          </w:tcPr>
          <w:p>
            <w:pPr>
              <w:spacing w:before="20" w:after="20"/>
            </w:pPr>
            <w:r/>
            <w:r>
              <w:rPr>
                <w:sz w:val="18"/>
              </w:rPr>
              <w:t>A2C</w:t>
            </w:r>
          </w:p>
        </w:tc>
        <w:tc>
          <w:tcPr>
            <w:tcW w:type="dxa" w:w="1474"/>
            <w:shd w:val="clear" w:color="auto" w:fill="F2F5FA"/>
          </w:tcPr>
          <w:p>
            <w:pPr>
              <w:spacing w:before="20" w:after="20"/>
            </w:pPr>
            <w:r/>
            <w:r>
              <w:rPr>
                <w:sz w:val="18"/>
              </w:rPr>
              <w:t>400k</w:t>
            </w:r>
          </w:p>
        </w:tc>
        <w:tc>
          <w:tcPr>
            <w:tcW w:type="dxa" w:w="1361"/>
            <w:shd w:val="clear" w:color="auto" w:fill="F2F5FA"/>
          </w:tcPr>
          <w:p>
            <w:pPr>
              <w:spacing w:before="20" w:after="20"/>
            </w:pPr>
            <w:r/>
            <w:r>
              <w:rPr>
                <w:sz w:val="18"/>
              </w:rPr>
              <w:t>-0.0563</w:t>
            </w:r>
          </w:p>
        </w:tc>
        <w:tc>
          <w:tcPr>
            <w:tcW w:type="dxa" w:w="1134"/>
            <w:shd w:val="clear" w:color="auto" w:fill="F2F5FA"/>
          </w:tcPr>
          <w:p>
            <w:pPr>
              <w:spacing w:before="20" w:after="20"/>
            </w:pPr>
            <w:r/>
            <w:r>
              <w:rPr>
                <w:sz w:val="18"/>
              </w:rPr>
              <w:t>1.000</w:t>
            </w:r>
          </w:p>
        </w:tc>
        <w:tc>
          <w:tcPr>
            <w:tcW w:type="dxa" w:w="1474"/>
            <w:shd w:val="clear" w:color="auto" w:fill="F2F5FA"/>
          </w:tcPr>
          <w:p>
            <w:pPr>
              <w:spacing w:before="20" w:after="20"/>
            </w:pPr>
            <w:r/>
            <w:r>
              <w:rPr>
                <w:sz w:val="18"/>
              </w:rPr>
              <w:t>-0.0822</w:t>
            </w:r>
          </w:p>
        </w:tc>
        <w:tc>
          <w:tcPr>
            <w:tcW w:type="dxa" w:w="2041"/>
            <w:shd w:val="clear" w:color="auto" w:fill="F2F5FA"/>
          </w:tcPr>
          <w:p>
            <w:pPr>
              <w:spacing w:before="20" w:after="20"/>
            </w:pPr>
            <w:r/>
            <w:r>
              <w:rPr>
                <w:sz w:val="18"/>
              </w:rPr>
              <w:t>reflex-like, never crosses</w:t>
            </w:r>
          </w:p>
        </w:tc>
      </w:tr>
      <w:tr>
        <w:trPr>
          <w:cantSplit/>
        </w:trPr>
        <w:tc>
          <w:tcPr>
            <w:tcW w:type="dxa" w:w="1814"/>
          </w:tcPr>
          <w:p>
            <w:pPr>
              <w:spacing w:before="20" w:after="20"/>
            </w:pPr>
            <w:r/>
            <w:r>
              <w:rPr>
                <w:sz w:val="18"/>
              </w:rPr>
              <w:t>DQN (gamma 0.999)</w:t>
            </w:r>
          </w:p>
        </w:tc>
        <w:tc>
          <w:tcPr>
            <w:tcW w:type="dxa" w:w="1474"/>
          </w:tcPr>
          <w:p>
            <w:pPr>
              <w:spacing w:before="20" w:after="20"/>
            </w:pPr>
            <w:r/>
            <w:r>
              <w:rPr>
                <w:sz w:val="18"/>
              </w:rPr>
              <w:t>400k</w:t>
            </w:r>
          </w:p>
        </w:tc>
        <w:tc>
          <w:tcPr>
            <w:tcW w:type="dxa" w:w="1361"/>
          </w:tcPr>
          <w:p>
            <w:pPr>
              <w:spacing w:before="20" w:after="20"/>
            </w:pPr>
            <w:r/>
            <w:r>
              <w:rPr>
                <w:sz w:val="18"/>
              </w:rPr>
              <w:t>-0.3234</w:t>
            </w:r>
          </w:p>
        </w:tc>
        <w:tc>
          <w:tcPr>
            <w:tcW w:type="dxa" w:w="1134"/>
          </w:tcPr>
          <w:p>
            <w:pPr>
              <w:spacing w:before="20" w:after="20"/>
            </w:pPr>
            <w:r/>
            <w:r>
              <w:rPr>
                <w:sz w:val="18"/>
              </w:rPr>
              <w:t>0.529</w:t>
            </w:r>
          </w:p>
        </w:tc>
        <w:tc>
          <w:tcPr>
            <w:tcW w:type="dxa" w:w="1474"/>
          </w:tcPr>
          <w:p>
            <w:pPr>
              <w:spacing w:before="20" w:after="20"/>
            </w:pPr>
            <w:r/>
            <w:r>
              <w:rPr>
                <w:sz w:val="18"/>
              </w:rPr>
              <w:t>-0.3768</w:t>
            </w:r>
          </w:p>
        </w:tc>
        <w:tc>
          <w:tcPr>
            <w:tcW w:type="dxa" w:w="2041"/>
          </w:tcPr>
          <w:p>
            <w:pPr>
              <w:spacing w:before="20" w:after="20"/>
            </w:pPr>
            <w:r/>
            <w:r>
              <w:rPr>
                <w:sz w:val="18"/>
              </w:rPr>
              <w:t>parks half the fleet</w:t>
            </w:r>
          </w:p>
        </w:tc>
      </w:tr>
    </w:tbl>
    <w:p>
      <w:pPr>
        <w:spacing w:before="60" w:after="240"/>
      </w:pPr>
      <w:r>
        <w:rPr>
          <w:i/>
          <w:color w:val="404040"/>
          <w:sz w:val="18"/>
        </w:rPr>
        <w:t>Table 3: Corridor training outcome per arm. Internal score and completion come from the selection seeds; the rendered column is seed 3001 as drawn by the renderer, which uses make_env rather than the evaluator's make_parallel_env, so it is indicative - the reported numbers are always the paired ones in Table 2.</w:t>
      </w:r>
    </w:p>
    <w:p>
      <w:pPr>
        <w:spacing w:after="120"/>
      </w:pPr>
      <w:r>
        <w:t>The other two algorithms are the control for the claim that learning the crossing is not automatic. A2C oscillates between the reflex and a parked fleet (-0.0563 at 400k, -0.5746 with completion 0.087 at 800k, -0.0736 at 1.2M) and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Blocked means an impassable cell ahead on the train's own row within 60 cells. The 20 missed turns at (5,59) are hazards beyond the next waypoint, correctly ignored.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counts turns, not diverts: a ladder crossing is two turns, one per row change, so 81 turns over two seeds is about 40 turns per episode and about 20 diverts. The row-change count, because the crossing is a ladder: a train goes from row 2 to row 3 and then from row 3 to row 4 one step later.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6: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while the 30-seed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ceiling of -0.0005. The claim is that it reaches the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from the shipped figures and CSVs</w:t>
            </w:r>
          </w:p>
        </w:tc>
      </w:tr>
    </w:tbl>
    <w:p>
      <w:pPr>
        <w:spacing w:before="60" w:after="240"/>
      </w:pPr>
      <w:r>
        <w:rPr>
          <w:i/>
          <w:color w:val="404040"/>
          <w:sz w:val="18"/>
        </w:rPr>
        <w:t>Table A1: The sixteen modules on a live path, of twenty shipped scripts. The notebook imports five directly; the rest are command-line entry points. The notebook, not the scripts, is the graded artefact.</w:t>
      </w:r>
    </w:p>
    <w:p>
      <w:pPr>
        <w:pStyle w:val="Heading1"/>
      </w:pPr>
      <w:r>
        <w:t>Appendix B  Reproducing the reported results</w:t>
      </w:r>
    </w:p>
    <w:p>
      <w:pPr>
        <w:spacing w:after="120"/>
      </w:pPr>
      <w:r>
        <w:t>All commands run from the repository root. Steps 1 and 2 build the corridor arm; the evaluation and audit steps use the shipped evidence.</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w:t>
      </w:r>
    </w:p>
    <w:p>
      <w:pPr>
        <w:spacing w:after="80"/>
        <w:ind w:left="227"/>
      </w:pPr>
      <w:r>
        <w:rPr>
          <w:rFonts w:ascii="Consolas" w:hAnsi="Consolas"/>
          <w:sz w:val="17"/>
        </w:rPr>
        <w:t>RL_A3_REGIME=block python scripts/train_algo.py --algo a2c --incidents 2 --out runs/a2c_block</w:t>
      </w:r>
    </w:p>
    <w:p>
      <w:pPr>
        <w:spacing w:after="80"/>
        <w:ind w:left="227"/>
      </w:pPr>
      <w:r>
        <w:rPr>
          <w:rFonts w:ascii="Consolas" w:hAnsi="Consolas"/>
          <w:sz w:val="17"/>
        </w:rPr>
        <w:t>RL_A3_REGIME=block python scripts/train_algo.py --algo dqn --incidents 2 --gamma 0.999 --out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notebook, the figures and this report were produced on an aarch64 Oracle relay (2 vCPU, 11 GB) as well as on the x86 GPU box, with the same pinned stack; the tests and a training-plus-render smoke test pass on both.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