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pPr>
        <w:keepNext/>
        <w:pageBreakBefore/>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14</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15</w:t>
      </w:r>
    </w:p>
    <w:p>
      <w:pPr>
        <w:tabs>
          <w:tab w:pos="8844" w:val="right" w:leader="dot"/>
        </w:tabs>
        <w:spacing w:after="40"/>
      </w:pPr>
      <w:r>
        <w:rPr>
          <w:rFonts w:ascii="Times New Roman" w:hAnsi="Times New Roman"/>
          <w:sz w:val="24"/>
        </w:rPr>
        <w:t>5. References</w:t>
      </w:r>
      <w:r>
        <w:tab/>
      </w:r>
      <w:r>
        <w:rPr>
          <w:rFonts w:ascii="Times New Roman" w:hAnsi="Times New Roman"/>
          <w:sz w:val="24"/>
        </w:rPr>
        <w:t>16</w:t>
      </w:r>
    </w:p>
    <w:p>
      <w:pPr>
        <w:tabs>
          <w:tab w:pos="8844" w:val="right" w:leader="dot"/>
        </w:tabs>
        <w:spacing w:after="40"/>
      </w:pPr>
      <w:r>
        <w:rPr>
          <w:rFonts w:ascii="Times New Roman" w:hAnsi="Times New Roman"/>
          <w:sz w:val="24"/>
        </w:rPr>
        <w:t>Appendices</w:t>
      </w:r>
      <w:r>
        <w:tab/>
      </w:r>
      <w:r>
        <w:rPr>
          <w:rFonts w:ascii="Times New Roman" w:hAnsi="Times New Roman"/>
          <w:sz w:val="24"/>
        </w:rPr>
        <w:t>17</w:t>
      </w:r>
    </w:p>
    <w:p>
      <w:pPr>
        <w:tabs>
          <w:tab w:pos="8844" w:val="right" w:leader="dot"/>
        </w:tabs>
        <w:spacing w:after="40"/>
      </w:pPr>
      <w:r>
        <w:rPr>
          <w:rFonts w:ascii="Times New Roman" w:hAnsi="Times New Roman"/>
          <w:sz w:val="24"/>
        </w:rPr>
        <w:t>A. Individual Contribution</w:t>
      </w:r>
      <w:r>
        <w:tab/>
      </w:r>
      <w:r>
        <w:rPr>
          <w:rFonts w:ascii="Times New Roman" w:hAnsi="Times New Roman"/>
          <w:sz w:val="24"/>
        </w:rPr>
        <w:t>17</w:t>
      </w:r>
    </w:p>
    <w:p>
      <w:pPr>
        <w:tabs>
          <w:tab w:pos="8844" w:val="right" w:leader="dot"/>
        </w:tabs>
        <w:spacing w:after="40"/>
      </w:pPr>
      <w:r>
        <w:rPr>
          <w:rFonts w:ascii="Times New Roman" w:hAnsi="Times New Roman"/>
          <w:sz w:val="24"/>
        </w:rPr>
        <w:t>B. Individual Contribution Split</w:t>
      </w:r>
      <w:r>
        <w:tab/>
      </w:r>
      <w:r>
        <w:rPr>
          <w:rFonts w:ascii="Times New Roman" w:hAnsi="Times New Roman"/>
          <w:sz w:val="24"/>
        </w:rPr>
        <w:t>17</w:t>
      </w:r>
    </w:p>
    <w:p>
      <w:pPr>
        <w:keepNext/>
        <w:pageBreakBefore/>
        <w:spacing w:before="360" w:after="160"/>
      </w:pPr>
      <w:r>
        <w:rPr>
          <w:rFonts w:ascii="Times New Roman" w:hAnsi="Times New Roman" w:eastAsia="Times New Roman" w:cs="Times New Roman"/>
          <w:b/>
          <w:sz w:val="48"/>
        </w:rPr>
        <w:t>Abstract</w:t>
      </w:r>
    </w:p>
    <w:p>
      <w:pPr>
        <w:spacing w:after="80"/>
      </w:pPr>
      <w:r>
        <w:rPr>
          <w:rFonts w:ascii="Times New Roman" w:hAnsi="Times New Roman" w:eastAsia="Times New Roman" w:cs="Times New Roman"/>
          <w:sz w:val="24"/>
        </w:rPr>
        <w:t>We ask whether a learned policy can beat a schedule-following controller when a track becomes unavailable. Two Flatland scenarios come from the October 2026 TfNSW GTFS feed: a four-track Central-Strathfield corridor with 52 movements and the Granville-Harris Park junction with 126. The corridor uses an exogenous blockage that removes a cell's rail transitions for 400 steps, so a policy cannot cancel the incident by rerouting. Only the warm-started PPO learns to change track: it lifts the metric from -0.0662 to -0.0005, a paired gain of +0.0657 on 30 held-out seeds (30 of 30, p &lt; 1e-4), and takes no crossing on a clean network. No crossing appears in A2C's rendered episode, and DQN parks half the fleet. The junction is still a loss against the scripted baseline (-0.2400 against -0.1823, two seeds).</w:t>
      </w:r>
    </w:p>
    <w:p>
      <w:pPr>
        <w:keepNext/>
        <w:pageBreakBefore/>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8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8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8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8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8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8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8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8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spacing w:before="120" w:after="40"/>
        <w:jc w:val="center"/>
      </w:pPr>
      <w:r>
        <w:drawing>
          <wp:inline>
            <wp:extent cx="5724000" cy="1032902"/>
            <wp:docPr id="1" name="Picture 1"/>
            <wp:cNvGraphicFramePr>
              <a:graphicFrameLocks noChangeAspect="1"/>
            </wp:cNvGraphicFramePr>
            <a:graphic>
              <a:graphicData uri="http://schemas.openxmlformats.org/drawingml/2006/picture">
                <pic:pic>
                  <pic:nvPicPr>
                    <pic:cNvPr id="0" name="fig_s1_level.png"/>
                    <pic:cNvPicPr/>
                  </pic:nvPicPr>
                  <pic:blipFill>
                    <a:blip r:embed="rId22"/>
                    <a:stretch>
                      <a:fillRect/>
                    </a:stretch>
                  </pic:blipFill>
                  <pic:spPr>
                    <a:xfrm>
                      <a:off x="0" y="0"/>
                      <a:ext cx="5724000" cy="1032902"/>
                    </a:xfrm>
                    <a:prstGeom prst="rect"/>
                  </pic:spPr>
                </pic:pic>
              </a:graphicData>
            </a:graphic>
          </wp:inline>
        </w:drawing>
      </w:r>
    </w:p>
    <w:p>
      <w:pPr>
        <w:spacing w:before="40" w:after="200"/>
      </w:pPr>
      <w:r>
        <w:rPr>
          <w:rFonts w:ascii="Times New Roman" w:hAnsi="Times New Roman" w:eastAsia="Times New Roman" w:cs="Times New Roman"/>
          <w:i/>
          <w:sz w:val="20"/>
        </w:rPr>
        <w:t>Figure 1: The compact corridor level used in this report - 87 x 8 with four through tracks and 52 movements. Ticks mark the seven commit crossovers, labelled with their column, where a train can change track</w:t>
      </w:r>
    </w:p>
    <w:p>
      <w:pPr>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pPr>
        <w:keepNext/>
        <w:pageBreakBefore/>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8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three labelled junction rows of Table 5 as the one disclosed exception.</w:t>
      </w:r>
    </w:p>
    <w:p>
      <w:pPr>
        <w:spacing w:before="120" w:after="40"/>
        <w:jc w:val="center"/>
      </w:pPr>
      <w:r>
        <w:drawing>
          <wp:inline>
            <wp:extent cx="5151600" cy="5446510"/>
            <wp:docPr id="3" name="Picture 3"/>
            <wp:cNvGraphicFramePr>
              <a:graphicFrameLocks noChangeAspect="1"/>
            </wp:cNvGraphicFramePr>
            <a:graphic>
              <a:graphicData uri="http://schemas.openxmlformats.org/drawingml/2006/picture">
                <pic:pic>
                  <pic:nvPicPr>
                    <pic:cNvPr id="0" name="fig_workflow.png"/>
                    <pic:cNvPicPr/>
                  </pic:nvPicPr>
                  <pic:blipFill>
                    <a:blip r:embed="rId23"/>
                    <a:stretch>
                      <a:fillRect/>
                    </a:stretch>
                  </pic:blipFill>
                  <pic:spPr>
                    <a:xfrm>
                      <a:off x="0" y="0"/>
                      <a:ext cx="5151600" cy="5446510"/>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8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8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80"/>
      </w:pPr>
      <w:r>
        <w:rPr>
          <w:rFonts w:ascii="Times New Roman" w:hAnsi="Times New Roman" w:eastAsia="Times New Roman" w:cs="Times New Roman"/>
          <w:sz w:val="24"/>
        </w:rPr>
        <w:t>From a random initialisation neither control algorithm finds the crossing in its rendered episode,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8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keeps every episode figure inside the same simulator the agents are trained in - drawn through make_env, while training and evaluation use make_parallel_env, which adds the dwell wrapper - and produced headlessly with the PIL backend, so the panel scores are indicative rather than the reported numbers. Figures 1 and 2 are the two levels; Figures 4 and 5 show the same levels under their disruption regimes.</w:t>
      </w:r>
    </w:p>
    <w:p>
      <w:pPr>
        <w:spacing w:before="120" w:after="40"/>
        <w:jc w:val="center"/>
      </w:pPr>
      <w:r>
        <w:drawing>
          <wp:inline>
            <wp:extent cx="5437800" cy="205428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4"/>
                    <a:stretch>
                      <a:fillRect/>
                    </a:stretch>
                  </pic:blipFill>
                  <pic:spPr>
                    <a:xfrm>
                      <a:off x="0" y="0"/>
                      <a:ext cx="5437800" cy="205428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spacing w:before="120" w:after="40"/>
        <w:jc w:val="center"/>
      </w:pPr>
      <w:r>
        <w:drawing>
          <wp:inline>
            <wp:extent cx="4865400" cy="2610702"/>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5"/>
                    <a:stretch>
                      <a:fillRect/>
                    </a:stretch>
                  </pic:blipFill>
                  <pic:spPr>
                    <a:xfrm>
                      <a:off x="0" y="0"/>
                      <a:ext cx="4865400" cy="2610702"/>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8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after 60 steps. Both arms get the same cells at the same seed-drawn steps, so the pairing is by seed and plan.</w:t>
      </w:r>
    </w:p>
    <w:p>
      <w:pPr>
        <w:keepNext/>
        <w:pageBreakBefore/>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8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8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inside runs/xb_b/best_model.zip records x86_64 with CUDA available); the notebook and the figures also run on an aarch64 relay with the same pinned stack, and the sixteen tests pass (results/test_run.txt).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8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spacing w:before="120" w:after="40"/>
        <w:jc w:val="center"/>
      </w:pPr>
      <w:r>
        <w:drawing>
          <wp:inline>
            <wp:extent cx="3548880" cy="2581004"/>
            <wp:docPr id="6" name="Picture 6"/>
            <wp:cNvGraphicFramePr>
              <a:graphicFrameLocks noChangeAspect="1"/>
            </wp:cNvGraphicFramePr>
            <a:graphic>
              <a:graphicData uri="http://schemas.openxmlformats.org/drawingml/2006/picture">
                <pic:pic>
                  <pic:nvPicPr>
                    <pic:cNvPr id="0" name="fig_delta.png"/>
                    <pic:cNvPicPr/>
                  </pic:nvPicPr>
                  <pic:blipFill>
                    <a:blip r:embed="rId26"/>
                    <a:stretch>
                      <a:fillRect/>
                    </a:stretch>
                  </pic:blipFill>
                  <pic:spPr>
                    <a:xfrm>
                      <a:off x="0" y="0"/>
                      <a:ext cx="3548880" cy="2581004"/>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8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spacing w:before="120" w:after="40"/>
        <w:jc w:val="center"/>
      </w:pPr>
      <w:r>
        <w:drawing>
          <wp:inline>
            <wp:extent cx="4865400" cy="3550427"/>
            <wp:docPr id="7" name="Picture 7"/>
            <wp:cNvGraphicFramePr>
              <a:graphicFrameLocks noChangeAspect="1"/>
            </wp:cNvGraphicFramePr>
            <a:graphic>
              <a:graphicData uri="http://schemas.openxmlformats.org/drawingml/2006/picture">
                <pic:pic>
                  <pic:nvPicPr>
                    <pic:cNvPr id="0" name="fig_curve.png"/>
                    <pic:cNvPicPr/>
                  </pic:nvPicPr>
                  <pic:blipFill>
                    <a:blip r:embed="rId27"/>
                    <a:stretch>
                      <a:fillRect/>
                    </a:stretch>
                  </pic:blipFill>
                  <pic:spPr>
                    <a:xfrm>
                      <a:off x="0" y="0"/>
                      <a:ext cx="4865400" cy="3550427"/>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8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wp:extent cx="4006799" cy="2072482"/>
            <wp:docPr id="8" name="Picture 8"/>
            <wp:cNvGraphicFramePr>
              <a:graphicFrameLocks noChangeAspect="1"/>
            </wp:cNvGraphicFramePr>
            <a:graphic>
              <a:graphicData uri="http://schemas.openxmlformats.org/drawingml/2006/picture">
                <pic:pic>
                  <pic:nvPicPr>
                    <pic:cNvPr id="0" name="fig_audit.png"/>
                    <pic:cNvPicPr/>
                  </pic:nvPicPr>
                  <pic:blipFill>
                    <a:blip r:embed="rId28"/>
                    <a:stretch>
                      <a:fillRect/>
                    </a:stretch>
                  </pic:blipFill>
                  <pic:spPr>
                    <a:xfrm>
                      <a:off x="0" y="0"/>
                      <a:ext cx="4006799" cy="2072482"/>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8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two degenerate alternatives look like - never turning, and parking.</w:t>
      </w:r>
    </w:p>
    <w:p>
      <w:pPr>
        <w:spacing w:after="8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8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8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the warm-start checkpoint scores -0.0010 before fine-tuning, against the -0.0005 of the hand-written rule it was cloned from (runs/xb_b/eval.csv, results/all_arms.md).</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pPr>
        <w:keepNext/>
        <w:pageBreakBefore/>
        <w:spacing w:before="360" w:after="160"/>
      </w:pPr>
      <w:r>
        <w:rPr>
          <w:rFonts w:ascii="Times New Roman" w:hAnsi="Times New Roman" w:eastAsia="Times New Roman" w:cs="Times New Roman"/>
          <w:b/>
          <w:sz w:val="48"/>
        </w:rPr>
        <w:t>4. Discussion and Conclusions</w:t>
      </w:r>
    </w:p>
    <w:p>
      <w:pPr>
        <w:spacing w:after="80"/>
      </w:pPr>
      <w:r>
        <w:rPr>
          <w:rFonts w:ascii="Times New Roman" w:hAnsi="Times New Roman" w:eastAsia="Times New Roman" w:cs="Times New Roman"/>
          <w:sz w:val="24"/>
        </w:rPr>
        <w:t>A local policy can learn to reroute, but only if the evaluation makes the decision real and the recipe can find a sparse action. On a four-track corridor cut by 400-step exogenous blockages, PPO changes track at the commit crossover just before the blockage: it moves the score from the forward-only baseline's -0.0662 to -0.0005 over 30 held-out seeds, winning every seed without losing a train. The recipe is load-bearing: a behaviour-cloned detour teacher supplies the warm start, the critic is warmed up before the policy is unfrozen, and from a random initialisation neither control finds the crossing in its rendered episode. The same checkpoint does nothing when nothing is blocked, and the decision audit over seeds 3000 and 3001 shows that its crossings follow the blockage rather than the map.</w:t>
      </w:r>
    </w:p>
    <w:p>
      <w:pPr>
        <w:spacing w:after="80"/>
      </w:pPr>
      <w:r>
        <w:rPr>
          <w:rFonts w:ascii="Times New Roman" w:hAnsi="Times New Roman" w:eastAsia="Times New Roman" w:cs="Times New Roman"/>
          <w:sz w:val="24"/>
        </w:rPr>
        <w:t>One bound keeps that honest: the learned arm reproduces its teacher rather than beating it. The hand-written detour rule it is cloned from scores -0.0005 (results/all_arms.md), the same figure as the arm, so what the policy adds is a per-train decision procedure at the same cost, not a better schedule.</w:t>
      </w:r>
    </w:p>
    <w:p>
      <w:pPr>
        <w:spacing w:after="80"/>
      </w:pPr>
      <w:r>
        <w:rPr>
          <w:rFonts w:ascii="Times New Roman" w:hAnsi="Times New Roman" w:eastAsia="Times New Roman" w:cs="Times New Roman"/>
          <w:sz w:val="24"/>
        </w:rP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gives both arms the same seed-drawn plan, and turns the delayed comparison into a real decision. The controls bound how far that goes: the checkpoint is inert on an unblocked network (0.0000, and no turn in 546 visits), but with the blockage suppressed and the Poisson malfunction layer left on it is indistinguishable from the baseline (-0.0133 against -0.0165, 3 of 3 seeds but p = 0.25). The gain therefore belongs to a long exogenous hold, not to disruption in general.</w:t>
      </w:r>
    </w:p>
    <w:p>
      <w:pPr>
        <w:spacing w:after="80"/>
      </w:pPr>
      <w:r>
        <w:rPr>
          <w:rFonts w:ascii="Times New Roman" w:hAnsi="Times New Roman" w:eastAsia="Times New Roman" w:cs="Times New Roman"/>
          <w:sz w:val="24"/>
        </w:rPr>
        <w:t>The junction is where the metric, not the learner, is the story. Parking wins on the metric because a cancellation is charged about 19 cost units while a dispatch into the jam pays its full delay: three 30-seed arms score about +0.15 better than the route follower while completing 0 to 18 per cent of the trains. Selecting the checkpoint by completion reverses the failure without fixing it: the current arm sends every dispatched train into the throat, completes 59 of 126 and scores -0.2400 against a two-seed baseline of -0.1823. That row also comes from a later observation version than the three above it, so it is read on its own rather than as a like-for-like comparison. Read together, the two rows say the same thing: the metric ranks cancelling a service above delaying it, and no local policy arbitrates one throat.</w:t>
      </w:r>
    </w:p>
    <w:p>
      <w:pPr>
        <w:spacing w:after="80"/>
      </w:pPr>
      <w:r>
        <w:rPr>
          <w:rFonts w:ascii="Times New Roman" w:hAnsi="Times New Roman" w:eastAsia="Times New Roman" w:cs="Times New Roman"/>
          <w:sz w:val="24"/>
        </w:rPr>
        <w:t>What this establishes is narrow: on a corridor with two switchable pairs of tracks, a warm-started PPO learns to take the commit crossover when the track ahead is blocked, and never takes one when the track is clear. Necessity is what the audit proves (0 turns in 202 open-track visits); sufficiency is only approximate, since 81 of 101 blocked visits turned and (5,59) turned on 20 of 40. It does not show that per-agent RL arbitrates a junction, and three limits bound the evidence: one training seed per arm, held-out seeds that vary blockage placement only, and a sign test on the per-seed deltas with no confidence interval. Three extensions follow: the same 30-seed paired run for A2C and DQN, a global view for the junction (a graph or attention observation, or imitation of the route follower), and a comparison against the stronger scripted distance-map baseline. A deployed version would also have to make the decision observable: a signaller needs to know which crossover the policy intends to use before it uses it.</w:t>
      </w:r>
    </w:p>
    <w:p>
      <w:pPr>
        <w:keepNext/>
        <w:pageBreakBefore/>
        <w:spacing w:before="360" w:after="160"/>
      </w:pPr>
      <w:r>
        <w:rPr>
          <w:rFonts w:ascii="Times New Roman" w:hAnsi="Times New Roman" w:eastAsia="Times New Roman" w:cs="Times New Roman"/>
          <w:b/>
          <w:sz w:val="48"/>
        </w:rPr>
        <w:t>5. References</w:t>
      </w:r>
    </w:p>
    <w:p>
      <w:pPr>
        <w:spacing w:after="80"/>
      </w:pPr>
      <w:r>
        <w:rPr>
          <w:rFonts w:ascii="Times New Roman" w:hAnsi="Times New Roman" w:eastAsia="Times New Roman" w:cs="Times New Roman"/>
          <w:sz w:val="24"/>
        </w:rPr>
        <w:t>Gorrey, M., Segaert, A., Ganko, J., &amp; Kaine, E. (2025, May 21). ‘Delay all non-essential travel’: Commuters warned to expect more train chaos. The Sydney Morning Herald. https://www.smh.com.au/national/nsw/major-disruptions-expected-as-power-failure-halts-trains-20250520-p5m0t1.html</w:t>
      </w:r>
    </w:p>
    <w:p>
      <w:pPr>
        <w:spacing w:after="80"/>
      </w:pPr>
      <w:r>
        <w:rPr>
          <w:rFonts w:ascii="Times New Roman" w:hAnsi="Times New Roman" w:eastAsia="Times New Roman" w:cs="Times New Roman"/>
          <w:sz w:val="24"/>
        </w:rPr>
        <w:t>Li, B., Guo, T., Li, R., Wang, Y., Ou, Y., &amp; Chen, F. (2021). Delay propagation in large railway networks with data-driven Bayesian modeling. Transportation Research Record, 2675(11), 472-485.</w:t>
      </w:r>
    </w:p>
    <w:p>
      <w:pPr>
        <w:spacing w:after="80"/>
      </w:pPr>
      <w:r>
        <w:rPr>
          <w:rFonts w:ascii="Times New Roman" w:hAnsi="Times New Roman" w:eastAsia="Times New Roman" w:cs="Times New Roman"/>
          <w:sz w:val="24"/>
        </w:rPr>
        <w:t>Mohanty, S., Nygren, E., Laurent, F., Schneider, M., Scheller, C., Bhattacharya, N., Watson, J., Egli, A., Eichenberger, C., &amp; Baumberger, C. (2020). Flatland-rl: Multi-agent reinforcement learning on trains. arXiv preprint arXiv:2012.05893.</w:t>
      </w:r>
    </w:p>
    <w:p>
      <w:pPr>
        <w:spacing w:after="80"/>
      </w:pPr>
      <w:r>
        <w:rPr>
          <w:rFonts w:ascii="Times New Roman" w:hAnsi="Times New Roman" w:eastAsia="Times New Roman" w:cs="Times New Roman"/>
          <w:sz w:val="24"/>
        </w:rPr>
        <w:t>Roberts, M. ( 2024, June 17). Signal repairs cause train disruption in Sydney during Monday morning commute ABC News. https://www.abc.net.au/news/2024-06-17/nsw-sydney-trains-harris-park-service-repair-delay-commute/103985636</w:t>
      </w:r>
    </w:p>
    <w:p>
      <w:pPr>
        <w:spacing w:after="80"/>
      </w:pPr>
      <w:r>
        <w:rPr>
          <w:rFonts w:ascii="Times New Roman" w:hAnsi="Times New Roman" w:eastAsia="Times New Roman" w:cs="Times New Roman"/>
          <w:sz w:val="24"/>
        </w:rPr>
        <w:t>Šemrov, D., Marsetič, R., Žura, M., Todorovski, L., &amp; Srdic, A. (2016). Reinforcement learning approach for train rescheduling on a single-track railway. Transportation Research Part B: Methodological, 86, 250-267.</w:t>
      </w:r>
    </w:p>
    <w:p>
      <w:pPr>
        <w:spacing w:after="80"/>
      </w:pPr>
      <w:r>
        <w:rPr>
          <w:rFonts w:ascii="Times New Roman" w:hAnsi="Times New Roman" w:eastAsia="Times New Roman" w:cs="Times New Roman"/>
          <w:sz w:val="24"/>
        </w:rPr>
        <w:t>Sutton, R. S., &amp; Barto, A. G. (2018). Reinforcement Learning, second edition: An Introduction. MIT Press. https://books.google.com.au/books?id=uWV0DwAAQBAJ</w:t>
      </w:r>
    </w:p>
    <w:p>
      <w:pPr>
        <w:spacing w:after="80"/>
      </w:pPr>
      <w:r>
        <w:rPr>
          <w:rFonts w:ascii="Times New Roman" w:hAnsi="Times New Roman" w:eastAsia="Times New Roman" w:cs="Times New Roman"/>
          <w:sz w:val="24"/>
        </w:rPr>
        <w:t>Sydney Trains. (2025). Sydney Trains Annual Report https://www.transport.nsw.gov.au/system/files/media/documents/2025/sydney-trains-annual-report-2024%E2%80%9325-volume-1.pdf</w:t>
      </w:r>
    </w:p>
    <w:p>
      <w:pPr>
        <w:spacing w:after="80"/>
      </w:pPr>
      <w:r>
        <w:rPr>
          <w:rFonts w:ascii="Times New Roman" w:hAnsi="Times New Roman" w:eastAsia="Times New Roman" w:cs="Times New Roman"/>
          <w:sz w:val="24"/>
        </w:rPr>
        <w:t>Zhu, Y., &amp; Goverde, R. M. (2019). Railway timetable rescheduling with flexible stopping and flexible short-turning during disruptions. Transportation Research Part B: Methodological, 123, 149-181.</w:t>
      </w:r>
    </w:p>
    <w:p>
      <w:pPr>
        <w:keepNext/>
        <w:pageBreakBefore/>
        <w:spacing w:before="360" w:after="160"/>
      </w:pPr>
      <w:r>
        <w:rPr>
          <w:rFonts w:ascii="Times New Roman" w:hAnsi="Times New Roman" w:eastAsia="Times New Roman" w:cs="Times New Roman"/>
          <w:b/>
          <w:sz w:val="48"/>
        </w:rPr>
        <w:t>Appendices</w:t>
      </w:r>
    </w:p>
    <w:p>
      <w:pPr>
        <w:keepNext/>
        <w:spacing w:before="240" w:after="160"/>
      </w:pPr>
      <w:r>
        <w:rPr>
          <w:rFonts w:ascii="Times New Roman" w:hAnsi="Times New Roman" w:eastAsia="Times New Roman" w:cs="Times New Roman"/>
          <w:b/>
          <w:sz w:val="36"/>
        </w:rPr>
        <w:t>A. Individual Contribution</w:t>
      </w:r>
    </w:p>
    <w:p>
      <w:pPr>
        <w:spacing w:after="80"/>
      </w:pPr>
      <w:r>
        <w:rPr>
          <w:rFonts w:ascii="Times New Roman" w:hAnsi="Times New Roman" w:eastAsia="Times New Roman" w:cs="Times New Roman"/>
          <w:sz w:val="24"/>
        </w:rPr>
        <w:t>Each group member should write half-page (max) about his or her contribution in the project development activities.</w:t>
      </w:r>
    </w:p>
    <w:p>
      <w:pPr>
        <w:keepNext/>
        <w:spacing w:before="240" w:after="160"/>
      </w:pPr>
      <w:r>
        <w:rPr>
          <w:rFonts w:ascii="Times New Roman" w:hAnsi="Times New Roman" w:eastAsia="Times New Roman" w:cs="Times New Roman"/>
          <w:b/>
          <w:sz w:val="36"/>
        </w:rPr>
        <w:t>B. Individual Contribution Split</w:t>
      </w:r>
    </w:p>
    <w:p>
      <w:pPr>
        <w:spacing w:after="80"/>
      </w:pPr>
      <w:r>
        <w:rPr>
          <w:rFonts w:ascii="Times New Roman" w:hAnsi="Times New Roman" w:eastAsia="Times New Roman" w:cs="Times New Roman"/>
          <w:sz w:val="24"/>
        </w:rPr>
        <w:t>All the team members have discussed and agreed on the above individual contribution to the project.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cantSplit/>
          <w:tblHeader/>
        </w:trPr>
        <w:tc>
          <w:tcPr>
            <w:tcW w:type="dxa" w:w="4513"/>
            <w:shd w:val="clear" w:color="auto" w:fill="EFEFEF"/>
          </w:tcPr>
          <w:p>
            <w:pPr>
              <w:spacing w:before="20" w:after="20"/>
            </w:pPr>
            <w:r/>
            <w:r>
              <w:rPr>
                <w:rFonts w:ascii="Times New Roman" w:hAnsi="Times New Roman" w:eastAsia="Times New Roman" w:cs="Times New Roman"/>
                <w:b/>
                <w:sz w:val="18"/>
              </w:rPr>
              <w:t>Team Member Name</w:t>
            </w:r>
          </w:p>
        </w:tc>
        <w:tc>
          <w:tcPr>
            <w:tcW w:type="dxa" w:w="4513"/>
            <w:shd w:val="clear" w:color="auto" w:fill="EFEFEF"/>
          </w:tcPr>
          <w:p>
            <w:pPr>
              <w:spacing w:before="20" w:after="20"/>
              <w:jc w:val="right"/>
            </w:pPr>
            <w:r/>
            <w:r>
              <w:rPr>
                <w:rFonts w:ascii="Times New Roman" w:hAnsi="Times New Roman" w:eastAsia="Times New Roman" w:cs="Times New Roman"/>
                <w:b/>
                <w:sz w:val="18"/>
              </w:rPr>
              <w:t>Percentage</w:t>
            </w:r>
          </w:p>
        </w:tc>
      </w:tr>
      <w:tr>
        <w:trPr>
          <w:cantSplit/>
        </w:trPr>
        <w:tc>
          <w:tcPr>
            <w:tcW w:type="dxa" w:w="4513"/>
          </w:tcPr>
          <w:p>
            <w:pPr>
              <w:spacing w:before="20" w:after="20"/>
            </w:pPr>
            <w:r/>
            <w:r>
              <w:rPr>
                <w:rFonts w:ascii="Times New Roman" w:hAnsi="Times New Roman" w:eastAsia="Times New Roman" w:cs="Times New Roman"/>
                <w:sz w:val="18"/>
              </w:rPr>
              <w:t>Daniel James Martirosov</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Ziheng Deng</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Laurean Lim</w:t>
            </w:r>
          </w:p>
        </w:tc>
        <w:tc>
          <w:tcPr>
            <w:tcW w:type="dxa" w:w="4513"/>
          </w:tcPr>
          <w:p>
            <w:pPr>
              <w:spacing w:before="20" w:after="20"/>
              <w:jc w:val="right"/>
            </w:pPr>
            <w:r/>
            <w:r>
              <w:rPr>
                <w:rFonts w:ascii="Times New Roman" w:hAnsi="Times New Roman" w:eastAsia="Times New Roman" w:cs="Times New Roman"/>
                <w:sz w:val="18"/>
              </w:rPr>
              <w:t>33.33%</w:t>
            </w:r>
          </w:p>
        </w:tc>
      </w:tr>
    </w:tbl>
    <w:p>
      <w:pPr>
        <w:spacing w:after="80"/>
      </w:pPr>
      <w:r>
        <w:rPr>
          <w:rFonts w:ascii="Times New Roman" w:hAnsi="Times New Roman" w:eastAsia="Times New Roman" w:cs="Times New Roman"/>
          <w:sz w:val="24"/>
        </w:rPr>
        <w:t>Daniel James Martirosov : ____________________</w:t>
      </w:r>
    </w:p>
    <w:p>
      <w:pPr>
        <w:spacing w:after="80"/>
      </w:pPr>
      <w:r>
        <w:rPr>
          <w:rFonts w:ascii="Times New Roman" w:hAnsi="Times New Roman" w:eastAsia="Times New Roman" w:cs="Times New Roman"/>
          <w:sz w:val="24"/>
        </w:rPr>
        <w:t>Ziheng Deng : ____________________</w:t>
      </w:r>
    </w:p>
    <w:p>
      <w:pPr>
        <w:spacing w:after="80"/>
      </w:pPr>
      <w:r>
        <w:rPr>
          <w:rFonts w:ascii="Times New Roman" w:hAnsi="Times New Roman" w:eastAsia="Times New Roman" w:cs="Times New Roman"/>
          <w:sz w:val="24"/>
        </w:rPr>
        <w:t>Laurean Lim : ____________________</w:t>
      </w:r>
    </w:p>
    <w:sectPr>
      <w:footerReference w:type="default" r:id="rId29"/>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