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r>
        <w:br w:type="page"/>
      </w:r>
    </w:p>
    <w:p>
      <w:pPr>
        <w:keepNext/>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15</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16</w:t>
      </w:r>
    </w:p>
    <w:p>
      <w:r>
        <w:br w:type="page"/>
      </w:r>
    </w:p>
    <w:p>
      <w:pPr>
        <w:keepNext/>
        <w:spacing w:before="360" w:after="160"/>
      </w:pPr>
      <w:r>
        <w:rPr>
          <w:rFonts w:ascii="Times New Roman" w:hAnsi="Times New Roman" w:eastAsia="Times New Roman" w:cs="Times New Roman"/>
          <w:b/>
          <w:sz w:val="48"/>
        </w:rPr>
        <w:t>Abstract</w:t>
      </w:r>
    </w:p>
    <w:p>
      <w:pPr>
        <w:spacing w:after="120"/>
      </w:pPr>
      <w:r>
        <w:rPr>
          <w:rFonts w:ascii="Times New Roman" w:hAnsi="Times New Roman" w:eastAsia="Times New Roman" w:cs="Times New Roman"/>
          <w:sz w:val="24"/>
        </w:rPr>
        <w:t>We ask whether a learned policy can beat a schedule-following controller when a track becomes unavailable. Two Flatland scenarios come from the October 2026 TfNSW GTFS feed: a four-track Central-Strathfield corridor with 52 movements and the Granville-Harris Park junction with 126. The corridor uses an exogenous blockage that removes a cell's rail transitions for 400 steps, so a policy cannot cancel the incident by rerouting. Only the warm-started PPO learns to change track: it lifts the metric from -0.0662 to -0.0005, a paired gain of +0.0657 on 30 held-out seeds (30 of 30, p &lt; 1e-4), and takes no crossing on a clean network. No crossing appears in A2C's rendered episode, and DQN parks half the fleet. The junction is still a loss against the scripted baseline (-0.2400 against -0.1823, two seeds).</w:t>
      </w:r>
    </w:p>
    <w:p>
      <w:r>
        <w:br w:type="page"/>
      </w:r>
    </w:p>
    <w:p>
      <w:pPr>
        <w:keepNext/>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12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12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12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12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12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12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12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12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spacing w:before="120" w:after="40"/>
        <w:jc w:val="center"/>
      </w:pPr>
      <w:r>
        <w:drawing>
          <wp:inline>
            <wp:extent cx="5437800" cy="2260175"/>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37800" cy="2260175"/>
                    </a:xfrm>
                    <a:prstGeom prst="rect"/>
                  </pic:spPr>
                </pic:pic>
              </a:graphicData>
            </a:graphic>
          </wp:inline>
        </w:drawing>
      </w:r>
    </w:p>
    <w:p>
      <w:pPr>
        <w:spacing w:before="40" w:after="200"/>
      </w:pPr>
      <w:r>
        <w:rPr>
          <w:rFonts w:ascii="Times New Roman" w:hAnsi="Times New Roman" w:eastAsia="Times New Roman" w:cs="Times New Roman"/>
          <w:i/>
          <w:sz w:val="20"/>
        </w:rPr>
        <w:t>Figure 1: Flatland implementation of the Central-Strathfield corridor (Scenario 1)</w:t>
      </w:r>
    </w:p>
    <w:p>
      <w:pPr>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r>
        <w:br w:type="page"/>
      </w:r>
    </w:p>
    <w:p>
      <w:pPr>
        <w:keepNext/>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12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two labelled junction rows of Table 5 as the one disclosed exception.</w:t>
      </w:r>
    </w:p>
    <w:p>
      <w:pPr>
        <w:spacing w:before="120" w:after="40"/>
        <w:jc w:val="center"/>
      </w:pPr>
      <w:r>
        <w:drawing>
          <wp:inline>
            <wp:extent cx="5437800" cy="5749094"/>
            <wp:docPr id="3" name="Picture 3"/>
            <wp:cNvGraphicFramePr>
              <a:graphicFrameLocks noChangeAspect="1"/>
            </wp:cNvGraphicFramePr>
            <a:graphic>
              <a:graphicData uri="http://schemas.openxmlformats.org/drawingml/2006/picture">
                <pic:pic>
                  <pic:nvPicPr>
                    <pic:cNvPr id="0" name="fig_workflow.png"/>
                    <pic:cNvPicPr/>
                  </pic:nvPicPr>
                  <pic:blipFill>
                    <a:blip r:embed="rId22"/>
                    <a:stretch>
                      <a:fillRect/>
                    </a:stretch>
                  </pic:blipFill>
                  <pic:spPr>
                    <a:xfrm>
                      <a:off x="0" y="0"/>
                      <a:ext cx="5437800" cy="5749094"/>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12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120"/>
      </w:pPr>
      <w:r>
        <w:rPr>
          <w:rFonts w:ascii="Times New Roman" w:hAnsi="Times New Roman" w:eastAsia="Times New Roman" w:cs="Times New Roman"/>
          <w:sz w:val="24"/>
        </w:rPr>
        <w:t>From a random initialisation none of the three algorithms finds the crossing,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12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means every episode figure comes from the same process the agent is trained in, produced headlessly with the PIL backend. Figures 1 and 2 are the two levels; Figures 4 and 5 show the same levels under their disruption regimes.</w:t>
      </w:r>
    </w:p>
    <w:p>
      <w:pPr>
        <w:spacing w:before="120" w:after="40"/>
        <w:jc w:val="center"/>
      </w:pPr>
      <w:r>
        <w:drawing>
          <wp:inline>
            <wp:extent cx="5724000" cy="2162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3"/>
                    <a:stretch>
                      <a:fillRect/>
                    </a:stretch>
                  </pic:blipFill>
                  <pic:spPr>
                    <a:xfrm>
                      <a:off x="0" y="0"/>
                      <a:ext cx="5724000" cy="216240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5437800" cy="2917844"/>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4"/>
                    <a:stretch>
                      <a:fillRect/>
                    </a:stretch>
                  </pic:blipFill>
                  <pic:spPr>
                    <a:xfrm>
                      <a:off x="0" y="0"/>
                      <a:ext cx="5437800" cy="2917844"/>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12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if it stays occupied for 60 steps. Both arms are given the same cells at the same seed-drawn steps, so the pairing is by seed and blockage plan.</w:t>
      </w:r>
    </w:p>
    <w:p>
      <w:r>
        <w:br w:type="page"/>
      </w:r>
    </w:p>
    <w:p>
      <w:pPr>
        <w:keepNext/>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12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12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recorded in the checkpoint); the notebook and figures also run on an aarch64 relay with the same pinned stack, where the sixteen tests pass.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12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spacing w:before="120" w:after="40"/>
        <w:jc w:val="center"/>
      </w:pPr>
      <w:r>
        <w:drawing>
          <wp:inline>
            <wp:extent cx="4006799" cy="2914036"/>
            <wp:docPr id="6" name="Picture 6"/>
            <wp:cNvGraphicFramePr>
              <a:graphicFrameLocks noChangeAspect="1"/>
            </wp:cNvGraphicFramePr>
            <a:graphic>
              <a:graphicData uri="http://schemas.openxmlformats.org/drawingml/2006/picture">
                <pic:pic>
                  <pic:nvPicPr>
                    <pic:cNvPr id="0" name="fig_delta.png"/>
                    <pic:cNvPicPr/>
                  </pic:nvPicPr>
                  <pic:blipFill>
                    <a:blip r:embed="rId25"/>
                    <a:stretch>
                      <a:fillRect/>
                    </a:stretch>
                  </pic:blipFill>
                  <pic:spPr>
                    <a:xfrm>
                      <a:off x="0" y="0"/>
                      <a:ext cx="4006799" cy="2914036"/>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12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5151600" cy="3759276"/>
            <wp:docPr id="7" name="Picture 7"/>
            <wp:cNvGraphicFramePr>
              <a:graphicFrameLocks noChangeAspect="1"/>
            </wp:cNvGraphicFramePr>
            <a:graphic>
              <a:graphicData uri="http://schemas.openxmlformats.org/drawingml/2006/picture">
                <pic:pic>
                  <pic:nvPicPr>
                    <pic:cNvPr id="0" name="fig_curve.png"/>
                    <pic:cNvPicPr/>
                  </pic:nvPicPr>
                  <pic:blipFill>
                    <a:blip r:embed="rId26"/>
                    <a:stretch>
                      <a:fillRect/>
                    </a:stretch>
                  </pic:blipFill>
                  <pic:spPr>
                    <a:xfrm>
                      <a:off x="0" y="0"/>
                      <a:ext cx="5151600" cy="3759276"/>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12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293000" cy="2220517"/>
            <wp:docPr id="8" name="Picture 8"/>
            <wp:cNvGraphicFramePr>
              <a:graphicFrameLocks noChangeAspect="1"/>
            </wp:cNvGraphicFramePr>
            <a:graphic>
              <a:graphicData uri="http://schemas.openxmlformats.org/drawingml/2006/picture">
                <pic:pic>
                  <pic:nvPicPr>
                    <pic:cNvPr id="0" name="fig_audit.png"/>
                    <pic:cNvPicPr/>
                  </pic:nvPicPr>
                  <pic:blipFill>
                    <a:blip r:embed="rId27"/>
                    <a:stretch>
                      <a:fillRect/>
                    </a:stretch>
                  </pic:blipFill>
                  <pic:spPr>
                    <a:xfrm>
                      <a:off x="0" y="0"/>
                      <a:ext cx="4293000" cy="2220517"/>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12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blanket alternative looks like.</w:t>
      </w:r>
    </w:p>
    <w:p>
      <w:pPr>
        <w:spacing w:after="12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12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12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and the warm start inherits the teacher's own score of -0.0005.</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r>
        <w:br w:type="page"/>
      </w:r>
    </w:p>
    <w:p>
      <w:pPr>
        <w:keepNext/>
        <w:spacing w:before="360" w:after="160"/>
      </w:pPr>
      <w:r>
        <w:rPr>
          <w:rFonts w:ascii="Times New Roman" w:hAnsi="Times New Roman" w:eastAsia="Times New Roman" w:cs="Times New Roman"/>
          <w:b/>
          <w:sz w:val="48"/>
        </w:rPr>
        <w:t>4. Discussion and Conclusions</w:t>
      </w:r>
    </w:p>
    <w:p>
      <w:pPr>
        <w:spacing w:after="120"/>
      </w:pPr>
      <w:r>
        <w:rPr>
          <w:rFonts w:ascii="Times New Roman" w:hAnsi="Times New Roman" w:eastAsia="Times New Roman" w:cs="Times New Roman"/>
          <w:sz w:val="24"/>
        </w:rPr>
        <w:t>A local policy can learn to reroute, but only if the evaluation makes the decision real, and only with a recipe that can find a sparse action. On a four-track corridor cut by 400-step exogenous blockages, PPO changes track at the commit crossover just before the blockage: it moves the score from the forward-only baseline's -0.0662 to -0.0005 over 30 held-out seeds, winning every seed without losing a train. The recipe is load-bearing, not incidental: a behaviour-cloned detour teacher supplies the warm start, the critic is warmed up before the policy is unfrozen, and from a random initialisation neither control algorithm finds the crossing in its rendered episode. The same checkpoint does nothing when nothing is blocked, and the decision audit over seeds 3000 and 3001 shows that its crossings follow the blockage rather than the map.</w:t>
      </w:r>
    </w:p>
    <w:p>
      <w:pPr>
        <w:spacing w:after="120"/>
      </w:pPr>
      <w:r>
        <w:rPr>
          <w:rFonts w:ascii="Times New Roman" w:hAnsi="Times New Roman" w:eastAsia="Times New Roman" w:cs="Times New Roman"/>
          <w:sz w:val="24"/>
        </w:rPr>
        <w:t>One bound keeps that claim honest: the learned arm reproduces its teacher rather than beating it. The hand-written detour rule it is cloned from scores -0.0005 (results/all_arms.md), the same figure as the arm, so what the policy adds is a per-train decision procedure at the same cost, not a better schedule. Beating the rule would need a different action space, not a better policy over this one.</w:t>
      </w:r>
    </w:p>
    <w:p>
      <w:pPr>
        <w:spacing w:after="120"/>
      </w:pPr>
      <w:r>
        <w:rPr>
          <w:rFonts w:ascii="Times New Roman" w:hAnsi="Times New Roman" w:eastAsia="Times New Roman" w:cs="Times New Roman"/>
          <w:sz w:val="24"/>
        </w:rPr>
        <w:t>The result also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gives both arms the same seed-drawn plan, and turns the delayed comparison into a genuine decision. The controls bound how far that goes: the checkpoint is inert on an unblocked network (0.0000, and no turn in 546 visits), but with the blockage suppressed and the Poisson malfunction layer left on it is indistinguishable from the baseline (-0.0133 against -0.0165, 3 of 3 seeds but p = 0.25). The gain therefore belongs to a long exogenous hold, not to disruption in general.</w:t>
      </w:r>
    </w:p>
    <w:p>
      <w:pPr>
        <w:spacing w:after="120"/>
      </w:pPr>
      <w:r>
        <w:rPr>
          <w:rFonts w:ascii="Times New Roman" w:hAnsi="Times New Roman" w:eastAsia="Times New Roman" w:cs="Times New Roman"/>
          <w:sz w:val="24"/>
        </w:rPr>
        <w:t>The junction is where the metric, not the learner, is the story. Parking wins on the metric because a cancellation is charged about 19 cost units while a dispatch into the jam pays its full delay, so three 30-seed arms score about +0.15 better than the route follower while completing 0 to 18 per cent of the trains. Selecting the checkpoint by completion reverses the failure without fixing it: the current arm sends every dispatched train into the throat, completes 59 of 126 and scores -0.2400 against a two-seed baseline of -0.1823. That row also comes from a later observation version than the three above it, so it is read on its own rather than as a like-for-like comparison. Read together, the two rows say the same thing from opposite sides - the metric ranks cancelling a service above delaying it, and no local policy can arbitrate 126 trains through one throat.</w:t>
      </w:r>
    </w:p>
    <w:p>
      <w:pPr>
        <w:spacing w:after="120"/>
      </w:pPr>
      <w:r>
        <w:rPr>
          <w:rFonts w:ascii="Times New Roman" w:hAnsi="Times New Roman" w:eastAsia="Times New Roman" w:cs="Times New Roman"/>
          <w:sz w:val="24"/>
        </w:rPr>
        <w:t>What this establishes is narrow and checkable: on a corridor with two switchable pairs of tracks, a warm-started PPO learns to take the commit crossover when the track ahead is blocked, and never takes one when the track is clear. Necessity is what the audit proves (0 turns in 202 open-track visits inside the blocked episodes); sufficiency is only approximate, since 81 of 101 blocked visits turned and (5,59) turned on 20 of 40. It does not establish that per-agent RL arbitrates a junction, and three limits bound the evidence: one training seed per arm, held-out seeds that vary blockage placement only, and a sign test on the per-seed deltas with no confidence interval. The extensions follow from those limits - the same 30-seed paired run for A2C and DQN, a global view for the junction (a graph or attention observation, or imitation of the route follower), and a comparison against the stronger scripted distance-map baseline. A deployed version would finally have to make the decision observable: the policy acts on a 1032-d local observation, but a signaller needs to know which crossover it intends to use before it uses it.</w:t>
      </w:r>
    </w:p>
    <w:sectPr>
      <w:footerReference w:type="default" r:id="rId28"/>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