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never learns the crossing (best checkpoint -0.0563)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stays near the baseline without learning the crossing,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 with the two labelled junction rows of Table 5 as the one disclosed exception.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(about 1.4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the corridor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for the reported pairs. Rendered frames are drawn with make_env while evaluation uses make_parallel_env, so a rendered score is indicative and every reported paired number comes from eval_pair; the internal scores in Table 3 come from the training scripts' own evaluator, and the Table 4 counts from crossing_audit.py.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several hundred cost units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episode figure in this report comes from the same process the agent is trained in, produced headlessly with the PIL backend so the frames are reproducible; Figures 2 and 3 are plates of the two levels rendered the same way. It shows the rail grid with its switches and crossovers, one coloured marker per train, and a red X on every cell that may not be entered: an exogenous blockage on the corridor, a train standing in malfunction on the junction. Figure 2 shows the corridor level and Figure 3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in our own testing a rerouting checkpoint fired none of the incidents it was given and scored exactly as it did with no disruption, which is recorded in results/all_arms.md as a log observation because that checkpoint is not shipped.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if the cell stays occupied for 60 steps the incident is dropped rather than fired.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40 per cent of the 999-step budget and half of the 796-step episode the corridor actually runs,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about 148 s (nine of eleven between 143 and 155 s, the remaining two 118 s and 181 s), so the evaluator rather than the optimiser sets the wall clock. We could not run this PettingZoo stack under SubprocVecEnv at all (it hung at reset every time we tried), so every timing here is single-process. The shipped corridor run was trained on an x86_64 workstation with an RTX 3080 (system_info recorded in runs/xb_b/best_model.zip: Linux 7.2.10, Python 3.11.17, torch 2.14.1+cu130, SB3 2.9.0). The same stack is CPU-only, so it also ran on the aarch64 Oracle relay (2 vCPU, 11 GB) used for development in this project; the sixteen tests pass (results/test_run.txt).</w:t>
      </w:r>
    </w:p>
    <w:p>
      <w:pPr>
        <w:pStyle w:val="Heading1"/>
      </w:pPr>
      <w:r>
        <w:t>3  Results and evaluation</w:t>
      </w:r>
    </w:p>
    <w:p>
      <w:pPr>
        <w:spacing w:after="120"/>
      </w:pPr>
      <w:r>
        <w:t>This section reports the disrupted condition – the block regime on the corridor, train-borne failures on the junction –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p>
      <w:pPr>
        <w:spacing w:after="120"/>
      </w:pPr>
      <w:r>
        <w:t>Table 1 lists the settings the two scenarios share and where they differ.</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 (legacy rows); 3001, 3002 (current)</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The corridor arm is evaluated with deterministic actions on seeds 3000 to 3029; A2C and DQN are reported from their selection seeds only, as Section 3.6 says.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disrupted condition cannot collapse into the undisrupted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 1.000</w:t>
            </w:r>
          </w:p>
        </w:tc>
        <w:tc>
          <w:tcPr>
            <w:tcW w:type="dxa" w:w="1701"/>
          </w:tcPr>
          <w:p>
            <w:pPr>
              <w:spacing w:before="20" w:after="20"/>
            </w:pPr>
            <w:r/>
            <w:r>
              <w:rPr>
                <w:sz w:val="18"/>
              </w:rPr>
              <w:t>3321 →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the gain is in how late the affected trains are, not in which trains complete.</w:t>
      </w:r>
    </w:p>
    <w:p>
      <w:pPr>
        <w:spacing w:after="120"/>
      </w:pPr>
      <w:r>
        <w:t>Figure 6 shows the 30 per-seed differences behind that mean: every one is positive, and the spread is small enough that one seed could not carry the result.</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Poisson malfunction layer left on, the arm is indistinguishable from the baseline: it scores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F3864"/>
          </w:tcPr>
          <w:p>
            <w:pPr>
              <w:spacing w:before="20" w:after="20"/>
            </w:pPr>
            <w:r/>
            <w:r>
              <w:rPr>
                <w:b/>
                <w:color w:val="FFFFFF"/>
                <w:sz w:val="18"/>
              </w:rPr>
              <w:t>Arm</w:t>
            </w:r>
          </w:p>
        </w:tc>
        <w:tc>
          <w:tcPr>
            <w:tcW w:type="dxa" w:w="1587"/>
            <w:shd w:val="clear" w:color="auto" w:fill="1F3864"/>
          </w:tcPr>
          <w:p>
            <w:pPr>
              <w:spacing w:before="20" w:after="20"/>
            </w:pPr>
            <w:r/>
            <w:r>
              <w:rPr>
                <w:b/>
                <w:color w:val="FFFFFF"/>
                <w:sz w:val="18"/>
              </w:rPr>
              <w:t>Best checkpoint</w:t>
            </w:r>
          </w:p>
        </w:tc>
        <w:tc>
          <w:tcPr>
            <w:tcW w:type="dxa" w:w="1474"/>
            <w:shd w:val="clear" w:color="auto" w:fill="1F3864"/>
          </w:tcPr>
          <w:p>
            <w:pPr>
              <w:spacing w:before="20" w:after="20"/>
            </w:pPr>
            <w:r/>
            <w:r>
              <w:rPr>
                <w:b/>
                <w:color w:val="FFFFFF"/>
                <w:sz w:val="18"/>
              </w:rPr>
              <w:t>Internal score</w:t>
            </w:r>
          </w:p>
        </w:tc>
        <w:tc>
          <w:tcPr>
            <w:tcW w:type="dxa" w:w="1247"/>
            <w:shd w:val="clear" w:color="auto" w:fill="1F3864"/>
          </w:tcPr>
          <w:p>
            <w:pPr>
              <w:spacing w:before="20" w:after="20"/>
            </w:pPr>
            <w:r/>
            <w:r>
              <w:rPr>
                <w:b/>
                <w:color w:val="FFFFFF"/>
                <w:sz w:val="18"/>
              </w:rPr>
              <w:t>Completion</w:t>
            </w:r>
          </w:p>
        </w:tc>
        <w:tc>
          <w:tcPr>
            <w:tcW w:type="dxa" w:w="3402"/>
            <w:shd w:val="clear" w:color="auto" w:fill="1F3864"/>
          </w:tcPr>
          <w:p>
            <w:pPr>
              <w:spacing w:before="20" w:after="20"/>
            </w:pPr>
            <w:r/>
            <w:r>
              <w:rPr>
                <w:b/>
                <w:color w:val="FFFFFF"/>
                <w:sz w:val="18"/>
              </w:rPr>
              <w:t>Behaviour in Figure 4</w:t>
            </w:r>
          </w:p>
        </w:tc>
      </w:tr>
      <w:tr>
        <w:trPr>
          <w:cantSplit/>
        </w:trPr>
        <w:tc>
          <w:tcPr>
            <w:tcW w:type="dxa" w:w="1928"/>
          </w:tcPr>
          <w:p>
            <w:pPr>
              <w:spacing w:before="20" w:after="20"/>
            </w:pPr>
            <w:r/>
            <w:r>
              <w:rPr>
                <w:sz w:val="18"/>
              </w:rPr>
              <w:t>PPO (warm start)</w:t>
            </w:r>
          </w:p>
        </w:tc>
        <w:tc>
          <w:tcPr>
            <w:tcW w:type="dxa" w:w="1587"/>
          </w:tcPr>
          <w:p>
            <w:pPr>
              <w:spacing w:before="20" w:after="20"/>
            </w:pPr>
            <w:r/>
            <w:r>
              <w:rPr>
                <w:sz w:val="18"/>
              </w:rPr>
              <w:t>745k</w:t>
            </w:r>
          </w:p>
        </w:tc>
        <w:tc>
          <w:tcPr>
            <w:tcW w:type="dxa" w:w="1474"/>
          </w:tcPr>
          <w:p>
            <w:pPr>
              <w:spacing w:before="20" w:after="20"/>
            </w:pPr>
            <w:r/>
            <w:r>
              <w:rPr>
                <w:sz w:val="18"/>
              </w:rPr>
              <w:t>-0.0005</w:t>
            </w:r>
          </w:p>
        </w:tc>
        <w:tc>
          <w:tcPr>
            <w:tcW w:type="dxa" w:w="1247"/>
          </w:tcPr>
          <w:p>
            <w:pPr>
              <w:spacing w:before="20" w:after="20"/>
            </w:pPr>
            <w:r/>
            <w:r>
              <w:rPr>
                <w:sz w:val="18"/>
              </w:rPr>
              <w:t>1.000</w:t>
            </w:r>
          </w:p>
        </w:tc>
        <w:tc>
          <w:tcPr>
            <w:tcW w:type="dxa" w:w="3402"/>
          </w:tcPr>
          <w:p>
            <w:pPr>
              <w:spacing w:before="20" w:after="20"/>
            </w:pPr>
            <w:r/>
            <w:r>
              <w:rPr>
                <w:sz w:val="18"/>
              </w:rPr>
              <w:t>crosses only when blocked</w:t>
            </w:r>
          </w:p>
        </w:tc>
      </w:tr>
      <w:tr>
        <w:trPr>
          <w:cantSplit/>
        </w:trPr>
        <w:tc>
          <w:tcPr>
            <w:tcW w:type="dxa" w:w="1928"/>
            <w:shd w:val="clear" w:color="auto" w:fill="F2F5FA"/>
          </w:tcPr>
          <w:p>
            <w:pPr>
              <w:spacing w:before="20" w:after="20"/>
            </w:pPr>
            <w:r/>
            <w:r>
              <w:rPr>
                <w:sz w:val="18"/>
              </w:rPr>
              <w:t>A2C</w:t>
            </w:r>
          </w:p>
        </w:tc>
        <w:tc>
          <w:tcPr>
            <w:tcW w:type="dxa" w:w="1587"/>
            <w:shd w:val="clear" w:color="auto" w:fill="F2F5FA"/>
          </w:tcPr>
          <w:p>
            <w:pPr>
              <w:spacing w:before="20" w:after="20"/>
            </w:pPr>
            <w:r/>
            <w:r>
              <w:rPr>
                <w:sz w:val="18"/>
              </w:rPr>
              <w:t>400k</w:t>
            </w:r>
          </w:p>
        </w:tc>
        <w:tc>
          <w:tcPr>
            <w:tcW w:type="dxa" w:w="1474"/>
            <w:shd w:val="clear" w:color="auto" w:fill="F2F5FA"/>
          </w:tcPr>
          <w:p>
            <w:pPr>
              <w:spacing w:before="20" w:after="20"/>
            </w:pPr>
            <w:r/>
            <w:r>
              <w:rPr>
                <w:sz w:val="18"/>
              </w:rPr>
              <w:t>-0.0563</w:t>
            </w:r>
          </w:p>
        </w:tc>
        <w:tc>
          <w:tcPr>
            <w:tcW w:type="dxa" w:w="1247"/>
            <w:shd w:val="clear" w:color="auto" w:fill="F2F5FA"/>
          </w:tcPr>
          <w:p>
            <w:pPr>
              <w:spacing w:before="20" w:after="20"/>
            </w:pPr>
            <w:r/>
            <w:r>
              <w:rPr>
                <w:sz w:val="18"/>
              </w:rPr>
              <w:t>1.000</w:t>
            </w:r>
          </w:p>
        </w:tc>
        <w:tc>
          <w:tcPr>
            <w:tcW w:type="dxa" w:w="3402"/>
            <w:shd w:val="clear" w:color="auto" w:fill="F2F5FA"/>
          </w:tcPr>
          <w:p>
            <w:pPr>
              <w:spacing w:before="20" w:after="20"/>
            </w:pPr>
            <w:r/>
            <w:r>
              <w:rPr>
                <w:sz w:val="18"/>
              </w:rPr>
              <w:t>no crossing in the panel</w:t>
            </w:r>
          </w:p>
        </w:tc>
      </w:tr>
      <w:tr>
        <w:trPr>
          <w:cantSplit/>
        </w:trPr>
        <w:tc>
          <w:tcPr>
            <w:tcW w:type="dxa" w:w="1928"/>
          </w:tcPr>
          <w:p>
            <w:pPr>
              <w:spacing w:before="20" w:after="20"/>
            </w:pPr>
            <w:r/>
            <w:r>
              <w:rPr>
                <w:sz w:val="18"/>
              </w:rPr>
              <w:t>DQN (gamma 0.999)</w:t>
            </w:r>
          </w:p>
        </w:tc>
        <w:tc>
          <w:tcPr>
            <w:tcW w:type="dxa" w:w="1587"/>
          </w:tcPr>
          <w:p>
            <w:pPr>
              <w:spacing w:before="20" w:after="20"/>
            </w:pPr>
            <w:r/>
            <w:r>
              <w:rPr>
                <w:sz w:val="18"/>
              </w:rPr>
              <w:t>400k</w:t>
            </w:r>
          </w:p>
        </w:tc>
        <w:tc>
          <w:tcPr>
            <w:tcW w:type="dxa" w:w="1474"/>
          </w:tcPr>
          <w:p>
            <w:pPr>
              <w:spacing w:before="20" w:after="20"/>
            </w:pPr>
            <w:r/>
            <w:r>
              <w:rPr>
                <w:sz w:val="18"/>
              </w:rPr>
              <w:t>-0.3234</w:t>
            </w:r>
          </w:p>
        </w:tc>
        <w:tc>
          <w:tcPr>
            <w:tcW w:type="dxa" w:w="1247"/>
          </w:tcPr>
          <w:p>
            <w:pPr>
              <w:spacing w:before="20" w:after="20"/>
            </w:pPr>
            <w:r/>
            <w:r>
              <w:rPr>
                <w:sz w:val="18"/>
              </w:rPr>
              <w:t>0.529</w:t>
            </w:r>
          </w:p>
        </w:tc>
        <w:tc>
          <w:tcPr>
            <w:tcW w:type="dxa" w:w="3402"/>
          </w:tcPr>
          <w:p>
            <w:pPr>
              <w:spacing w:before="20" w:after="20"/>
            </w:pPr>
            <w:r/>
            <w:r>
              <w:rPr>
                <w:sz w:val="18"/>
              </w:rPr>
              <w:t>parks half the fleet</w:t>
            </w:r>
          </w:p>
        </w:tc>
      </w:tr>
    </w:tbl>
    <w:p>
      <w:pPr>
        <w:spacing w:before="60" w:after="240"/>
      </w:pPr>
      <w:r>
        <w:rPr>
          <w:i/>
          <w:color w:val="404040"/>
          <w:sz w:val="18"/>
        </w:rPr>
        <w:t>Table 3: Corridor training outcome per arm. Score and completion are the selection-seed numbers (9001 to 9004 for PPO, 9001 and 9002 for A2C and DQN), not the 30-seed paired numbers in Table 2. The behaviour column is a reading of the panels in Figure 4, which are rendered with make_env rather than the evaluator’s make_parallel_env; the panel labels are the renderer’s own episode scores and are quoted only there, not in this table.</w:t>
      </w:r>
    </w:p>
    <w:p>
      <w:pPr>
        <w:spacing w:after="120"/>
      </w:pPr>
      <w:r>
        <w:t>The other two algorithms are the control for the claim that learning the crossing is not automatic; Figure 5 traces all three arms over the training budget. A2C oscillates between a near-baseline score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 and the turn rate per crossover is plotted in Figure 7.</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four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The 30-seed rows are seed-invariant in the same way – one distinct arm score across 30 different baselines – so their 30 of 30 means one parked or jammed behaviour beating 30 baselines, not 30 independent trials. Those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Figure 8 sets the two behaviours side by side at step 156.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ListBullet"/>
        <w:spacing w:after="60"/>
      </w:pPr>
      <w:r>
        <w:t>The 30 held-out seeds vary the blockage placement only: fleet, timetable and deterministic actions are fixed, and a single training seed per arm was run. The mean delta is reported with a sign test but without a confidence interval, and no corridor arm is compared against the stronger scripted distance-map baseline.</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comparison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numbers are copied by hand from the shipped CSVs and figures</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corridor results</w:t>
      </w:r>
    </w:p>
    <w:p>
      <w:pPr>
        <w:spacing w:after="120"/>
      </w:pPr>
      <w:r>
        <w:t>All commands run from the repository root. Steps 1 and 2 rebuild the corridor checkpoint; the evaluation and audit steps then use it. runs/ is not tracked, so on a fresh clone either run steps 1 and 2 first or point --model at your own checkpoint.</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scripts/eval_pair.py --scenario network-simple-compact --conditions normal --baseline forward --priority --observation-radius 50 --model runs/xb_b/best_model.zip --seeds 3000,3001,3002 --out results/clean_normal.csv</w:t>
      </w:r>
    </w:p>
    <w:p>
      <w:pPr>
        <w:spacing w:after="80"/>
        <w:ind w:left="227"/>
      </w:pPr>
      <w:r>
        <w:rPr>
          <w:rFonts w:ascii="Consolas" w:hAnsi="Consolas"/>
          <w:sz w:val="17"/>
        </w:rPr>
        <w:t>python scripts/crossing_audit.py decisions --variant none --model runs/xb_b/best_model.zip --seeds 3000,3001,3002 --out results/clean_audit.csv</w:t>
      </w:r>
    </w:p>
    <w:p>
      <w:pPr>
        <w:spacing w:after="80"/>
        <w:ind w:left="227"/>
      </w:pPr>
      <w:r>
        <w:rPr>
          <w:rFonts w:ascii="Consolas" w:hAnsi="Consolas"/>
          <w:sz w:val="17"/>
        </w:rPr>
        <w:t>python scripts/eval_pair.py --scenario network-simple-compact --conditions delayed --baseline forward --priority --observation-radius 50 --model runs/xb_b/best_model.zip --seeds 3000,3001,3002 --out results/clean_delayed_none.csv</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reported training run and the clean-control evaluations ran on an x86_64 workstation with an RTX 3080 (system_info in runs/xb_b/best_model.zip, and the RTX box named in requirements.txt); the notebook, the figures and this report also run on an aarch64 Oracle relay (2 vCPU, 11 GB) with the same pinned stack; the sixteen tests pass (results/test_run.txt).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 Schedule Optimisation under Disruptions: learning to change track when a corridor is blocked</dc:title>
  <dc:subject>43008 Reinforcement Learning, Assessment 3 (Part E)</dc:subject>
  <dc:creator>Daniel James Martirosov, Laurean Lim, Ziheng Deng (Team RailTech, Project 27)</dc:creator>
  <cp:keywords/>
  <dc:description>Generated by scripts/build_report.py from the shipped results</dc:description>
  <cp:lastModifiedBy>Team RailTech</cp:lastModifiedBy>
  <cp:revision>1</cp:revision>
  <dcterms:created xsi:type="dcterms:W3CDTF">2026-10-25T09:00:00Z</dcterms:created>
  <dcterms:modified xsi:type="dcterms:W3CDTF">2026-10-25T09:00:00Z</dcterms:modified>
  <cp:category/>
</cp:coreProperties>
</file>