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nosso Projeto final, EM-ISERJ ou Ensino Médio-ISERJ, tem como objetivo criar um Boletim Online para o ISERJ, com um sistema de login baseado em conta e seu tipo; cada conta possui id, nome, e-mail, senha, gênero, tipo da conta e se está ativa ou não.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tipos de contas são: aluno, considerando que cada aluno tem os seguintes dados: id, id Conta, código de aluno, matrícula, e-mail pessoal, nome do primeiro responsável legal, nome do segundo responsável legal, telefone celular do primeiro responsável, telefone celular do segundo responsável, e-mail do primeiro responsável, e-mail do segundo responsável, data da matrícula, data da saída, data do nascimento, nacionalidade, naturalidade, CEP, logradouro, bairro, cidade, estado, telefone residencial, telefone celular, RG, CPF, deficiências, benefícios sociais e observações; professor, considerando que cada professor tem os seguintes dados: id, id Conta e código do professor;  gestor interno, considerando que cada gestor interno tem os seguintes dados: id, id Conta e classe de permissões, esta classe determina se o gestor poderá acessar a ficha do aluno, que contêm todas as informações referentes a ele, gestar as informações do aluno, acessar o login do aluno, gestar o login do aluno, acessar o boletim do aluno, gestar o boletim do aluno, enturmar o aluno, acessar a ficha do professor, gestar as informações do professor, acessar o login do professor, gestar o login do professor, acessar a ficha da turma,  acessar a ficha da turma, gestar as informações da turma ou criar o horário.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Cada turma  possui id, número da turma, ano, série, turno, curso e é identificada por ano e número da turma; ela, portanto, existe sem a dependência da existência de aluno. Um aluno só pode estar em uma turma e deve ter um número de chamada, e uma turma pode conter um número infinito de alunos, deixando a organização a cargo do usuário. Cada aluno possui uma nota, em uma turma, em uma disciplina, em uma etapa e lançada por um professor; assim como a falta, com adição da data da falta e se estava ou não presente. A união das notas de todas as etapas gerará o boletim final, assim como para as etapas específicas.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grade horária, onde há a enturmação do professor, é composta de id, id Turma, id disciplina, que é criada previamente com um id e nome, tempo, sendo este de 1 a 12 e 2 intervalos, id Professor e sala. Um professor só pode dar aula nas matérias que foram designadas previamente para ele.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 professor só poderá lançar notas até um dia antes do COC ( Conselho de Classe) da etapa, cabendo recurso junto à secretaria para a alteração de uma nota de uma etapa com o COC realizado.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Um aluno que tenha tirado uma nota abaixo da média em uma etapa e, posteriormente, tirado uma acima da média na etapa seguinte, realiza-se a média ponderada entre as duas notas e o resultado substituirá a nota abaixo da média.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Qualquer alteração nos dados da ficha do aluno deve-se abrir um protocolo junto à secretaria para a alteração.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Alunos: 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Eduardo Cury de Araújo Coelho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Gabriel Diniz Viera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Gian Pedro Maule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Guilherme Araujo Couto Ramalho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José Antonio de Oliveira Neto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Matheus Medeiros do Nascimento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Miguel Pessoa da Silva Corrêa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