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44"/>
        </w:rPr>
        <w:t>BRAINSTORMING</w:t>
      </w:r>
    </w:p>
    <w:p>
      <w:r>
        <w:rPr>
          <w:color w:val="595959"/>
          <w:sz w:val="24"/>
        </w:rPr>
        <w:t>Azure-Datenplattform – automatisierte Datenverarbeitung mit Pipelines · Anwendungsfall Bee Haven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88"/>
        <w:gridCol w:w="7123"/>
      </w:tblGrid>
      <w:tr>
        <w:trPr>
          <w:tblHeader/>
        </w:trPr>
        <w:tc>
          <w:tcPr>
            <w:tcW w:type="dxa" w:w="2288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Feld</w:t>
            </w:r>
          </w:p>
        </w:tc>
        <w:tc>
          <w:tcPr>
            <w:tcW w:type="dxa" w:w="7123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Inhalt</w:t>
            </w:r>
          </w:p>
        </w:tc>
      </w:tr>
      <w:tr>
        <w:trPr/>
        <w:tc>
          <w:tcPr>
            <w:tcW w:type="dxa" w:w="2288"/>
          </w:tcPr>
          <w:p>
            <w:pPr>
              <w:spacing w:after="0"/>
            </w:pPr>
            <w:r>
              <w:rPr>
                <w:sz w:val="19"/>
              </w:rPr>
              <w:t>Dokument</w:t>
            </w:r>
          </w:p>
        </w:tc>
        <w:tc>
          <w:tcPr>
            <w:tcW w:type="dxa" w:w="7123"/>
          </w:tcPr>
          <w:p>
            <w:pPr>
              <w:spacing w:after="0"/>
            </w:pPr>
            <w:r>
              <w:rPr>
                <w:sz w:val="19"/>
              </w:rPr>
              <w:t>BS-ITS-002 · Brainstorming</w:t>
            </w:r>
          </w:p>
        </w:tc>
      </w:tr>
      <w:tr>
        <w:trPr/>
        <w:tc>
          <w:tcPr>
            <w:tcW w:type="dxa" w:w="2288"/>
          </w:tcPr>
          <w:p>
            <w:pPr>
              <w:spacing w:after="0"/>
            </w:pPr>
            <w:r>
              <w:rPr>
                <w:sz w:val="19"/>
              </w:rPr>
              <w:t>Projekt</w:t>
            </w:r>
          </w:p>
        </w:tc>
        <w:tc>
          <w:tcPr>
            <w:tcW w:type="dxa" w:w="7123"/>
          </w:tcPr>
          <w:p>
            <w:pPr>
              <w:spacing w:after="0"/>
            </w:pPr>
            <w:r>
              <w:rPr>
                <w:sz w:val="19"/>
              </w:rPr>
              <w:t>Azure-Datenplattform – automatisierte Datenverarbeitung mit Pipelines</w:t>
            </w:r>
          </w:p>
        </w:tc>
      </w:tr>
      <w:tr>
        <w:trPr/>
        <w:tc>
          <w:tcPr>
            <w:tcW w:type="dxa" w:w="2288"/>
          </w:tcPr>
          <w:p>
            <w:pPr>
              <w:spacing w:after="0"/>
            </w:pPr>
            <w:r>
              <w:rPr>
                <w:sz w:val="19"/>
              </w:rPr>
              <w:t>Anwendungsfall</w:t>
            </w:r>
          </w:p>
        </w:tc>
        <w:tc>
          <w:tcPr>
            <w:tcW w:type="dxa" w:w="7123"/>
          </w:tcPr>
          <w:p>
            <w:pPr>
              <w:spacing w:after="0"/>
            </w:pPr>
            <w:r>
              <w:rPr>
                <w:sz w:val="19"/>
              </w:rPr>
              <w:t>Sensordaten von Bienenstöcken (Bee Haven, Standorte Schwartau und Würzburg, 2017–2019)</w:t>
            </w:r>
          </w:p>
        </w:tc>
      </w:tr>
      <w:tr>
        <w:trPr/>
        <w:tc>
          <w:tcPr>
            <w:tcW w:type="dxa" w:w="2288"/>
          </w:tcPr>
          <w:p>
            <w:pPr>
              <w:spacing w:after="0"/>
            </w:pPr>
            <w:r>
              <w:rPr>
                <w:sz w:val="19"/>
              </w:rPr>
              <w:t>Projektträger</w:t>
            </w:r>
          </w:p>
        </w:tc>
        <w:tc>
          <w:tcPr>
            <w:tcW w:type="dxa" w:w="7123"/>
          </w:tcPr>
          <w:p>
            <w:pPr>
              <w:spacing w:after="0"/>
            </w:pPr>
            <w:r>
              <w:rPr>
                <w:sz w:val="19"/>
              </w:rPr>
              <w:t>WBS Coding School – Data Science &amp; AI, Kapitel 9 Cloud Computing Azure (DP-900)</w:t>
            </w:r>
          </w:p>
        </w:tc>
      </w:tr>
      <w:tr>
        <w:trPr/>
        <w:tc>
          <w:tcPr>
            <w:tcW w:type="dxa" w:w="2288"/>
          </w:tcPr>
          <w:p>
            <w:pPr>
              <w:spacing w:after="0"/>
            </w:pPr>
            <w:r>
              <w:rPr>
                <w:sz w:val="19"/>
              </w:rPr>
              <w:t>Rolle</w:t>
            </w:r>
          </w:p>
        </w:tc>
        <w:tc>
          <w:tcPr>
            <w:tcW w:type="dxa" w:w="7123"/>
          </w:tcPr>
          <w:p>
            <w:pPr>
              <w:spacing w:after="0"/>
            </w:pPr>
            <w:r>
              <w:rPr>
                <w:sz w:val="19"/>
              </w:rPr>
              <w:t>Projektleitung (Data Specialist in Personalunion: Analyse, Engineering, Konzept)</w:t>
            </w:r>
          </w:p>
        </w:tc>
      </w:tr>
      <w:tr>
        <w:trPr/>
        <w:tc>
          <w:tcPr>
            <w:tcW w:type="dxa" w:w="2288"/>
          </w:tcPr>
          <w:p>
            <w:pPr>
              <w:spacing w:after="0"/>
            </w:pPr>
            <w:r>
              <w:rPr>
                <w:sz w:val="19"/>
              </w:rPr>
              <w:t>Zeitraum</w:t>
            </w:r>
          </w:p>
        </w:tc>
        <w:tc>
          <w:tcPr>
            <w:tcW w:type="dxa" w:w="7123"/>
          </w:tcPr>
          <w:p>
            <w:pPr>
              <w:spacing w:after="0"/>
            </w:pPr>
            <w:r>
              <w:rPr>
                <w:sz w:val="19"/>
              </w:rPr>
              <w:t>23.09.2026 bis Kursende (voraussichtlich Mitte Oktober 2026)</w:t>
            </w:r>
          </w:p>
        </w:tc>
      </w:tr>
      <w:tr>
        <w:trPr/>
        <w:tc>
          <w:tcPr>
            <w:tcW w:type="dxa" w:w="2288"/>
          </w:tcPr>
          <w:p>
            <w:pPr>
              <w:spacing w:after="0"/>
            </w:pPr>
            <w:r>
              <w:rPr>
                <w:sz w:val="19"/>
              </w:rPr>
              <w:t>Version</w:t>
            </w:r>
          </w:p>
        </w:tc>
        <w:tc>
          <w:tcPr>
            <w:tcW w:type="dxa" w:w="7123"/>
          </w:tcPr>
          <w:p>
            <w:pPr>
              <w:spacing w:after="0"/>
            </w:pPr>
            <w:r>
              <w:rPr>
                <w:sz w:val="19"/>
              </w:rPr>
              <w:t xml:space="preserve">1.9 · Stand 05.10.2026 · Status: </w:t>
            </w:r>
            <w:r>
              <w:rPr>
                <w:b/>
                <w:sz w:val="19"/>
              </w:rPr>
              <w:t>freigegeben 05.10.2026 (Projektleitung)</w:t>
            </w:r>
            <w:r>
              <w:rPr>
                <w:sz w:val="19"/>
              </w:rPr>
              <w:t xml:space="preserve"> (Änderung zu 1.8: Herkunft als Rolle, neue Spalte „To-do (wer)“, Abgleich aller Ideen und Fragen zum Projektabschluss – nichts mehr „offen“, I82, Kap. 8 Folgeprojekte)</w:t>
            </w:r>
          </w:p>
        </w:tc>
      </w:tr>
      <w:tr>
        <w:trPr/>
        <w:tc>
          <w:tcPr>
            <w:tcW w:type="dxa" w:w="2288"/>
          </w:tcPr>
          <w:p>
            <w:pPr>
              <w:spacing w:after="0"/>
            </w:pPr>
            <w:r>
              <w:rPr>
                <w:sz w:val="19"/>
              </w:rPr>
              <w:t>KI-Unterstützung</w:t>
            </w:r>
          </w:p>
        </w:tc>
        <w:tc>
          <w:tcPr>
            <w:tcW w:type="dxa" w:w="7123"/>
          </w:tcPr>
          <w:p>
            <w:pPr>
              <w:spacing w:after="0"/>
            </w:pPr>
            <w:r>
              <w:rPr>
                <w:sz w:val="19"/>
              </w:rPr>
              <w:t>Entwurf mit KI-Unterstützung erstellt, geprüft und verantwortet von der Projektleitung (RL-RC-004 Abschnitt 0)</w:t>
            </w:r>
          </w:p>
        </w:tc>
      </w:tr>
      <w:tr>
        <w:trPr/>
        <w:tc>
          <w:tcPr>
            <w:tcW w:type="dxa" w:w="2288"/>
          </w:tcPr>
          <w:p>
            <w:pPr>
              <w:spacing w:after="0"/>
            </w:pPr>
            <w:r>
              <w:rPr>
                <w:sz w:val="19"/>
              </w:rPr>
              <w:t>Folgedokumente</w:t>
            </w:r>
          </w:p>
        </w:tc>
        <w:tc>
          <w:tcPr>
            <w:tcW w:type="dxa" w:w="7123"/>
          </w:tcPr>
          <w:p>
            <w:pPr>
              <w:spacing w:after="0"/>
            </w:pPr>
            <w:r>
              <w:rPr>
                <w:sz w:val="19"/>
              </w:rPr>
              <w:t>PP-ITS-002 Projektplan · PH-ITS-002 Pflichtenheft · AN-ITS-001 Anleitung Azure-Datenplattform (Gesamt-Anleitung Phase 1–3; AN-ITS-002 seit 30.09.2026 darin aufgegangen)</w:t>
            </w:r>
          </w:p>
        </w:tc>
      </w:tr>
    </w:tbl>
    <w:p>
      <w:pPr>
        <w:spacing w:after="0" w:line="20" w:lineRule="exact"/>
      </w:pPr>
    </w:p>
    <w:p>
      <w:pPr>
        <w:pStyle w:val="Heading1"/>
      </w:pPr>
      <w:r>
        <w:t>1. Zweck des Dokuments</w:t>
      </w:r>
    </w:p>
    <w:p>
      <w:pPr>
        <w:spacing w:after="0" w:line="20" w:lineRule="exact"/>
      </w:pPr>
    </w:p>
    <w:p>
      <w:r>
        <w:t>Das Brainstorming hält fest, welches Problem das Projekt löst, welche Fragen dafür beantwortet werden müssen und welche Ideen im Projektverlauf entstanden sind – in zeitlicher Reihenfolge. Es ist die Grundlage für den Projektplan (Meilensteine M1–M5) und das Pflichtenheft (Ergebnisse).</w:t>
      </w:r>
    </w:p>
    <w:p>
      <w:pPr>
        <w:pStyle w:val="Heading1"/>
      </w:pPr>
      <w:r>
        <w:t>2. Ausgangslage</w:t>
      </w:r>
    </w:p>
    <w:p>
      <w:pPr>
        <w:spacing w:after="0" w:line="20" w:lineRule="exact"/>
      </w:pPr>
    </w:p>
    <w:p>
      <w:r>
        <w:t>Ein Betrieb erhält regelmäßig Daten aus verschiedenen Quellen (z. B. Sensoren, Buchhaltung, Kassensysteme) als Einzeldateien. Diese werden bisher von Hand gesammelt, geprüft und ausgewertet – aufwendig, fehleranfällig und kaum nachvollziehbar. Benötigt wird eine Datenplattform in der Cloud, auf der neue Daten automatisch übernommen, unverändert archiviert, bereinigt und analysebereit abgelegt werden.</w:t>
      </w:r>
    </w:p>
    <w:p>
      <w:r>
        <w:t xml:space="preserve">Die Plattform wird in Microsoft Azure aufgebaut und an einem realen Datensatz erprobt: </w:t>
      </w:r>
      <w:r>
        <w:rPr>
          <w:b/>
        </w:rPr>
        <w:t>Anwendungsfall Bee Haven</w:t>
      </w:r>
      <w:r>
        <w:t xml:space="preserve"> – ein Kollektiv von Imkereien hat mit Sensoren an Bienenstöcken Flugbewegungen am Flugloch, Temperatur und Luftfeuchte im Stock sowie das Stockgewicht aufgezeichnet (4 CSV-Dateien). Plattform und Pipelines sind so angelegt, dass ein anderer Anwendungsfall (z. B. Finanzdaten) ohne Umbau angeschlossen werden kann.</w:t>
      </w:r>
    </w:p>
    <w:p>
      <w:pPr>
        <w:pStyle w:val="Heading1"/>
      </w:pPr>
      <w:r>
        <w:t>3. W-Fragen</w:t>
      </w:r>
    </w:p>
    <w:p>
      <w:pPr>
        <w:spacing w:after="0" w:line="2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3"/>
        <w:gridCol w:w="6718"/>
      </w:tblGrid>
      <w:tr>
        <w:trPr>
          <w:tblHeader/>
        </w:trPr>
        <w:tc>
          <w:tcPr>
            <w:tcW w:type="dxa" w:w="2693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Frage</w:t>
            </w:r>
          </w:p>
        </w:tc>
        <w:tc>
          <w:tcPr>
            <w:tcW w:type="dxa" w:w="6718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Antwort</w:t>
            </w:r>
          </w:p>
        </w:tc>
      </w:tr>
      <w:tr>
        <w:trPr/>
        <w:tc>
          <w:tcPr>
            <w:tcW w:type="dxa" w:w="2693"/>
          </w:tcPr>
          <w:p>
            <w:pPr>
              <w:spacing w:after="0"/>
            </w:pPr>
            <w:r>
              <w:rPr>
                <w:b/>
                <w:sz w:val="19"/>
              </w:rPr>
              <w:t>Wer</w:t>
            </w:r>
            <w:r>
              <w:rPr>
                <w:sz w:val="19"/>
              </w:rPr>
              <w:t xml:space="preserve"> ist beteiligt?</w:t>
            </w:r>
          </w:p>
        </w:tc>
        <w:tc>
          <w:tcPr>
            <w:tcW w:type="dxa" w:w="6718"/>
          </w:tcPr>
          <w:p>
            <w:pPr>
              <w:spacing w:after="0"/>
            </w:pPr>
            <w:r>
              <w:rPr>
                <w:sz w:val="19"/>
              </w:rPr>
              <w:t>Auftraggeber: Geschäftsführung. Umsetzung: Projektleitung (Data Specialist). Nutzende: Fachbereiche, die Daten auswerten; im Anwendungsfall Imkereien (Stockzustand) und Forschung (Bienenverhalten).</w:t>
            </w:r>
          </w:p>
        </w:tc>
      </w:tr>
      <w:tr>
        <w:trPr/>
        <w:tc>
          <w:tcPr>
            <w:tcW w:type="dxa" w:w="2693"/>
          </w:tcPr>
          <w:p>
            <w:pPr>
              <w:spacing w:after="0"/>
            </w:pPr>
            <w:r>
              <w:rPr>
                <w:b/>
                <w:sz w:val="19"/>
              </w:rPr>
              <w:t>Was</w:t>
            </w:r>
            <w:r>
              <w:rPr>
                <w:sz w:val="19"/>
              </w:rPr>
              <w:t xml:space="preserve"> soll entstehen?</w:t>
            </w:r>
          </w:p>
        </w:tc>
        <w:tc>
          <w:tcPr>
            <w:tcW w:type="dxa" w:w="6718"/>
          </w:tcPr>
          <w:p>
            <w:pPr>
              <w:spacing w:after="0"/>
            </w:pPr>
            <w:r>
              <w:rPr>
                <w:sz w:val="19"/>
              </w:rPr>
              <w:t>Eine Datenplattform in Azure mit automatisierten Pipelines Rohdaten → Bronze → Silver → Gold; im Anwendungsfall bereinigte, mit Wetterdaten angereicherte Sensordaten und Auswertungen zum Flugverhalten und zur Honigproduktion.</w:t>
            </w:r>
          </w:p>
        </w:tc>
      </w:tr>
      <w:tr>
        <w:trPr/>
        <w:tc>
          <w:tcPr>
            <w:tcW w:type="dxa" w:w="2693"/>
          </w:tcPr>
          <w:p>
            <w:pPr>
              <w:spacing w:after="0"/>
            </w:pPr>
            <w:r>
              <w:rPr>
                <w:b/>
                <w:sz w:val="19"/>
              </w:rPr>
              <w:t>Warum?</w:t>
            </w:r>
          </w:p>
        </w:tc>
        <w:tc>
          <w:tcPr>
            <w:tcW w:type="dxa" w:w="6718"/>
          </w:tcPr>
          <w:p>
            <w:pPr>
              <w:spacing w:after="0"/>
            </w:pPr>
            <w:r>
              <w:rPr>
                <w:sz w:val="19"/>
              </w:rPr>
              <w:t>Einzeldateien lassen sich weder regelmäßig noch verlässlich auswerten. Mit Pipelines werden neue Lieferungen automatisch geprüft, archiviert und analysebereit abgelegt – nachvollziehbar und wiederholbar.</w:t>
            </w:r>
          </w:p>
        </w:tc>
      </w:tr>
      <w:tr>
        <w:trPr/>
        <w:tc>
          <w:tcPr>
            <w:tcW w:type="dxa" w:w="2693"/>
          </w:tcPr>
          <w:p>
            <w:pPr>
              <w:spacing w:after="0"/>
            </w:pPr>
            <w:r>
              <w:rPr>
                <w:b/>
                <w:sz w:val="19"/>
              </w:rPr>
              <w:t>Wann?</w:t>
            </w:r>
          </w:p>
        </w:tc>
        <w:tc>
          <w:tcPr>
            <w:tcW w:type="dxa" w:w="6718"/>
          </w:tcPr>
          <w:p>
            <w:pPr>
              <w:spacing w:after="0"/>
            </w:pPr>
            <w:r>
              <w:rPr>
                <w:sz w:val="19"/>
              </w:rPr>
              <w:t>23.09.2026 bis Kursende; tägliche Verarbeitung neuer Daten (00:00 UTC) als Zielbild.</w:t>
            </w:r>
          </w:p>
        </w:tc>
      </w:tr>
      <w:tr>
        <w:trPr/>
        <w:tc>
          <w:tcPr>
            <w:tcW w:type="dxa" w:w="2693"/>
          </w:tcPr>
          <w:p>
            <w:pPr>
              <w:spacing w:after="0"/>
            </w:pPr>
            <w:r>
              <w:rPr>
                <w:b/>
                <w:sz w:val="19"/>
              </w:rPr>
              <w:t>Wo?</w:t>
            </w:r>
          </w:p>
        </w:tc>
        <w:tc>
          <w:tcPr>
            <w:tcW w:type="dxa" w:w="6718"/>
          </w:tcPr>
          <w:p>
            <w:pPr>
              <w:spacing w:after="0"/>
            </w:pPr>
            <w:r>
              <w:rPr>
                <w:sz w:val="19"/>
              </w:rPr>
              <w:t>Microsoft Azure, Region Germany West Central (Deutschland West-Mitte); lokale Entwicklung in VS Code mit identischer Ordnerstruktur.</w:t>
            </w:r>
          </w:p>
        </w:tc>
      </w:tr>
      <w:tr>
        <w:trPr/>
        <w:tc>
          <w:tcPr>
            <w:tcW w:type="dxa" w:w="2693"/>
          </w:tcPr>
          <w:p>
            <w:pPr>
              <w:spacing w:after="0"/>
            </w:pPr>
            <w:r>
              <w:rPr>
                <w:b/>
                <w:sz w:val="19"/>
              </w:rPr>
              <w:t>Wie?</w:t>
            </w:r>
          </w:p>
        </w:tc>
        <w:tc>
          <w:tcPr>
            <w:tcW w:type="dxa" w:w="6718"/>
          </w:tcPr>
          <w:p>
            <w:pPr>
              <w:spacing w:after="0"/>
            </w:pPr>
            <w:r>
              <w:rPr>
                <w:sz w:val="19"/>
              </w:rPr>
              <w:t>Medallion-Architektur mit Azure Data Lake Storage Gen2, Azure Data Factory (Steuerung) und Notebooks (Bereinigung, Anreicherung, Analyse); externe Daten über Schnittstellen (im Anwendungsfall Wetter über die Bright-Sky-API des Deutschen Wetterdienstes).</w:t>
            </w:r>
          </w:p>
        </w:tc>
      </w:tr>
      <w:tr>
        <w:trPr/>
        <w:tc>
          <w:tcPr>
            <w:tcW w:type="dxa" w:w="2693"/>
          </w:tcPr>
          <w:p>
            <w:pPr>
              <w:spacing w:after="0"/>
            </w:pPr>
            <w:r>
              <w:rPr>
                <w:b/>
                <w:sz w:val="19"/>
              </w:rPr>
              <w:t>Womit / zu welchen Kosten?</w:t>
            </w:r>
          </w:p>
        </w:tc>
        <w:tc>
          <w:tcPr>
            <w:tcW w:type="dxa" w:w="6718"/>
          </w:tcPr>
          <w:p>
            <w:pPr>
              <w:spacing w:after="0"/>
            </w:pPr>
            <w:r>
              <w:rPr>
                <w:sz w:val="19"/>
              </w:rPr>
              <w:t>Azure-Guthaben ca. 170 € (bis 18.10.2026); kostenintensive Dienste (Synapse, Spark-Pool) erst nach Kostenschätzung und Freigabe.</w:t>
            </w:r>
          </w:p>
        </w:tc>
      </w:tr>
    </w:tbl>
    <w:p>
      <w:pPr>
        <w:spacing w:after="0" w:line="20" w:lineRule="exact"/>
      </w:pPr>
    </w:p>
    <w:p>
      <w:pPr>
        <w:pStyle w:val="Heading1"/>
        <w:pageBreakBefore/>
      </w:pPr>
      <w:r>
        <w:t>4. Leitfragen</w:t>
      </w:r>
    </w:p>
    <w:p>
      <w:pPr>
        <w:spacing w:after="0" w:line="20" w:lineRule="exact"/>
      </w:pPr>
    </w:p>
    <w:p>
      <w:r>
        <w:rPr>
          <w:b/>
        </w:rPr>
        <w:t>Plattform einrichten</w:t>
      </w:r>
    </w:p>
    <w:p>
      <w:pPr>
        <w:pStyle w:val="ListBullet"/>
        <w:spacing w:after="40"/>
      </w:pPr>
      <w:r>
        <w:t>Welche Azure-Dienste brauchen wir für Speicherung, Steuerung und Verarbeitung – und warum genau diese?</w:t>
      </w:r>
    </w:p>
    <w:p>
      <w:pPr>
        <w:pStyle w:val="ListBullet"/>
        <w:spacing w:after="40"/>
      </w:pPr>
      <w:r>
        <w:t>In welcher Region liegen die Daten, und wie benennen und kennzeichnen wir Ressourcen einheitlich?</w:t>
      </w:r>
    </w:p>
    <w:p>
      <w:pPr>
        <w:pStyle w:val="ListBullet"/>
        <w:spacing w:after="40"/>
      </w:pPr>
      <w:r>
        <w:t>Wer oder was darf worauf zugreifen (minimale Rechte, keine Schlüssel im Code)?</w:t>
      </w:r>
    </w:p>
    <w:p>
      <w:r>
        <w:rPr>
          <w:b/>
        </w:rPr>
        <w:t>Daten ablegen und bewegen</w:t>
      </w:r>
    </w:p>
    <w:p>
      <w:pPr>
        <w:pStyle w:val="ListBullet"/>
        <w:spacing w:after="40"/>
      </w:pPr>
      <w:r>
        <w:t>Wie gelangen neue Rohdaten automatisch und vollständig in den Data Lake?</w:t>
      </w:r>
    </w:p>
    <w:p>
      <w:pPr>
        <w:pStyle w:val="ListBullet"/>
        <w:spacing w:after="40"/>
      </w:pPr>
      <w:r>
        <w:t>Wie bleibt jede Lieferung unverändert und nachvollziehbar erhalten (Archiv mit Zeitstempel)?</w:t>
      </w:r>
    </w:p>
    <w:p>
      <w:pPr>
        <w:pStyle w:val="ListBullet"/>
        <w:spacing w:after="40"/>
      </w:pPr>
      <w:r>
        <w:t>Wie verarbeiten wir beliebig viele Dateien, Quellen und Standorte, ohne die Pipeline anzupassen?</w:t>
      </w:r>
    </w:p>
    <w:p>
      <w:r>
        <w:rPr>
          <w:b/>
        </w:rPr>
        <w:t>Daten bereinigen und anreichern</w:t>
      </w:r>
    </w:p>
    <w:p>
      <w:pPr>
        <w:pStyle w:val="ListBullet"/>
        <w:spacing w:after="40"/>
      </w:pPr>
      <w:r>
        <w:t>Welche Bereinigungsschritte sind nötig (Datentypen, Zeitzone/UTC, Duplikate, fehlende Werte, Ausreißer), und wie begründen wir jeden Schritt?</w:t>
      </w:r>
    </w:p>
    <w:p>
      <w:pPr>
        <w:pStyle w:val="ListBullet"/>
        <w:spacing w:after="40"/>
      </w:pPr>
      <w:r>
        <w:t>Löschen oder markieren wir fehlerhafte Werte?</w:t>
      </w:r>
    </w:p>
    <w:p>
      <w:pPr>
        <w:pStyle w:val="ListBullet"/>
        <w:spacing w:after="40"/>
      </w:pPr>
      <w:r>
        <w:t>Welche externen Daten ergänzen die eigenen Daten sinnvoll, und woher bekommen wir sie verlässlich?</w:t>
      </w:r>
    </w:p>
    <w:p>
      <w:r>
        <w:rPr>
          <w:b/>
        </w:rPr>
        <w:t>Betrieb, Sicherheit, Kosten</w:t>
      </w:r>
    </w:p>
    <w:p>
      <w:pPr>
        <w:pStyle w:val="ListBullet"/>
        <w:spacing w:after="40"/>
      </w:pPr>
      <w:r>
        <w:t>Wie läuft die Verarbeitung täglich ohne Eingriff, und wie erkennen wir Fehler?</w:t>
      </w:r>
    </w:p>
    <w:p>
      <w:pPr>
        <w:pStyle w:val="ListBullet"/>
        <w:spacing w:after="40"/>
      </w:pPr>
      <w:r>
        <w:t>Was kostet jeder Schritt, und wie bleiben wir im Budget?</w:t>
      </w:r>
    </w:p>
    <w:p>
      <w:pPr>
        <w:pStyle w:val="ListBullet"/>
        <w:spacing w:after="40"/>
      </w:pPr>
      <w:r>
        <w:t>Wie dokumentieren wir die Einrichtung so, dass Mitarbeitende sie Schritt für Schritt nachvollziehen können?</w:t>
      </w:r>
    </w:p>
    <w:p>
      <w:pPr>
        <w:pStyle w:val="ListBullet"/>
        <w:spacing w:after="40"/>
      </w:pPr>
      <w:r>
        <w:t>Was passiert mit Umgebung und Daten nach Projektende?</w:t>
      </w:r>
    </w:p>
    <w:p>
      <w:r>
        <w:rPr>
          <w:b/>
        </w:rPr>
        <w:t>Anwendungsfall Bee Haven</w:t>
      </w:r>
    </w:p>
    <w:p>
      <w:pPr>
        <w:pStyle w:val="ListBullet"/>
        <w:spacing w:after="40"/>
      </w:pPr>
      <w:r>
        <w:t>Welche Daten liefern die Sensoren, in welchem Takt, über welchen Zeitraum und in welcher Zeitzone?</w:t>
      </w:r>
    </w:p>
    <w:p>
      <w:pPr>
        <w:pStyle w:val="ListBullet"/>
        <w:spacing w:after="40"/>
      </w:pPr>
      <w:r>
        <w:t>Wie beeinflussen Temperatur, Luftfeuchte, Sonne, Regen und Wind die Flugaktivität?</w:t>
      </w:r>
    </w:p>
    <w:p>
      <w:pPr>
        <w:pStyle w:val="ListBullet"/>
        <w:spacing w:after="40"/>
      </w:pPr>
      <w:r>
        <w:t>Wie entwickelt sich das Stockgewicht, und was sagt es über die Honigproduktion?</w:t>
      </w:r>
    </w:p>
    <w:p>
      <w:pPr>
        <w:pStyle w:val="ListBullet"/>
        <w:spacing w:after="40"/>
      </w:pPr>
      <w:r>
        <w:t>Woran erkennen wir früh, dass ein Volk in Gefahr ist?</w:t>
      </w:r>
    </w:p>
    <w:p>
      <w:pPr>
        <w:pStyle w:val="ListBullet"/>
        <w:spacing w:after="40"/>
      </w:pPr>
      <w:r>
        <w:t>Welche Kennzahlen braucht eine Imkerei am Montagmorgen, um zu wissen, ob mit ihren Völkern alles in Ordnung ist?</w:t>
      </w:r>
    </w:p>
    <w:p>
      <w:pPr>
        <w:pStyle w:val="ListBullet"/>
        <w:spacing w:after="40"/>
      </w:pPr>
      <w:r>
        <w:t>Versteht ein Mensch ohne Technikkenntnisse jede Grafik in fünf Sekunden?</w:t>
      </w:r>
    </w:p>
    <w:p>
      <w:pPr>
        <w:pStyle w:val="Heading1"/>
        <w:pageBreakBefore/>
      </w:pPr>
      <w:r>
        <w:t>5. Ideen (chronologisch)</w:t>
      </w:r>
    </w:p>
    <w:p>
      <w:pPr>
        <w:spacing w:after="0" w:line="20" w:lineRule="exact"/>
      </w:pPr>
    </w:p>
    <w:p>
      <w:r>
        <w:rPr>
          <w:b/>
        </w:rPr>
        <w:t>Herkunft</w:t>
      </w:r>
      <w:r>
        <w:t xml:space="preserve"> (Rolle): Geschäftsführung · Projektleitung · Projektteam · Projektteam_Befund (Ergebnis einer Prüfung oder eines Tests, mit Verweis) · Projektträger (Kurs-Vorgabe, mit Kapitel).</w:t>
      </w:r>
    </w:p>
    <w:p>
      <w:r>
        <w:rPr>
          <w:b/>
        </w:rPr>
        <w:t>To-do (wer):</w:t>
      </w:r>
      <w:r>
        <w:t xml:space="preserve"> Projektleitung (Mensch, gibt frei – bei allen Dokumenten, Anleitungen und Entscheidungen) · Projektteam · KI (nur technische Zuarbeit, z. B. Bildbearbeitung, Generatoren) · „–“ = nichts mehr zu tun.</w:t>
      </w:r>
    </w:p>
    <w:p>
      <w:r>
        <w:rPr>
          <w:b/>
        </w:rPr>
        <w:t>Stand</w:t>
      </w:r>
      <w:r>
        <w:t xml:space="preserve"> (Abgleich zum Projektabschluss, am Ende nichts „offen“): </w:t>
      </w:r>
      <w:r>
        <w:rPr>
          <w:b/>
        </w:rPr>
        <w:t>umgesetzt</w:t>
      </w:r>
      <w:r>
        <w:t xml:space="preserve"> · </w:t>
      </w:r>
      <w:r>
        <w:rPr>
          <w:b/>
        </w:rPr>
        <w:t>bis Projektabschluss</w:t>
      </w:r>
      <w:r>
        <w:t xml:space="preserve"> (mit Zieldokument) · </w:t>
      </w:r>
      <w:r>
        <w:rPr>
          <w:b/>
        </w:rPr>
        <w:t>Folgeprojekt FP-x</w:t>
      </w:r>
      <w:r>
        <w:t xml:space="preserve"> (Kap. 8, ausgearbeitet im Projektplan Kap. 8) · </w:t>
      </w:r>
      <w:r>
        <w:rPr>
          <w:b/>
        </w:rPr>
        <w:t>wird nicht umgesetzt</w:t>
      </w:r>
      <w:r>
        <w:t xml:space="preserve"> (mit Grund).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7"/>
        <w:gridCol w:w="2611"/>
        <w:gridCol w:w="2347"/>
        <w:gridCol w:w="1413"/>
        <w:gridCol w:w="2383"/>
      </w:tblGrid>
      <w:tr>
        <w:trPr>
          <w:tblHeader/>
          <w:cantSplit/>
        </w:trPr>
        <w:tc>
          <w:tcPr>
            <w:tcW w:type="dxa" w:w="9411"/>
            <w:gridSpan w:val="5"/>
            <w:tcBorders>
              <w:top w:val="nil"/>
              <w:left w:val="nil"/>
              <w:right w:val="nil"/>
            </w:tcBorders>
          </w:tcPr>
          <w:p>
            <w:pPr>
              <w:pStyle w:val="Heading2"/>
              <w:spacing w:before="200" w:after="60"/>
            </w:pPr>
            <w:r>
              <w:t>23.–24.09.2026 – Einrichtung Azure (Meilenstein M1)</w:t>
            </w:r>
          </w:p>
        </w:tc>
      </w:tr>
      <w:tr>
        <w:trPr>
          <w:tblHeader/>
        </w:trPr>
        <w:tc>
          <w:tcPr>
            <w:tcW w:type="dxa" w:w="657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Nr.</w:t>
            </w:r>
          </w:p>
        </w:tc>
        <w:tc>
          <w:tcPr>
            <w:tcW w:type="dxa" w:w="261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Idee / Leitfrage</w:t>
            </w:r>
          </w:p>
        </w:tc>
        <w:tc>
          <w:tcPr>
            <w:tcW w:type="dxa" w:w="2347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Herkunft</w:t>
            </w:r>
          </w:p>
        </w:tc>
        <w:tc>
          <w:tcPr>
            <w:tcW w:type="dxa" w:w="1413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To-do (wer)</w:t>
            </w:r>
          </w:p>
        </w:tc>
        <w:tc>
          <w:tcPr>
            <w:tcW w:type="dxa" w:w="2383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Stand / Verweis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I1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Schritt-für-Schritt-Anleitung für Einsteiger: englischer Begriff mit deutscher Übersetzung, Begründung, Warnhinweise, Prüfen-Zeile, Screenshots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 (AN-ITS-001 v2.7); Freigabe durch Projektleitung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I2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Screenshots automatisch zuschneiden, markieren und schwärzen (Texterkennung (OCR))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Projektteam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 (Bildgenerator; Ausbau Übersicht + Zoom in AN v2.6)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I3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Namenskonvention und Tags nach Microsoft Cloud Adoption Framework (</w:t>
            </w:r>
            <w:r>
              <w:rPr>
                <w:rFonts w:ascii="Courier New" w:hAnsi="Courier New"/>
                <w:sz w:val="17"/>
              </w:rPr>
              <w:t>rg-beehaven-dev-gwc</w:t>
            </w:r>
            <w:r>
              <w:rPr>
                <w:sz w:val="19"/>
              </w:rPr>
              <w:t>; Tags projekt, umgebung, verantwortlich, zweck)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Projektteam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I4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Region Germany West Central – Datenhaltung in Deutschland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I5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Zwei Speicherkonten: Quelle als Blob Storage (</w:t>
            </w:r>
            <w:r>
              <w:rPr>
                <w:rFonts w:ascii="Courier New" w:hAnsi="Courier New"/>
                <w:sz w:val="17"/>
              </w:rPr>
              <w:t>mabeehavenraw</w:t>
            </w:r>
            <w:r>
              <w:rPr>
                <w:sz w:val="19"/>
              </w:rPr>
              <w:t>), Ziel als Data Lake Gen2 (</w:t>
            </w:r>
            <w:r>
              <w:rPr>
                <w:rFonts w:ascii="Courier New" w:hAnsi="Courier New"/>
                <w:sz w:val="17"/>
              </w:rPr>
              <w:t>mabeehavenlakehouse</w:t>
            </w:r>
            <w:r>
              <w:rPr>
                <w:sz w:val="19"/>
              </w:rPr>
              <w:t>)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Projektträger (Kurs)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I6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Zugriff der Data Factory über Managed Identity (verwaltete Identität) mit minimalen Rechten statt Kontoschlüssel – Muster für spätere Agentenrechte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Projektteam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I7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 xml:space="preserve">Dynamische Pipelines (Get Metadata + ForEach); Ordner je Sensor per </w:t>
            </w:r>
            <w:r>
              <w:rPr>
                <w:rFonts w:ascii="Courier New" w:hAnsi="Courier New"/>
                <w:sz w:val="17"/>
              </w:rPr>
              <w:t>@split</w:t>
            </w:r>
            <w:r>
              <w:rPr>
                <w:sz w:val="19"/>
              </w:rPr>
              <w:t xml:space="preserve"> – offen für weitere Standorte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Projektträger (Kurs) / Projektteam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I8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Archiv mit Zeitstempel in UTC (</w:t>
            </w:r>
            <w:r>
              <w:rPr>
                <w:rFonts w:ascii="Courier New" w:hAnsi="Courier New"/>
                <w:sz w:val="17"/>
              </w:rPr>
              <w:t>…_raw__JJJJ-MM-TT_HHmmss_UTC.csv</w:t>
            </w:r>
            <w:r>
              <w:rPr>
                <w:sz w:val="19"/>
              </w:rPr>
              <w:t>) statt Überschreiben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Projektträger (Kurs) / Projektteam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</w:t>
            </w:r>
          </w:p>
        </w:tc>
      </w:tr>
    </w:tbl>
    <w:p>
      <w:pPr>
        <w:spacing w:after="0" w:line="2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7"/>
        <w:gridCol w:w="2611"/>
        <w:gridCol w:w="2347"/>
        <w:gridCol w:w="1413"/>
        <w:gridCol w:w="2383"/>
      </w:tblGrid>
      <w:tr>
        <w:trPr>
          <w:tblHeader/>
          <w:cantSplit/>
        </w:trPr>
        <w:tc>
          <w:tcPr>
            <w:tcW w:type="dxa" w:w="9411"/>
            <w:gridSpan w:val="5"/>
            <w:tcBorders>
              <w:top w:val="nil"/>
              <w:left w:val="nil"/>
              <w:right w:val="nil"/>
            </w:tcBorders>
          </w:tcPr>
          <w:p>
            <w:pPr>
              <w:pStyle w:val="Heading2"/>
              <w:spacing w:before="200" w:after="60"/>
            </w:pPr>
            <w:r>
              <w:t>25.09.2026 – Datenverständnis und Bereinigung (M2)</w:t>
            </w:r>
          </w:p>
        </w:tc>
      </w:tr>
      <w:tr>
        <w:trPr>
          <w:tblHeader/>
        </w:trPr>
        <w:tc>
          <w:tcPr>
            <w:tcW w:type="dxa" w:w="657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Nr.</w:t>
            </w:r>
          </w:p>
        </w:tc>
        <w:tc>
          <w:tcPr>
            <w:tcW w:type="dxa" w:w="261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Idee / Leitfrage</w:t>
            </w:r>
          </w:p>
        </w:tc>
        <w:tc>
          <w:tcPr>
            <w:tcW w:type="dxa" w:w="2347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Herkunft</w:t>
            </w:r>
          </w:p>
        </w:tc>
        <w:tc>
          <w:tcPr>
            <w:tcW w:type="dxa" w:w="1413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To-do (wer)</w:t>
            </w:r>
          </w:p>
        </w:tc>
        <w:tc>
          <w:tcPr>
            <w:tcW w:type="dxa" w:w="2383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Stand / Verweis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I9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Erst Datenprofil, dann Bereinigung (Vorgehen nach CRISP-DM (Standardprozess für Datenanalyse))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I10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Bereinigung lokal in VS Code (Notebooks N1 Bereinigung, N2 Datenqualität), erst danach in Azure – spart Guthaben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Projektträger (Kurs)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I11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 xml:space="preserve">Markieren statt löschen: ungültige Werte leer, Spalte </w:t>
            </w:r>
            <w:r>
              <w:rPr>
                <w:rFonts w:ascii="Courier New" w:hAnsi="Courier New"/>
                <w:sz w:val="17"/>
              </w:rPr>
              <w:t>qualitaet</w:t>
            </w:r>
            <w:r>
              <w:rPr>
                <w:sz w:val="19"/>
              </w:rPr>
              <w:t xml:space="preserve"> mit Grund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Projektteam, bestätigt Projektleitung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 (R5, R6)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I12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Erst in UTC umrechnen, dann Duplikate prüfen – die Zeitumstellung erzeugt Schein-Duplikate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Projektteam_Befund (E1)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I13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silver/processing</w:t>
            </w:r>
            <w:r>
              <w:rPr>
                <w:sz w:val="19"/>
              </w:rPr>
              <w:t xml:space="preserve"> ohne, </w:t>
            </w:r>
            <w:r>
              <w:rPr>
                <w:rFonts w:ascii="Courier New" w:hAnsi="Courier New"/>
                <w:sz w:val="17"/>
              </w:rPr>
              <w:t>silver/cleaned</w:t>
            </w:r>
            <w:r>
              <w:rPr>
                <w:sz w:val="19"/>
              </w:rPr>
              <w:t xml:space="preserve"> mit UTC-Zeitstempel; Ordner je Stadt und Sensor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Projektteam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I14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Datenmengen und Kosten je Stufe als Pflicht-Ergebnis (Meldung an Finanzen)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 (Ist-Kosten 1,02 € je Stufe, PR-ITS-008, PH 8.8)</w:t>
            </w:r>
          </w:p>
        </w:tc>
      </w:tr>
    </w:tbl>
    <w:p>
      <w:pPr>
        <w:spacing w:after="0" w:line="2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7"/>
        <w:gridCol w:w="2611"/>
        <w:gridCol w:w="2347"/>
        <w:gridCol w:w="1413"/>
        <w:gridCol w:w="2383"/>
      </w:tblGrid>
      <w:tr>
        <w:trPr>
          <w:tblHeader/>
          <w:cantSplit/>
        </w:trPr>
        <w:tc>
          <w:tcPr>
            <w:tcW w:type="dxa" w:w="9411"/>
            <w:gridSpan w:val="5"/>
            <w:tcBorders>
              <w:top w:val="nil"/>
              <w:left w:val="nil"/>
              <w:right w:val="nil"/>
            </w:tcBorders>
          </w:tcPr>
          <w:p>
            <w:pPr>
              <w:pStyle w:val="Heading2"/>
              <w:spacing w:before="200" w:after="60"/>
            </w:pPr>
            <w:r>
              <w:t>28.09.2026 – Plausibilität, Wetter, Analyse, Master-Pipeline (M3)</w:t>
            </w:r>
          </w:p>
        </w:tc>
      </w:tr>
      <w:tr>
        <w:trPr>
          <w:tblHeader/>
        </w:trPr>
        <w:tc>
          <w:tcPr>
            <w:tcW w:type="dxa" w:w="657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Nr.</w:t>
            </w:r>
          </w:p>
        </w:tc>
        <w:tc>
          <w:tcPr>
            <w:tcW w:type="dxa" w:w="261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Idee / Leitfrage</w:t>
            </w:r>
          </w:p>
        </w:tc>
        <w:tc>
          <w:tcPr>
            <w:tcW w:type="dxa" w:w="2347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Herkunft</w:t>
            </w:r>
          </w:p>
        </w:tc>
        <w:tc>
          <w:tcPr>
            <w:tcW w:type="dxa" w:w="1413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To-do (wer)</w:t>
            </w:r>
          </w:p>
        </w:tc>
        <w:tc>
          <w:tcPr>
            <w:tcW w:type="dxa" w:w="2383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Stand / Verweis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I15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Zeitabstände prüfen – versteckte Lücken ohne leere Werte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Projektträger (Kurs)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 (N1, P1)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I16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Kurzzeitige Ausreißer mit robustem z-Score finden, nur markieren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Projektträger (Kurs) / Projektteam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 (R9)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I17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Warnhinweis bei starkem Temperaturabfall im Stock: kurz = Stock geöffnet (Info), anhaltend = Volk geschwächt (Warnung)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Projektträger (Kurs) / Projektleitung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Folgeprojekt FP-2 Dashboard und Warnungen (P5)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I18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Lücken erst nach Visualisierung auffüllen oder nicht (visualisieren → prüfen → entscheiden)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 (P6 = c; kurze Lücken erst in Gold, I44)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I19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Wetter und Sonnenstand zum Vergleich mit dem Flugverhalten (Bright Sky/DWD, Sonnenstand nach NOAA, gegengeprüft mit Open-Meteo)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Projektleitung / Projektträger (Kurs)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 (N3)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I20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Flugverhalten nach Monat, Tageszeit, Außentemperatur, Stunde, Regen und Sonne auswerten (A1–A6)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 (N5)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I21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Grafik-Standard: Titel = Aussage, Einheiten, Kennzahlen, Überblick vor Details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I22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 xml:space="preserve">Master-Pipeline </w:t>
            </w:r>
            <w:r>
              <w:rPr>
                <w:rFonts w:ascii="Courier New" w:hAnsi="Courier New"/>
                <w:sz w:val="17"/>
              </w:rPr>
              <w:t>pl_daily_processing</w:t>
            </w:r>
            <w:r>
              <w:rPr>
                <w:sz w:val="19"/>
              </w:rPr>
              <w:t xml:space="preserve"> (Pipelines nacheinander, nur bei Erfolg)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Projektträger (Kurs)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 (4 Stufen, Trigger angelegt, PP 5.10)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I23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 xml:space="preserve">Notebooks für Azure lokal vorbereiten (Parameterzelle, </w:t>
            </w:r>
            <w:r>
              <w:rPr>
                <w:rFonts w:ascii="Courier New" w:hAnsi="Courier New"/>
                <w:sz w:val="17"/>
              </w:rPr>
              <w:t>abfss</w:t>
            </w:r>
            <w:r>
              <w:rPr>
                <w:sz w:val="19"/>
              </w:rPr>
              <w:t>-Pfade, ohne Kontoschlüssel) – Kosten erst beim echten Lauf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Projektteam, Freigabe Projektleitung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</w:t>
            </w:r>
          </w:p>
        </w:tc>
      </w:tr>
    </w:tbl>
    <w:p>
      <w:pPr>
        <w:spacing w:after="0" w:line="2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7"/>
        <w:gridCol w:w="2611"/>
        <w:gridCol w:w="2347"/>
        <w:gridCol w:w="1413"/>
        <w:gridCol w:w="2383"/>
      </w:tblGrid>
      <w:tr>
        <w:trPr>
          <w:tblHeader/>
          <w:cantSplit/>
        </w:trPr>
        <w:tc>
          <w:tcPr>
            <w:tcW w:type="dxa" w:w="9411"/>
            <w:gridSpan w:val="5"/>
            <w:tcBorders>
              <w:top w:val="nil"/>
              <w:left w:val="nil"/>
              <w:right w:val="nil"/>
            </w:tcBorders>
          </w:tcPr>
          <w:p>
            <w:pPr>
              <w:pStyle w:val="Heading2"/>
              <w:spacing w:before="200" w:after="60"/>
            </w:pPr>
            <w:r>
              <w:t>29.09.2026 – Weg A, mehrere Standorte, erweiterte Analyse (M4)</w:t>
            </w:r>
          </w:p>
        </w:tc>
      </w:tr>
      <w:tr>
        <w:trPr>
          <w:tblHeader/>
        </w:trPr>
        <w:tc>
          <w:tcPr>
            <w:tcW w:type="dxa" w:w="657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Nr.</w:t>
            </w:r>
          </w:p>
        </w:tc>
        <w:tc>
          <w:tcPr>
            <w:tcW w:type="dxa" w:w="261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Idee / Leitfrage</w:t>
            </w:r>
          </w:p>
        </w:tc>
        <w:tc>
          <w:tcPr>
            <w:tcW w:type="dxa" w:w="2347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Herkunft</w:t>
            </w:r>
          </w:p>
        </w:tc>
        <w:tc>
          <w:tcPr>
            <w:tcW w:type="dxa" w:w="1413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To-do (wer)</w:t>
            </w:r>
          </w:p>
        </w:tc>
        <w:tc>
          <w:tcPr>
            <w:tcW w:type="dxa" w:w="2383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Stand / Verweis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I24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Pipeline Weg A: Bronze, Silver, Gold getrennt; Notebooks einzeln als Aktivitäten; sprechende Aktivitätsnamen (</w:t>
            </w:r>
            <w:r>
              <w:rPr>
                <w:rFonts w:ascii="Courier New" w:hAnsi="Courier New"/>
                <w:sz w:val="17"/>
              </w:rPr>
              <w:t>rohdaten_nach_bronze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bronze_nach_silver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bronze_archivieren</w:t>
            </w:r>
            <w:r>
              <w:rPr>
                <w:sz w:val="19"/>
              </w:rPr>
              <w:t>); Archiv zuletzt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Projektträger (Kurs) / Projektleitung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 (Namen 30.09.; Notebooks nach K6 c)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I25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 xml:space="preserve">Mehrere Standorte ohne Codeänderung: Parameter </w:t>
            </w:r>
            <w:r>
              <w:rPr>
                <w:rFonts w:ascii="Courier New" w:hAnsi="Courier New"/>
                <w:sz w:val="17"/>
              </w:rPr>
              <w:t>STADT</w:t>
            </w:r>
            <w:r>
              <w:rPr>
                <w:sz w:val="19"/>
              </w:rPr>
              <w:t xml:space="preserve"> + Standort-Tabelle </w:t>
            </w:r>
            <w:r>
              <w:rPr>
                <w:rFonts w:ascii="Courier New" w:hAnsi="Courier New"/>
                <w:sz w:val="17"/>
              </w:rPr>
              <w:t>konfiguration/standorte.csv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 (lokal und Data Factory: Lookup Standort-Tabelle → ForEach)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I26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Weitere Wettergrößen unter gleichen Bedingungen: Feuchte, Strahlung, Böen, Luftdruck (A7–A10)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 (N5)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I27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Honigproduktion aus Waage und Flugverhalten (niedrig/mittel/hoch, Gramm je Einflug, Literaturvergleich) (H1)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 (N5, H1)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I28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Erwartungen mit Quelle („laut Recherche“) neben der eigenen Erwartung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I29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Archiv in jedem Ordner; Notebooks archivieren ältere Versionen automatisch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Geschäftsführung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I30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Originale lokal wie in Azure spiegeln (</w:t>
            </w:r>
            <w:r>
              <w:rPr>
                <w:rFonts w:ascii="Courier New" w:hAnsi="Courier New"/>
                <w:sz w:val="17"/>
              </w:rPr>
              <w:t>bronze/archive</w:t>
            </w:r>
            <w:r>
              <w:rPr>
                <w:sz w:val="19"/>
              </w:rPr>
              <w:t>)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Projektteam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I31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Einzelwirkungen (Sonne, Feuchte, Temperatur, Jahreszeit) mit einem Modell trennen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Projektteam_Befund (A7, A8, H1)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Folgeprojekt FP-3 Machine Learning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I32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Imkerei-Protokoll (Ernte, Fütterung, Honigräume) zur Prüfung der Tage mit über ±5 kg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Projektteam_Befund (H1)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Folgeprojekt FP-4 Fachliche Prüfung mit Imkerei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I33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Gold-Haupttabelle Flug + Wetter und Dashboard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Projektträger (Kurs)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Gold-Tabelle umgesetzt (N4); Dashboard → Folgeprojekt FP-2</w:t>
            </w:r>
          </w:p>
        </w:tc>
      </w:tr>
    </w:tbl>
    <w:p>
      <w:pPr>
        <w:spacing w:after="0" w:line="2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7"/>
        <w:gridCol w:w="2611"/>
        <w:gridCol w:w="2347"/>
        <w:gridCol w:w="1413"/>
        <w:gridCol w:w="2383"/>
      </w:tblGrid>
      <w:tr>
        <w:trPr>
          <w:tblHeader/>
          <w:cantSplit/>
        </w:trPr>
        <w:tc>
          <w:tcPr>
            <w:tcW w:type="dxa" w:w="9411"/>
            <w:gridSpan w:val="5"/>
            <w:tcBorders>
              <w:top w:val="nil"/>
              <w:left w:val="nil"/>
              <w:right w:val="nil"/>
            </w:tcBorders>
          </w:tcPr>
          <w:p>
            <w:pPr>
              <w:pStyle w:val="Heading2"/>
              <w:spacing w:before="200" w:after="60"/>
            </w:pPr>
            <w:r>
              <w:t>30.09.2026 – Vervollständigung (M5)</w:t>
            </w:r>
          </w:p>
        </w:tc>
      </w:tr>
      <w:tr>
        <w:trPr>
          <w:tblHeader/>
        </w:trPr>
        <w:tc>
          <w:tcPr>
            <w:tcW w:type="dxa" w:w="657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Nr.</w:t>
            </w:r>
          </w:p>
        </w:tc>
        <w:tc>
          <w:tcPr>
            <w:tcW w:type="dxa" w:w="261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Idee / Leitfrage</w:t>
            </w:r>
          </w:p>
        </w:tc>
        <w:tc>
          <w:tcPr>
            <w:tcW w:type="dxa" w:w="2347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Herkunft</w:t>
            </w:r>
          </w:p>
        </w:tc>
        <w:tc>
          <w:tcPr>
            <w:tcW w:type="dxa" w:w="1413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To-do (wer)</w:t>
            </w:r>
          </w:p>
        </w:tc>
        <w:tc>
          <w:tcPr>
            <w:tcW w:type="dxa" w:w="2383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Stand / Verweis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I34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Bereinigte Daten und Standort-Tabelle nach Azure hochladen (</w:t>
            </w:r>
            <w:r>
              <w:rPr>
                <w:rFonts w:ascii="Courier New" w:hAnsi="Courier New"/>
                <w:sz w:val="17"/>
              </w:rPr>
              <w:t>silver/cleaned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konfiguration</w:t>
            </w:r>
            <w:r>
              <w:rPr>
                <w:sz w:val="19"/>
              </w:rPr>
              <w:t>)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 (Konfiguration 30.09./02.10.; Silver erzeugt die Pipeline selbst)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I35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Projektdokumente und Anleitungen vollständig, chronologisch und zueinander passend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Geschäftsführung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bis Projektabschluss (Lesen und Freigabe BS, PP, PH, Anleitung, Präsentation)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I36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Word-Dokument als Hauptdokument, Markdown-Quelle zusätzlich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Geschäftsführung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I37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Gewicht 28.04.–02.07.2018 nicht nur per Grenzwert, sondern als ganzen Zeitraum markieren; Honigentnahme als Ursache prüfen (Rohwerte bis 0 kg sprechen dagegen: Stock nicht auf der Waage)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Projektleitung / Projektteam_Befund (E5)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 (R5a, PH Schritt 5.1)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I38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Speicherformat vergleichen: CSV vs. Parquet, Wirkung der Sortierung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Projektträger (Kurs, Bonus)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 (Z1, PH Schritt 5.2)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I39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Pflichtenheft Schritt für Schritt: je Schritt Frage, Erwartungen, Zwischenschritte, Lösungswege, Entscheidung, Gefahren, Hinweis für Agenten/ML; offene Schritte als vorbereitete Karten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 (PH v1.1)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I40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Grafiken in Dokumenten verlinken statt einbetten (kleine Dateien, Links auf GitHub)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 (md2docx)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I41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Befehlsmatrizen (Azure, SQL, Terminal) zentral in der Projektvorlage; im Projekt ein Befehls-Anhang zur Anleitung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 (Vorlage; Befehls-Anhang = AN-ITS-001 Anhang C)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I42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Offene Schritte aus der Zusammenfassung des Pflichtenhefts in den Projektplan übernehmen (roter Faden Brainstorming → Projektplan → Pflichtenheft → übrige Ordner)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Geschäftsführung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 (PP v1.2 M5)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I43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Kursleitung: Notebook 04 ist für die Automatisierung zuständig (Funktionen je Sensor, Schleife über alle Städte, Silver als Parquet); Notebook 05 führt Silver zu einer Gold-Tabelle zusammen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Projektträger (Kurs)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 (K6 c: Steuer-Notebook)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I44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Lücken nicht in Silver, sondern erst in Gold auffüllen – nur kurze Lücken bei gleichmäßigen Sensoren, mit Kennzeichen-Spalte „aufgefüllt“; flow nie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Projektleitung (Abweichung zum Kurs-Notebook)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 xml:space="preserve">umgesetzt (N4, Spalte </w:t>
            </w:r>
            <w:r>
              <w:rPr>
                <w:rFonts w:ascii="Courier New" w:hAnsi="Courier New"/>
                <w:sz w:val="17"/>
              </w:rPr>
              <w:t>_aufgefuellt</w:t>
            </w:r>
            <w:r>
              <w:rPr>
                <w:sz w:val="19"/>
              </w:rPr>
              <w:t>)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I45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Eigene UTC-Regel beibehalten (flow ist Ortszeit, doppelte Oktober-Stunde ohne Datenverlust) – Abweichung zum Kurs-Notebook begründen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I46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Gold-Notebook als eigenes N4, Analyse als N5 (nur bei Bedarf, nicht täglich)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 (N4 Gold, N5 Analyse)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I47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Entscheidungsbegründungen für Einsteiger verständlich; spätere Wegänderungen mit Datum und Grund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Geschäftsführung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 (Regel für alle Dokumente)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I48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Budget-Warnung vor dem ersten kostenpflichtigen Lauf (10 € je Monat, 50/80/100 % und Prognose)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I49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Datensatz-Beschreibung (Kaggle „Beehive Metrics“, HOBOS) lesen: Vorzeichen flow, Lizenz, Einheiten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 (F1 geklärt, Lizenz unbekannt → F2)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I50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 xml:space="preserve">Test mit zweiter Stadt </w:t>
            </w:r>
            <w:r>
              <w:rPr>
                <w:b/>
                <w:sz w:val="19"/>
              </w:rPr>
              <w:t>Würzburg</w:t>
            </w:r>
            <w:r>
              <w:rPr>
                <w:sz w:val="19"/>
              </w:rPr>
              <w:t xml:space="preserve"> aus demselben Datensatz – prüft, ob Pipeline und Notebooks wirklich für mehrere Standorte taugen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 01./02.10. (lokal und Azure, PH 5.9a)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I51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Einheit und Messtakt je Stadt in der Standort-Tabelle führen (Würzburg: Gewicht in kg, minütlich; Schwartau: Gramm, 12 Std.)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Projektteam_Befund (Würzburg)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 xml:space="preserve">umgesetzt anders: Einheit und Grenzen je Stadt in </w:t>
            </w:r>
            <w:r>
              <w:rPr>
                <w:rFonts w:ascii="Courier New" w:hAnsi="Courier New"/>
                <w:sz w:val="17"/>
              </w:rPr>
              <w:t>sensoren.csv</w:t>
            </w:r>
            <w:r>
              <w:rPr>
                <w:sz w:val="19"/>
              </w:rPr>
              <w:t xml:space="preserve"> statt </w:t>
            </w:r>
            <w:r>
              <w:rPr>
                <w:rFonts w:ascii="Courier New" w:hAnsi="Courier New"/>
                <w:sz w:val="17"/>
              </w:rPr>
              <w:t>standorte.csv</w:t>
            </w:r>
            <w:r>
              <w:rPr>
                <w:sz w:val="19"/>
              </w:rPr>
              <w:t xml:space="preserve"> (I71)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I52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flow nach Vorzeichen trennen (Würzburg liegt nicht sauber in zwei Reihen untereinander)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Projektteam_Befund (Würzburg)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wird nicht umgesetzt – Grund: mit der Kursfassung der Würzburg-Daten trennt die Zeitsprung-Regel R8 die Reihen korrekt (N1–N5 fehlerfrei, PH 5.9a); Trennung nach Vorzeichen bleibt Idee für künftige Quellen (FP-1)</w:t>
            </w:r>
          </w:p>
        </w:tc>
      </w:tr>
    </w:tbl>
    <w:p>
      <w:pPr>
        <w:spacing w:after="0" w:line="2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7"/>
        <w:gridCol w:w="2611"/>
        <w:gridCol w:w="2347"/>
        <w:gridCol w:w="1413"/>
        <w:gridCol w:w="2383"/>
      </w:tblGrid>
      <w:tr>
        <w:trPr>
          <w:tblHeader/>
          <w:cantSplit/>
        </w:trPr>
        <w:tc>
          <w:tcPr>
            <w:tcW w:type="dxa" w:w="9411"/>
            <w:gridSpan w:val="5"/>
            <w:tcBorders>
              <w:top w:val="nil"/>
              <w:left w:val="nil"/>
              <w:right w:val="nil"/>
            </w:tcBorders>
          </w:tcPr>
          <w:p>
            <w:pPr>
              <w:pStyle w:val="Heading2"/>
              <w:spacing w:before="200" w:after="60"/>
            </w:pPr>
            <w:r>
              <w:t>30.09.2026 (abends) – Abgleich mit der Kurs-Zusammenfassung (Kap. 8 Fallstudie Bee Haven)</w:t>
            </w:r>
          </w:p>
        </w:tc>
      </w:tr>
      <w:tr>
        <w:trPr>
          <w:tblHeader/>
        </w:trPr>
        <w:tc>
          <w:tcPr>
            <w:tcW w:type="dxa" w:w="657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Nr.</w:t>
            </w:r>
          </w:p>
        </w:tc>
        <w:tc>
          <w:tcPr>
            <w:tcW w:type="dxa" w:w="261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Idee / Leitfrage</w:t>
            </w:r>
          </w:p>
        </w:tc>
        <w:tc>
          <w:tcPr>
            <w:tcW w:type="dxa" w:w="2347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Herkunft</w:t>
            </w:r>
          </w:p>
        </w:tc>
        <w:tc>
          <w:tcPr>
            <w:tcW w:type="dxa" w:w="1413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To-do (wer)</w:t>
            </w:r>
          </w:p>
        </w:tc>
        <w:tc>
          <w:tcPr>
            <w:tcW w:type="dxa" w:w="2383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Stand / Verweis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I53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Eine Gesamt-Anleitung für das ganze Projekt (Phase 1 Azure, Phase 2 Notebooks, Phase 3 Automatisierung) statt zwei getrennter Anleitungen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 (AN-ITS-001 v2.0)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I54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Warnung, wenn die Wetterstation für eine Messgröße zu weit entfernt ist (z. B. &gt; 20 km)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Folgeprojekt FP-2 (Hinweis in N3/Dashboard; heute 1,5 km Würzburg, Abstand in N3 ausgegeben)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I55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Fehlerpfad, wenn ein Notebook in der Pipeline scheitert (Dateien zur Prüfung ablegen, Meldung)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Projektträger (Kurs 8.19)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 xml:space="preserve">Meldung umgesetzt (K7 a + E-Mail-Warnregel); Prüfordner </w:t>
            </w:r>
            <w:r>
              <w:rPr>
                <w:rFonts w:ascii="Courier New" w:hAnsi="Courier New"/>
                <w:sz w:val="17"/>
              </w:rPr>
              <w:t>silver/fehler/</w:t>
            </w:r>
            <w:r>
              <w:rPr>
                <w:sz w:val="19"/>
              </w:rPr>
              <w:t xml:space="preserve"> → Folgeprojekt FP-1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I56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Nur neue Dateien verarbeiten; Dateinamen gegen ein Muster prüfen; doppelte Lieferungen erkennen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Projektträger (Kurs 8.12, 8.23)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Folgeprojekt FP-1 (K8 b, c)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I57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Rohantwort der Wetter-Schnittstelle zusätzlich unverändert als JSON in Bronze archivieren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Projektträger (Kurs 8.17)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Archiv der Rohantwort als Parquet umgesetzt (</w:t>
            </w:r>
            <w:r>
              <w:rPr>
                <w:rFonts w:ascii="Courier New" w:hAnsi="Courier New"/>
                <w:sz w:val="17"/>
              </w:rPr>
              <w:t>bronze/archive/&lt;stadt&gt;/wetter/</w:t>
            </w:r>
            <w:r>
              <w:rPr>
                <w:sz w:val="19"/>
              </w:rPr>
              <w:t>, N3); unverändertes JSON → Folgeprojekt FP-1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I58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Tägliche Wetter-Pipeline: Wetter des Vortags automatisch abrufen (ohne Duplikate)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Projektträger (Kurs 8.23)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Folgeprojekt FP-1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I59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Trigger bei neuer Datei (Ereignis) statt oder zusätzlich zum Zeitplan 00:00 UTC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Projektträger (Kurs 8.23)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Folgeprojekt FP-1 (Zeitplan-Trigger umgesetzt, Ereignis-Trigger zusätzlich prüfen)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I60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Gold zusätzlich als Sternschema (Faktentabelle + Dimensionen Zeit, Standort, Wetterlage) für Power BI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Projektträger (Kurs 8.23)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Folgeprojekt FP-2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I61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Transformation als Azure Function statt Synapse-Notebook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Projektträger (Kurs 8.23)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wird nicht umgesetzt – Grund: Synapse-Notebooks gewählt (K2 a), Function wäre Eigenbau ohne Data-Factory-Monitor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I62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Rollen (Leser, Mitwirkender, Storage Blob Data Contributor) mit mehreren Personen/Identitäten üben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Projektträger (Kurs 8.23)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Folgeprojekt FP-5 Berechtigungskonzept (im Schulprojekt nur eine Person)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I63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Ende-zu-Ende-Test mit neuen Daten (neue Lieferung, Lauf, Prüfung Silver und Gold)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Projektträger (Kurs 8.22)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 02.10. (Würzburg als neue Lieferung, Gesamtlauf + Gegenprobe)</w:t>
            </w:r>
          </w:p>
        </w:tc>
      </w:tr>
    </w:tbl>
    <w:p>
      <w:pPr>
        <w:spacing w:after="0" w:line="2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7"/>
        <w:gridCol w:w="2611"/>
        <w:gridCol w:w="2347"/>
        <w:gridCol w:w="1413"/>
        <w:gridCol w:w="2383"/>
      </w:tblGrid>
      <w:tr>
        <w:trPr>
          <w:tblHeader/>
          <w:cantSplit/>
        </w:trPr>
        <w:tc>
          <w:tcPr>
            <w:tcW w:type="dxa" w:w="9411"/>
            <w:gridSpan w:val="5"/>
            <w:tcBorders>
              <w:top w:val="nil"/>
              <w:left w:val="nil"/>
              <w:right w:val="nil"/>
            </w:tcBorders>
          </w:tcPr>
          <w:p>
            <w:pPr>
              <w:pStyle w:val="Heading2"/>
              <w:spacing w:before="200" w:after="60"/>
            </w:pPr>
            <w:r>
              <w:t>30.09.2026 (abends) – Erster Test der Notebooks in Synapse</w:t>
            </w:r>
          </w:p>
        </w:tc>
      </w:tr>
      <w:tr>
        <w:trPr>
          <w:tblHeader/>
        </w:trPr>
        <w:tc>
          <w:tcPr>
            <w:tcW w:type="dxa" w:w="657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Nr.</w:t>
            </w:r>
          </w:p>
        </w:tc>
        <w:tc>
          <w:tcPr>
            <w:tcW w:type="dxa" w:w="261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Idee / Leitfrage</w:t>
            </w:r>
          </w:p>
        </w:tc>
        <w:tc>
          <w:tcPr>
            <w:tcW w:type="dxa" w:w="2347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Herkunft</w:t>
            </w:r>
          </w:p>
        </w:tc>
        <w:tc>
          <w:tcPr>
            <w:tcW w:type="dxa" w:w="1413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To-do (wer)</w:t>
            </w:r>
          </w:p>
        </w:tc>
        <w:tc>
          <w:tcPr>
            <w:tcW w:type="dxa" w:w="2383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Stand / Verweis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I64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 xml:space="preserve">Vor jedem Azure-Test prüfen, ob die Eingangsordner gefüllt sind (z. B. </w:t>
            </w:r>
            <w:r>
              <w:rPr>
                <w:rFonts w:ascii="Courier New" w:hAnsi="Courier New"/>
                <w:sz w:val="17"/>
              </w:rPr>
              <w:t>silver/cleaned</w:t>
            </w:r>
            <w:r>
              <w:rPr>
                <w:sz w:val="19"/>
              </w:rPr>
              <w:t xml:space="preserve"> vor N4) – kurze Prüfzelle oder klare Fehlermeldung statt </w:t>
            </w:r>
            <w:r>
              <w:rPr>
                <w:rFonts w:ascii="Courier New" w:hAnsi="Courier New"/>
                <w:sz w:val="17"/>
              </w:rPr>
              <w:t>IndexError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Projektteam_Befund (Test 30.09., Fehler 1)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Folgeprojekt FP-1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I65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 xml:space="preserve">Generator prüft Synapse-Besonderheiten automatisch mit (z. B. </w:t>
            </w:r>
            <w:r>
              <w:rPr>
                <w:rFonts w:ascii="Courier New" w:hAnsi="Courier New"/>
                <w:sz w:val="17"/>
              </w:rPr>
              <w:t>storage_options</w:t>
            </w:r>
            <w:r>
              <w:rPr>
                <w:sz w:val="19"/>
              </w:rPr>
              <w:t xml:space="preserve"> nie </w:t>
            </w:r>
            <w:r>
              <w:rPr>
                <w:rFonts w:ascii="Courier New" w:hAnsi="Courier New"/>
                <w:sz w:val="17"/>
              </w:rPr>
              <w:t>None</w:t>
            </w:r>
            <w:r>
              <w:rPr>
                <w:sz w:val="19"/>
              </w:rPr>
              <w:t>), damit ein lokaler Test solche Fehler schon findet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Projektteam_Befund (Test 30.09., Fehler 2)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 xml:space="preserve">umgesetzt (Generator setzt </w:t>
            </w:r>
            <w:r>
              <w:rPr>
                <w:rFonts w:ascii="Courier New" w:hAnsi="Courier New"/>
                <w:sz w:val="17"/>
              </w:rPr>
              <w:t>storage_options = {}</w:t>
            </w:r>
            <w:r>
              <w:rPr>
                <w:sz w:val="19"/>
              </w:rPr>
              <w:t>); weitere Prüfungen → FP-1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I66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Synapse-Notebooks bei Änderungen neu importieren statt von Hand zu ändern (oder später Git-Anbindung des Arbeitsbereichs)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Projektteam_Befund (Test 30.09.)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Folgeprojekt FP-1 (Git-Anbindung Synapse)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I67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Kontingent und Sitzungen beachten: nur eine Spark-Sitzung gleichzeitig; nach Tests Sitzung beenden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Projektteam_Befund (Test 30.09.)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 als Hinweis (PH 5.8, 5.9)</w:t>
            </w:r>
          </w:p>
        </w:tc>
      </w:tr>
    </w:tbl>
    <w:p>
      <w:pPr>
        <w:spacing w:after="0" w:line="2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7"/>
        <w:gridCol w:w="2611"/>
        <w:gridCol w:w="2347"/>
        <w:gridCol w:w="1413"/>
        <w:gridCol w:w="2383"/>
      </w:tblGrid>
      <w:tr>
        <w:trPr>
          <w:tblHeader/>
          <w:cantSplit/>
        </w:trPr>
        <w:tc>
          <w:tcPr>
            <w:tcW w:type="dxa" w:w="9411"/>
            <w:gridSpan w:val="5"/>
            <w:tcBorders>
              <w:top w:val="nil"/>
              <w:left w:val="nil"/>
              <w:right w:val="nil"/>
            </w:tcBorders>
          </w:tcPr>
          <w:p>
            <w:pPr>
              <w:pStyle w:val="Heading2"/>
              <w:spacing w:before="200" w:after="60"/>
            </w:pPr>
            <w:r>
              <w:t>01.10.2026 – Anbindung Data Factory ↔ Synapse, zweiter Standort Würzburg</w:t>
            </w:r>
          </w:p>
        </w:tc>
      </w:tr>
      <w:tr>
        <w:trPr>
          <w:tblHeader/>
        </w:trPr>
        <w:tc>
          <w:tcPr>
            <w:tcW w:type="dxa" w:w="657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Nr.</w:t>
            </w:r>
          </w:p>
        </w:tc>
        <w:tc>
          <w:tcPr>
            <w:tcW w:type="dxa" w:w="261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Idee / Leitfrage</w:t>
            </w:r>
          </w:p>
        </w:tc>
        <w:tc>
          <w:tcPr>
            <w:tcW w:type="dxa" w:w="2347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Herkunft</w:t>
            </w:r>
          </w:p>
        </w:tc>
        <w:tc>
          <w:tcPr>
            <w:tcW w:type="dxa" w:w="1413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To-do (wer)</w:t>
            </w:r>
          </w:p>
        </w:tc>
        <w:tc>
          <w:tcPr>
            <w:tcW w:type="dxa" w:w="2383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Stand / Verweis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I68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Steuer-Notebook gibt eine Zusammenfassung an die Data Factory zurück (</w:t>
            </w:r>
            <w:r>
              <w:rPr>
                <w:rFonts w:ascii="Courier New" w:hAnsi="Courier New"/>
                <w:sz w:val="17"/>
              </w:rPr>
              <w:t>mssparkutils.notebook.exit</w:t>
            </w:r>
            <w:r>
              <w:rPr>
                <w:sz w:val="19"/>
              </w:rPr>
              <w:t>: je Stadt N1/N2/N3 ok, Zeilen, Größen) – Pipeline kann danach entscheiden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 xml:space="preserve">Projektteam_Befund (Testlauf 01.10., </w:t>
            </w:r>
            <w:r>
              <w:rPr>
                <w:rFonts w:ascii="Courier New" w:hAnsi="Courier New"/>
                <w:sz w:val="17"/>
              </w:rPr>
              <w:t>exitValue: null</w:t>
            </w:r>
            <w:r>
              <w:rPr>
                <w:sz w:val="19"/>
              </w:rPr>
              <w:t>)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Folgeprojekt FP-1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I69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Gold-Steuer-Notebook (</w:t>
            </w:r>
            <w:r>
              <w:rPr>
                <w:rFonts w:ascii="Courier New" w:hAnsi="Courier New"/>
                <w:sz w:val="17"/>
              </w:rPr>
              <w:t>runMultiple</w:t>
            </w:r>
            <w:r>
              <w:rPr>
                <w:sz w:val="19"/>
              </w:rPr>
              <w:t>, eine Spark-Sitzung für alle Städte) statt ForEach je Stadt – lohnt ab ca. drei Städten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Projektleitung (Entscheidung 01.10., YAGNI)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Folgeprojekt FP-1 (ab ca. drei Städten)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I70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 xml:space="preserve">Wie lassen sich Orte eindeutig bestimmen (gleichnamige Städte im In- und Ausland)? Fester Schlüssel </w:t>
            </w:r>
            <w:r>
              <w:rPr>
                <w:rFonts w:ascii="Courier New" w:hAnsi="Courier New"/>
                <w:sz w:val="17"/>
              </w:rPr>
              <w:t>standort_id</w:t>
            </w:r>
            <w:r>
              <w:rPr>
                <w:sz w:val="19"/>
              </w:rPr>
              <w:t xml:space="preserve"> + ISO 3166-1/-2, Amtlicher Gemeindeschlüssel bzw. GeoNames-ID, Koordinaten – als </w:t>
            </w:r>
            <w:r>
              <w:rPr>
                <w:b/>
                <w:sz w:val="19"/>
              </w:rPr>
              <w:t>betriebsweiter Stammdaten-Standard</w:t>
            </w:r>
            <w:r>
              <w:rPr>
                <w:sz w:val="19"/>
              </w:rPr>
              <w:t xml:space="preserve"> (auch Kunden/Lieferanten)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Folgeprojekt FP-6 Stammdaten-Standard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I71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Sensor-Konfiguration je Standort (Einheit der Rohdaten, gültige Bereiche, Ausfallzeiträume) statt fester Werte im Code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Projektteam_Befund (Würzburg-Test 01.10.)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 (lokal und Azure)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I72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Honigproduktion als Kernkennzahl für die Geschäftsleitung: Nettoeintrag je Tag, Ernte-Ereignisse, Saisonertrag, Einfluss des Wetters – Vergleich der Standorte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 xml:space="preserve">umgesetzt (H1, </w:t>
            </w:r>
            <w:r>
              <w:rPr>
                <w:rFonts w:ascii="Courier New" w:hAnsi="Courier New"/>
                <w:sz w:val="17"/>
              </w:rPr>
              <w:t>06_vergleich_standorte</w:t>
            </w:r>
            <w:r>
              <w:rPr>
                <w:sz w:val="19"/>
              </w:rPr>
              <w:t>, Grafik v1)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I73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Datenminimierung Gold: nur Wettergrößen, die die Analyse nutzt (Rohantwort 32 → Silver 20 → Gold 11 Spalten); Feuchte über Abstand Temperatur − Taupunkt statt relativer Luftfeuchte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Projektteam_Befund (Prüfung 01.10.)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 (Begründung PH Kap. 8.9)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I74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Gegenprobe als fester Testschritt: „Erfolgreich“ heißt nur „kein Abbruch“ – Löschen ohne Treffer meldet ebenfalls Erfolg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Projektteam_Befund (Test 01.10.)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 (AN-ITS-001 Schritte 33–35)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I75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Zeitplan-Trigger anlegen, aber deaktiviert lassen; nur für Tests befristet aktivieren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Projektträger (Kurs 05.10.) / Projektleitung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 02.10.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I76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Lieferungen der Kursleitung mit eigenen Daten vergleichen (Prüfsummen, Zeilen, Zeiträume) – Abweichungen dokumentieren (Würzburg-flow ohne 00-Uhr-Stunde)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Projektträger (New Data Drop 01.10.)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umgesetzt</w:t>
            </w:r>
          </w:p>
        </w:tc>
      </w:tr>
    </w:tbl>
    <w:p>
      <w:pPr>
        <w:spacing w:after="0" w:line="2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7"/>
        <w:gridCol w:w="2611"/>
        <w:gridCol w:w="2347"/>
        <w:gridCol w:w="1413"/>
        <w:gridCol w:w="2383"/>
      </w:tblGrid>
      <w:tr>
        <w:trPr>
          <w:tblHeader/>
          <w:cantSplit/>
        </w:trPr>
        <w:tc>
          <w:tcPr>
            <w:tcW w:type="dxa" w:w="9411"/>
            <w:gridSpan w:val="5"/>
            <w:tcBorders>
              <w:top w:val="nil"/>
              <w:left w:val="nil"/>
              <w:right w:val="nil"/>
            </w:tcBorders>
          </w:tcPr>
          <w:p>
            <w:pPr>
              <w:pStyle w:val="Heading2"/>
              <w:spacing w:before="200" w:after="60"/>
            </w:pPr>
            <w:r>
              <w:t>02.10.2026 – Würzburg in Azure, Trigger, Warnregeln</w:t>
            </w:r>
          </w:p>
        </w:tc>
      </w:tr>
      <w:tr>
        <w:trPr>
          <w:tblHeader/>
        </w:trPr>
        <w:tc>
          <w:tcPr>
            <w:tcW w:type="dxa" w:w="657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Nr.</w:t>
            </w:r>
          </w:p>
        </w:tc>
        <w:tc>
          <w:tcPr>
            <w:tcW w:type="dxa" w:w="261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Idee / Leitfrage</w:t>
            </w:r>
          </w:p>
        </w:tc>
        <w:tc>
          <w:tcPr>
            <w:tcW w:type="dxa" w:w="2347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Herkunft</w:t>
            </w:r>
          </w:p>
        </w:tc>
        <w:tc>
          <w:tcPr>
            <w:tcW w:type="dxa" w:w="1413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To-do (wer)</w:t>
            </w:r>
          </w:p>
        </w:tc>
        <w:tc>
          <w:tcPr>
            <w:tcW w:type="dxa" w:w="2383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Stand / Verweis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I77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Synapse-Import absichern: nach dem Import Inhalt stichprobenartig prüfen (z. B. eine neue Zeile suchen); langfristig Git-Anbindung des Synapse-Arbeitsbereichs statt Import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Projektteam_Befund (Import 02.10.)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Folgeprojekt FP-1 (zusammen mit I66)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I78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Gegenprobe Azure ↔ lokal automatisieren: Zeilenzahl und CSV-Größe je Gold-Datei als Rückgabewert des Notebooks (siehe I68)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Projektteam_Befund (Parquet ±0,5 %)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Folgeprojekt FP-1 (zusammen mit I68)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I79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Trigger zeitlich befristet aktivieren (Enddatum) statt dauerhaft – passt zu kurzen Test- und Kursphasen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Projektteam_Befund (Trigger 02.10.)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Folgeprojekt FP-1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I80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 xml:space="preserve">Warn-E-Mail bei ungewöhnlichem Gewichtsverlust (Ernte-Regel aus </w:t>
            </w:r>
            <w:r>
              <w:rPr>
                <w:rFonts w:ascii="Courier New" w:hAnsi="Courier New"/>
                <w:sz w:val="17"/>
              </w:rPr>
              <w:t>06_vergleich_standorte</w:t>
            </w:r>
            <w:r>
              <w:rPr>
                <w:sz w:val="19"/>
              </w:rPr>
              <w:t>) als fachliche Warnung für die Imkerei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Projektteam_Befund (Honig-Kennzahlen)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Folgeprojekt FP-2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I81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 xml:space="preserve">Checkliste „neues Abonnement“: benötigte Ressourcenanbieter (z. B. </w:t>
            </w:r>
            <w:r>
              <w:rPr>
                <w:rFonts w:ascii="Courier New" w:hAnsi="Courier New"/>
                <w:sz w:val="17"/>
              </w:rPr>
              <w:t>microsoft.insights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Microsoft.Synapse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Microsoft.DataFactory</w:t>
            </w:r>
            <w:r>
              <w:rPr>
                <w:sz w:val="19"/>
              </w:rPr>
              <w:t>) vorab registrieren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Projektteam_Befund (MissingSubscriptionRegistration)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 xml:space="preserve">umgesetzt (Vorlage VL-ITS-002 in </w:t>
            </w:r>
            <w:r>
              <w:rPr>
                <w:rFonts w:ascii="Courier New" w:hAnsi="Courier New"/>
                <w:sz w:val="17"/>
              </w:rPr>
              <w:t>06_vorlagen</w:t>
            </w:r>
            <w:r>
              <w:rPr>
                <w:sz w:val="19"/>
              </w:rPr>
              <w:t>)</w:t>
            </w:r>
          </w:p>
        </w:tc>
      </w:tr>
    </w:tbl>
    <w:p>
      <w:pPr>
        <w:spacing w:after="0" w:line="2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7"/>
        <w:gridCol w:w="2611"/>
        <w:gridCol w:w="2347"/>
        <w:gridCol w:w="1413"/>
        <w:gridCol w:w="2383"/>
      </w:tblGrid>
      <w:tr>
        <w:trPr>
          <w:tblHeader/>
          <w:cantSplit/>
        </w:trPr>
        <w:tc>
          <w:tcPr>
            <w:tcW w:type="dxa" w:w="9411"/>
            <w:gridSpan w:val="5"/>
            <w:tcBorders>
              <w:top w:val="nil"/>
              <w:left w:val="nil"/>
              <w:right w:val="nil"/>
            </w:tcBorders>
          </w:tcPr>
          <w:p>
            <w:pPr>
              <w:pStyle w:val="Heading2"/>
              <w:spacing w:before="200" w:after="60"/>
            </w:pPr>
            <w:r>
              <w:t>05.10.2026 – Abgleich zum Projektabschluss</w:t>
            </w:r>
          </w:p>
        </w:tc>
      </w:tr>
      <w:tr>
        <w:trPr>
          <w:tblHeader/>
        </w:trPr>
        <w:tc>
          <w:tcPr>
            <w:tcW w:type="dxa" w:w="657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Nr.</w:t>
            </w:r>
          </w:p>
        </w:tc>
        <w:tc>
          <w:tcPr>
            <w:tcW w:type="dxa" w:w="261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Idee / Leitfrage</w:t>
            </w:r>
          </w:p>
        </w:tc>
        <w:tc>
          <w:tcPr>
            <w:tcW w:type="dxa" w:w="2347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Herkunft</w:t>
            </w:r>
          </w:p>
        </w:tc>
        <w:tc>
          <w:tcPr>
            <w:tcW w:type="dxa" w:w="1413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To-do (wer)</w:t>
            </w:r>
          </w:p>
        </w:tc>
        <w:tc>
          <w:tcPr>
            <w:tcW w:type="dxa" w:w="2383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Stand / Verweis</w:t>
            </w:r>
          </w:p>
        </w:tc>
      </w:tr>
      <w:tr>
        <w:trPr/>
        <w:tc>
          <w:tcPr>
            <w:tcW w:type="dxa" w:w="657"/>
          </w:tcPr>
          <w:p>
            <w:pPr>
              <w:spacing w:after="0"/>
            </w:pPr>
            <w:r>
              <w:rPr>
                <w:sz w:val="19"/>
              </w:rPr>
              <w:t>I82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sz w:val="19"/>
              </w:rPr>
              <w:t>Inkrementelle Verarbeitung: je Lauf nur neue Tage statt aller 2,5 Jahre bereinigen und anreichern – weniger Spark-Zeit, betriebliches Einsparungspotenzial</w:t>
            </w:r>
          </w:p>
        </w:tc>
        <w:tc>
          <w:tcPr>
            <w:tcW w:type="dxa" w:w="2347"/>
          </w:tcPr>
          <w:p>
            <w:pPr>
              <w:spacing w:after="0"/>
            </w:pPr>
            <w:r>
              <w:rPr>
                <w:sz w:val="19"/>
              </w:rPr>
              <w:t>Projektteam_Befund (Laufzeiten 01./02.10.: Silver-Stufe 8 Min. für zwei Städte)</w:t>
            </w:r>
          </w:p>
        </w:tc>
        <w:tc>
          <w:tcPr>
            <w:tcW w:type="dxa" w:w="1413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2383"/>
          </w:tcPr>
          <w:p>
            <w:pPr>
              <w:spacing w:after="0"/>
            </w:pPr>
            <w:r>
              <w:rPr>
                <w:sz w:val="19"/>
              </w:rPr>
              <w:t>Folgeprojekt FP-1</w:t>
            </w:r>
          </w:p>
        </w:tc>
      </w:tr>
    </w:tbl>
    <w:p>
      <w:pPr>
        <w:spacing w:after="0" w:line="20" w:lineRule="exact"/>
      </w:pPr>
    </w:p>
    <w:p>
      <w:pPr>
        <w:pStyle w:val="Heading1"/>
        <w:pageBreakBefore/>
      </w:pPr>
      <w:r>
        <w:t>6. Konzeptgedanken Datenpipeline</w:t>
      </w:r>
    </w:p>
    <w:p>
      <w:pPr>
        <w:spacing w:after="0" w:line="20" w:lineRule="exact"/>
      </w:pPr>
    </w:p>
    <w:p>
      <w:r>
        <w:t>Die Konzeptgedanken sammeln Varianten, bevor sie im Projektplan (Kap. 4 Konzept Datenpipeline) ausgearbeitet und festgelegt werden.</w:t>
      </w:r>
    </w:p>
    <w:p>
      <w:r>
        <w:rPr>
          <w:b/>
        </w:rPr>
        <w:t>K1 – Zielbild:</w:t>
      </w:r>
      <w:r>
        <w:t xml:space="preserve"> Ein Zeitplan (Trigger) startet die gesamte Kette Rohdaten → Bronze → Silver → Gold ohne manuelle Zwischenschritte; jede Lieferung wird zum Schluss archiviert. Fehler und Kosten werden gemeldet.</w:t>
      </w:r>
    </w:p>
    <w:p>
      <w:r>
        <w:rPr>
          <w:b/>
        </w:rPr>
        <w:t>K2 – Wo laufen die Notebooks (Bereinigung, Wetter, Analyse) in Azure?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6"/>
        <w:gridCol w:w="2981"/>
        <w:gridCol w:w="2824"/>
      </w:tblGrid>
      <w:tr>
        <w:trPr>
          <w:tblHeader/>
        </w:trPr>
        <w:tc>
          <w:tcPr>
            <w:tcW w:type="dxa" w:w="3606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Variante</w:t>
            </w:r>
          </w:p>
        </w:tc>
        <w:tc>
          <w:tcPr>
            <w:tcW w:type="dxa" w:w="298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Vorteil</w:t>
            </w:r>
          </w:p>
        </w:tc>
        <w:tc>
          <w:tcPr>
            <w:tcW w:type="dxa" w:w="2824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Nachteil</w:t>
            </w:r>
          </w:p>
        </w:tc>
      </w:tr>
      <w:tr>
        <w:trPr/>
        <w:tc>
          <w:tcPr>
            <w:tcW w:type="dxa" w:w="3606"/>
          </w:tcPr>
          <w:p>
            <w:pPr>
              <w:spacing w:after="0"/>
            </w:pPr>
            <w:r>
              <w:rPr>
                <w:sz w:val="19"/>
              </w:rPr>
              <w:t>a) Synapse-Notebook als Aktivität in der Data Factory</w:t>
            </w:r>
          </w:p>
        </w:tc>
        <w:tc>
          <w:tcPr>
            <w:tcW w:type="dxa" w:w="2981"/>
          </w:tcPr>
          <w:p>
            <w:pPr>
              <w:spacing w:after="0"/>
            </w:pPr>
            <w:r>
              <w:rPr>
                <w:sz w:val="19"/>
              </w:rPr>
              <w:t>Standard der Vorgabe, eng mit Data Factory und Data Lake verbunden, Parameter übergebbar</w:t>
            </w:r>
          </w:p>
        </w:tc>
        <w:tc>
          <w:tcPr>
            <w:tcW w:type="dxa" w:w="2824"/>
          </w:tcPr>
          <w:p>
            <w:pPr>
              <w:spacing w:after="0"/>
            </w:pPr>
            <w:r>
              <w:rPr>
                <w:sz w:val="19"/>
              </w:rPr>
              <w:t>eigener Synapse-Arbeitsbereich und Spark-Pool nötig → Kosten je Lauf</w:t>
            </w:r>
          </w:p>
        </w:tc>
      </w:tr>
      <w:tr>
        <w:trPr/>
        <w:tc>
          <w:tcPr>
            <w:tcW w:type="dxa" w:w="3606"/>
          </w:tcPr>
          <w:p>
            <w:pPr>
              <w:spacing w:after="0"/>
            </w:pPr>
            <w:r>
              <w:rPr>
                <w:sz w:val="19"/>
              </w:rPr>
              <w:t>b) Azure Databricks</w:t>
            </w:r>
          </w:p>
        </w:tc>
        <w:tc>
          <w:tcPr>
            <w:tcW w:type="dxa" w:w="2981"/>
          </w:tcPr>
          <w:p>
            <w:pPr>
              <w:spacing w:after="0"/>
            </w:pPr>
            <w:r>
              <w:rPr>
                <w:sz w:val="19"/>
              </w:rPr>
              <w:t>in der Praxis weit verbreitet</w:t>
            </w:r>
          </w:p>
        </w:tc>
        <w:tc>
          <w:tcPr>
            <w:tcW w:type="dxa" w:w="2824"/>
          </w:tcPr>
          <w:p>
            <w:pPr>
              <w:spacing w:after="0"/>
            </w:pPr>
            <w:r>
              <w:rPr>
                <w:sz w:val="19"/>
              </w:rPr>
              <w:t>zusätzlicher Dienst, Testphase nur 14 Tage, zusätzliche Kosten</w:t>
            </w:r>
          </w:p>
        </w:tc>
      </w:tr>
      <w:tr>
        <w:trPr/>
        <w:tc>
          <w:tcPr>
            <w:tcW w:type="dxa" w:w="3606"/>
          </w:tcPr>
          <w:p>
            <w:pPr>
              <w:spacing w:after="0"/>
            </w:pPr>
            <w:r>
              <w:rPr>
                <w:sz w:val="19"/>
              </w:rPr>
              <w:t>c) Skript als Azure Function oder lokal</w:t>
            </w:r>
          </w:p>
        </w:tc>
        <w:tc>
          <w:tcPr>
            <w:tcW w:type="dxa" w:w="2981"/>
          </w:tcPr>
          <w:p>
            <w:pPr>
              <w:spacing w:after="0"/>
            </w:pPr>
            <w:r>
              <w:rPr>
                <w:sz w:val="19"/>
              </w:rPr>
              <w:t>günstig</w:t>
            </w:r>
          </w:p>
        </w:tc>
        <w:tc>
          <w:tcPr>
            <w:tcW w:type="dxa" w:w="2824"/>
          </w:tcPr>
          <w:p>
            <w:pPr>
              <w:spacing w:after="0"/>
            </w:pPr>
            <w:r>
              <w:rPr>
                <w:sz w:val="19"/>
              </w:rPr>
              <w:t>weniger pipeline-typisch, mehr Eigenbau, nicht im Monitor der Data Factory</w:t>
            </w:r>
          </w:p>
        </w:tc>
      </w:tr>
    </w:tbl>
    <w:p>
      <w:pPr>
        <w:spacing w:after="0" w:line="20" w:lineRule="exact"/>
      </w:pPr>
    </w:p>
    <w:p>
      <w:r>
        <w:t xml:space="preserve">Tendenz: a) – Notebooks lokal fertig entwickeln, erst danach mit Kostenschätzung nach Azure. </w:t>
      </w:r>
      <w:r>
        <w:rPr>
          <w:b/>
        </w:rPr>
        <w:t>Ergebnis:</w:t>
      </w:r>
      <w:r>
        <w:t xml:space="preserve"> a) umgesetzt (PP Kap. 4).</w:t>
      </w:r>
    </w:p>
    <w:p>
      <w:r>
        <w:rPr>
          <w:b/>
        </w:rPr>
        <w:t>K3 – Wie wird die Kette aufgebaut?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6"/>
        <w:gridCol w:w="2981"/>
        <w:gridCol w:w="2824"/>
      </w:tblGrid>
      <w:tr>
        <w:trPr>
          <w:tblHeader/>
        </w:trPr>
        <w:tc>
          <w:tcPr>
            <w:tcW w:type="dxa" w:w="3606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Variante</w:t>
            </w:r>
          </w:p>
        </w:tc>
        <w:tc>
          <w:tcPr>
            <w:tcW w:type="dxa" w:w="298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Vorteil</w:t>
            </w:r>
          </w:p>
        </w:tc>
        <w:tc>
          <w:tcPr>
            <w:tcW w:type="dxa" w:w="2824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Nachteil</w:t>
            </w:r>
          </w:p>
        </w:tc>
      </w:tr>
      <w:tr>
        <w:trPr/>
        <w:tc>
          <w:tcPr>
            <w:tcW w:type="dxa" w:w="3606"/>
          </w:tcPr>
          <w:p>
            <w:pPr>
              <w:spacing w:after="0"/>
            </w:pPr>
            <w:r>
              <w:rPr>
                <w:sz w:val="19"/>
              </w:rPr>
              <w:t>1) Eine Notebook-Aktivität für alle Schritte</w:t>
            </w:r>
          </w:p>
        </w:tc>
        <w:tc>
          <w:tcPr>
            <w:tcW w:type="dxa" w:w="2981"/>
          </w:tcPr>
          <w:p>
            <w:pPr>
              <w:spacing w:after="0"/>
            </w:pPr>
            <w:r>
              <w:rPr>
                <w:sz w:val="19"/>
              </w:rPr>
              <w:t>nur ein Spark-Start, günstiger</w:t>
            </w:r>
          </w:p>
        </w:tc>
        <w:tc>
          <w:tcPr>
            <w:tcW w:type="dxa" w:w="2824"/>
          </w:tcPr>
          <w:p>
            <w:pPr>
              <w:spacing w:after="0"/>
            </w:pPr>
            <w:r>
              <w:rPr>
                <w:sz w:val="19"/>
              </w:rPr>
              <w:t>Fehler schwer zu finden, Neustart nur komplett, Stufen vermischt</w:t>
            </w:r>
          </w:p>
        </w:tc>
      </w:tr>
      <w:tr>
        <w:trPr/>
        <w:tc>
          <w:tcPr>
            <w:tcW w:type="dxa" w:w="3606"/>
          </w:tcPr>
          <w:p>
            <w:pPr>
              <w:spacing w:after="0"/>
            </w:pPr>
            <w:r>
              <w:rPr>
                <w:sz w:val="19"/>
              </w:rPr>
              <w:t>2) Stufen getrennt (Bronze, Silver, Gold je eigene Pipeline), Notebooks einzeln als Aktivitäten hintereinander, Archiv zuletzt</w:t>
            </w:r>
          </w:p>
        </w:tc>
        <w:tc>
          <w:tcPr>
            <w:tcW w:type="dxa" w:w="2981"/>
          </w:tcPr>
          <w:p>
            <w:pPr>
              <w:spacing w:after="0"/>
            </w:pPr>
            <w:r>
              <w:rPr>
                <w:sz w:val="19"/>
              </w:rPr>
              <w:t xml:space="preserve">jeder Schritt im Monitor sichtbar, Neustart ab Fehler, bei Fehler bleiben die Daten in </w:t>
            </w:r>
            <w:r>
              <w:rPr>
                <w:rFonts w:ascii="Courier New" w:hAnsi="Courier New"/>
                <w:sz w:val="17"/>
              </w:rPr>
              <w:t>bronze/new</w:t>
            </w:r>
          </w:p>
        </w:tc>
        <w:tc>
          <w:tcPr>
            <w:tcW w:type="dxa" w:w="2824"/>
          </w:tcPr>
          <w:p>
            <w:pPr>
              <w:spacing w:after="0"/>
            </w:pPr>
            <w:r>
              <w:rPr>
                <w:sz w:val="19"/>
              </w:rPr>
              <w:t>ein Spark-Start je Aktivität (Startzeit, Kosten), Übergabe zwischen Notebooks über Dateien</w:t>
            </w:r>
          </w:p>
        </w:tc>
      </w:tr>
    </w:tbl>
    <w:p>
      <w:pPr>
        <w:spacing w:after="0" w:line="20" w:lineRule="exact"/>
      </w:pPr>
    </w:p>
    <w:p>
      <w:r>
        <w:t xml:space="preserve">Tendenz: 2) – Nachvollziehbarkeit vor Kosten, Kosten werden vor dem ersten Lauf beziffert. </w:t>
      </w:r>
      <w:r>
        <w:rPr>
          <w:b/>
        </w:rPr>
        <w:t>Ergebnis:</w:t>
      </w:r>
      <w:r>
        <w:t xml:space="preserve"> 2) für die Stufen umgesetzt; Notebooks je Stufe nach K6 c.</w:t>
      </w:r>
    </w:p>
    <w:p>
      <w:r>
        <w:rPr>
          <w:b/>
        </w:rPr>
        <w:t>K4 – Weitere Standorte:</w:t>
      </w:r>
      <w:r>
        <w:t xml:space="preserve"> Standort als Parameter (</w:t>
      </w:r>
      <w:r>
        <w:rPr>
          <w:rFonts w:ascii="Courier New" w:hAnsi="Courier New"/>
          <w:sz w:val="19"/>
        </w:rPr>
        <w:t>STADT</w:t>
      </w:r>
      <w:r>
        <w:t xml:space="preserve">) mit Standort-Tabelle (Koordinaten, Zeitzone) statt fest eingetragener Werte; in der Data Factory eine Schleife je Standort (Get Metadata + ForEach). </w:t>
      </w:r>
      <w:r>
        <w:rPr>
          <w:b/>
        </w:rPr>
        <w:t>Ergebnis:</w:t>
      </w:r>
      <w:r>
        <w:t xml:space="preserve"> umgesetzt; ergänzt um Standortregeln in </w:t>
      </w:r>
      <w:r>
        <w:rPr>
          <w:rFonts w:ascii="Courier New" w:hAnsi="Courier New"/>
          <w:sz w:val="19"/>
        </w:rPr>
        <w:t>sensoren.csv</w:t>
      </w:r>
      <w:r>
        <w:t xml:space="preserve"> und </w:t>
      </w:r>
      <w:r>
        <w:rPr>
          <w:rFonts w:ascii="Courier New" w:hAnsi="Courier New"/>
          <w:sz w:val="19"/>
        </w:rPr>
        <w:t>ausschluesse.csv</w:t>
      </w:r>
      <w:r>
        <w:t xml:space="preserve"> (I71).</w:t>
      </w:r>
    </w:p>
    <w:p>
      <w:r>
        <w:rPr>
          <w:b/>
        </w:rPr>
        <w:t>K5 – Namen:</w:t>
      </w:r>
      <w:r>
        <w:t xml:space="preserve"> Pipelines englisch mit Präfix </w:t>
      </w:r>
      <w:r>
        <w:rPr>
          <w:rFonts w:ascii="Courier New" w:hAnsi="Courier New"/>
          <w:sz w:val="19"/>
        </w:rPr>
        <w:t>pl_</w:t>
      </w:r>
      <w:r>
        <w:t>, Aktivitäten deutsch und sprechend (</w:t>
      </w:r>
      <w:r>
        <w:rPr>
          <w:rFonts w:ascii="Courier New" w:hAnsi="Courier New"/>
          <w:sz w:val="19"/>
        </w:rPr>
        <w:t>rohdaten_nach_bronze</w:t>
      </w:r>
      <w:r>
        <w:t xml:space="preserve"> …), ohne Umlaute und Sonderzeichen. </w:t>
      </w:r>
      <w:r>
        <w:rPr>
          <w:b/>
        </w:rPr>
        <w:t>Ergebnis:</w:t>
      </w:r>
      <w:r>
        <w:t xml:space="preserve"> umgesetzt.</w:t>
      </w:r>
    </w:p>
    <w:p>
      <w:r>
        <w:rPr>
          <w:b/>
        </w:rPr>
        <w:t>K6 – Wie laufen die Notebooks in der Pipeline? (30.09.2026, ergänzt K3)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6"/>
        <w:gridCol w:w="2981"/>
        <w:gridCol w:w="2824"/>
      </w:tblGrid>
      <w:tr>
        <w:trPr>
          <w:tblHeader/>
        </w:trPr>
        <w:tc>
          <w:tcPr>
            <w:tcW w:type="dxa" w:w="3606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Variante</w:t>
            </w:r>
          </w:p>
        </w:tc>
        <w:tc>
          <w:tcPr>
            <w:tcW w:type="dxa" w:w="298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Vorteil</w:t>
            </w:r>
          </w:p>
        </w:tc>
        <w:tc>
          <w:tcPr>
            <w:tcW w:type="dxa" w:w="2824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Nachteil</w:t>
            </w:r>
          </w:p>
        </w:tc>
      </w:tr>
      <w:tr>
        <w:trPr/>
        <w:tc>
          <w:tcPr>
            <w:tcW w:type="dxa" w:w="3606"/>
          </w:tcPr>
          <w:p>
            <w:pPr>
              <w:spacing w:after="0"/>
            </w:pPr>
            <w:r>
              <w:rPr>
                <w:sz w:val="19"/>
              </w:rPr>
              <w:t>a) jedes Notebook als eigene Aktivität</w:t>
            </w:r>
          </w:p>
        </w:tc>
        <w:tc>
          <w:tcPr>
            <w:tcW w:type="dxa" w:w="2981"/>
          </w:tcPr>
          <w:p>
            <w:pPr>
              <w:spacing w:after="0"/>
            </w:pPr>
            <w:r>
              <w:rPr>
                <w:sz w:val="19"/>
              </w:rPr>
              <w:t>jeder Schritt im Monitor sichtbar, Neustart ab Fehler</w:t>
            </w:r>
          </w:p>
        </w:tc>
        <w:tc>
          <w:tcPr>
            <w:tcW w:type="dxa" w:w="2824"/>
          </w:tcPr>
          <w:p>
            <w:pPr>
              <w:spacing w:after="0"/>
            </w:pPr>
            <w:r>
              <w:rPr>
                <w:sz w:val="19"/>
              </w:rPr>
              <w:t>eine Spark-Sitzung je Notebook → Startzeit und Kosten mehrfach</w:t>
            </w:r>
          </w:p>
        </w:tc>
      </w:tr>
      <w:tr>
        <w:trPr/>
        <w:tc>
          <w:tcPr>
            <w:tcW w:type="dxa" w:w="3606"/>
          </w:tcPr>
          <w:p>
            <w:pPr>
              <w:spacing w:after="0"/>
            </w:pPr>
            <w:r>
              <w:rPr>
                <w:sz w:val="19"/>
              </w:rPr>
              <w:t>b) ein zusammengeführtes Automatisierungs-Notebook (Kurs-Notebook 04)</w:t>
            </w:r>
          </w:p>
        </w:tc>
        <w:tc>
          <w:tcPr>
            <w:tcW w:type="dxa" w:w="2981"/>
          </w:tcPr>
          <w:p>
            <w:pPr>
              <w:spacing w:after="0"/>
            </w:pPr>
            <w:r>
              <w:rPr>
                <w:sz w:val="19"/>
              </w:rPr>
              <w:t>eine Sitzung, günstig</w:t>
            </w:r>
          </w:p>
        </w:tc>
        <w:tc>
          <w:tcPr>
            <w:tcW w:type="dxa" w:w="2824"/>
          </w:tcPr>
          <w:p>
            <w:pPr>
              <w:spacing w:after="0"/>
            </w:pPr>
            <w:r>
              <w:rPr>
                <w:sz w:val="19"/>
              </w:rPr>
              <w:t>langes Notebook, Fehlersuche schwerer, Regeländerung betrifft alles</w:t>
            </w:r>
          </w:p>
        </w:tc>
      </w:tr>
      <w:tr>
        <w:trPr/>
        <w:tc>
          <w:tcPr>
            <w:tcW w:type="dxa" w:w="3606"/>
          </w:tcPr>
          <w:p>
            <w:pPr>
              <w:spacing w:after="0"/>
            </w:pPr>
            <w:r>
              <w:rPr>
                <w:sz w:val="19"/>
              </w:rPr>
              <w:t xml:space="preserve">c) Steuer-Notebook startet die Einzel-Notebooks mit </w:t>
            </w:r>
            <w:r>
              <w:rPr>
                <w:rFonts w:ascii="Courier New" w:hAnsi="Courier New"/>
                <w:sz w:val="17"/>
              </w:rPr>
              <w:t>mssparkutils.notebook.runMultiple()</w:t>
            </w:r>
            <w:r>
              <w:rPr>
                <w:sz w:val="19"/>
              </w:rPr>
              <w:t xml:space="preserve"> in </w:t>
            </w:r>
            <w:r>
              <w:rPr>
                <w:b/>
                <w:sz w:val="19"/>
              </w:rPr>
              <w:t>einer</w:t>
            </w:r>
            <w:r>
              <w:rPr>
                <w:sz w:val="19"/>
              </w:rPr>
              <w:t xml:space="preserve"> Sitzung; Pipeline mit zwei Aktivitäten (Silver, Gold)</w:t>
            </w:r>
          </w:p>
        </w:tc>
        <w:tc>
          <w:tcPr>
            <w:tcW w:type="dxa" w:w="2981"/>
          </w:tcPr>
          <w:p>
            <w:pPr>
              <w:spacing w:after="0"/>
            </w:pPr>
            <w:r>
              <w:rPr>
                <w:sz w:val="19"/>
              </w:rPr>
              <w:t>Notebooks bleiben einzeln und übersichtlich, nur eine Sitzung je Stufe, Schnappschuss je Teil-Notebook</w:t>
            </w:r>
          </w:p>
        </w:tc>
        <w:tc>
          <w:tcPr>
            <w:tcW w:type="dxa" w:w="2824"/>
          </w:tcPr>
          <w:p>
            <w:pPr>
              <w:spacing w:after="0"/>
            </w:pPr>
            <w:r>
              <w:rPr>
                <w:sz w:val="19"/>
              </w:rPr>
              <w:t>ein Notebook mehr; im Monitor nur die Stufe sichtbar; Fehler → Stufe startet neu</w:t>
            </w:r>
          </w:p>
        </w:tc>
      </w:tr>
    </w:tbl>
    <w:p>
      <w:pPr>
        <w:spacing w:after="0" w:line="20" w:lineRule="exact"/>
      </w:pPr>
    </w:p>
    <w:p>
      <w:r>
        <w:t xml:space="preserve">Tendenz: c) (Microsoft Learn „Microsoft Spark Utilities“, „Synapse notebook activity“). </w:t>
      </w:r>
      <w:r>
        <w:rPr>
          <w:b/>
        </w:rPr>
        <w:t>Ergebnis:</w:t>
      </w:r>
      <w:r>
        <w:t xml:space="preserve"> c) umgesetzt (</w:t>
      </w:r>
      <w:r>
        <w:rPr>
          <w:rFonts w:ascii="Courier New" w:hAnsi="Courier New"/>
          <w:sz w:val="19"/>
        </w:rPr>
        <w:t>00_steuerung_silver</w:t>
      </w:r>
      <w:r>
        <w:t xml:space="preserve">, </w:t>
      </w:r>
      <w:r>
        <w:rPr>
          <w:rFonts w:ascii="Courier New" w:hAnsi="Courier New"/>
          <w:sz w:val="19"/>
        </w:rPr>
        <w:t>n4_gold</w:t>
      </w:r>
      <w:r>
        <w:t>).</w:t>
      </w:r>
    </w:p>
    <w:p>
      <w:r>
        <w:rPr>
          <w:b/>
        </w:rPr>
        <w:t>K7 – Was passiert, wenn ein Notebook in der Pipeline scheitert? (30.09.2026, Kurs 8.19)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6"/>
        <w:gridCol w:w="2981"/>
        <w:gridCol w:w="2824"/>
      </w:tblGrid>
      <w:tr>
        <w:trPr>
          <w:tblHeader/>
        </w:trPr>
        <w:tc>
          <w:tcPr>
            <w:tcW w:type="dxa" w:w="3606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Variante</w:t>
            </w:r>
          </w:p>
        </w:tc>
        <w:tc>
          <w:tcPr>
            <w:tcW w:type="dxa" w:w="298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Vorteil</w:t>
            </w:r>
          </w:p>
        </w:tc>
        <w:tc>
          <w:tcPr>
            <w:tcW w:type="dxa" w:w="2824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Nachteil</w:t>
            </w:r>
          </w:p>
        </w:tc>
      </w:tr>
      <w:tr>
        <w:trPr/>
        <w:tc>
          <w:tcPr>
            <w:tcW w:type="dxa" w:w="3606"/>
          </w:tcPr>
          <w:p>
            <w:pPr>
              <w:spacing w:after="0"/>
            </w:pPr>
            <w:r>
              <w:rPr>
                <w:sz w:val="19"/>
              </w:rPr>
              <w:t xml:space="preserve">a) Heute: Kette bricht ab, Rohdaten bleiben in </w:t>
            </w:r>
            <w:r>
              <w:rPr>
                <w:rFonts w:ascii="Courier New" w:hAnsi="Courier New"/>
                <w:sz w:val="17"/>
              </w:rPr>
              <w:t>bronze/new</w:t>
            </w:r>
            <w:r>
              <w:rPr>
                <w:sz w:val="19"/>
              </w:rPr>
              <w:t>, Archiv läuft nicht</w:t>
            </w:r>
          </w:p>
        </w:tc>
        <w:tc>
          <w:tcPr>
            <w:tcW w:type="dxa" w:w="2981"/>
          </w:tcPr>
          <w:p>
            <w:pPr>
              <w:spacing w:after="0"/>
            </w:pPr>
            <w:r>
              <w:rPr>
                <w:sz w:val="19"/>
              </w:rPr>
              <w:t>einfach, nichts geht verloren, nächster Lauf wiederholt alles</w:t>
            </w:r>
          </w:p>
        </w:tc>
        <w:tc>
          <w:tcPr>
            <w:tcW w:type="dxa" w:w="2824"/>
          </w:tcPr>
          <w:p>
            <w:pPr>
              <w:spacing w:after="0"/>
            </w:pPr>
            <w:r>
              <w:rPr>
                <w:sz w:val="19"/>
              </w:rPr>
              <w:t>kein Hinweis an Menschen; halbfertige Ergebnisse bleiben liegen</w:t>
            </w:r>
          </w:p>
        </w:tc>
      </w:tr>
      <w:tr>
        <w:trPr/>
        <w:tc>
          <w:tcPr>
            <w:tcW w:type="dxa" w:w="3606"/>
          </w:tcPr>
          <w:p>
            <w:pPr>
              <w:spacing w:after="0"/>
            </w:pPr>
            <w:r>
              <w:rPr>
                <w:sz w:val="19"/>
              </w:rPr>
              <w:t xml:space="preserve">b) Fehlerpfad in der Pipeline (Abhängigkeit „bei Fehler“): Dateien aus </w:t>
            </w:r>
            <w:r>
              <w:rPr>
                <w:rFonts w:ascii="Courier New" w:hAnsi="Courier New"/>
                <w:sz w:val="17"/>
              </w:rPr>
              <w:t>silver/processing</w:t>
            </w:r>
            <w:r>
              <w:rPr>
                <w:sz w:val="19"/>
              </w:rPr>
              <w:t xml:space="preserve"> nach </w:t>
            </w:r>
            <w:r>
              <w:rPr>
                <w:rFonts w:ascii="Courier New" w:hAnsi="Courier New"/>
                <w:sz w:val="17"/>
              </w:rPr>
              <w:t>silver/fehler/&lt;UTC&gt;/</w:t>
            </w:r>
            <w:r>
              <w:rPr>
                <w:sz w:val="19"/>
              </w:rPr>
              <w:t xml:space="preserve"> verschieben, Meldung per Azure Monitor</w:t>
            </w:r>
          </w:p>
        </w:tc>
        <w:tc>
          <w:tcPr>
            <w:tcW w:type="dxa" w:w="2981"/>
          </w:tcPr>
          <w:p>
            <w:pPr>
              <w:spacing w:after="0"/>
            </w:pPr>
            <w:r>
              <w:rPr>
                <w:sz w:val="19"/>
              </w:rPr>
              <w:t>Fehlerfall sichtbar und prüfbar, Kurs-Vorgabe</w:t>
            </w:r>
          </w:p>
        </w:tc>
        <w:tc>
          <w:tcPr>
            <w:tcW w:type="dxa" w:w="2824"/>
          </w:tcPr>
          <w:p>
            <w:pPr>
              <w:spacing w:after="0"/>
            </w:pPr>
            <w:r>
              <w:rPr>
                <w:sz w:val="19"/>
              </w:rPr>
              <w:t>mehr Aktivitäten, Ordner muss aufgeräumt werden</w:t>
            </w:r>
          </w:p>
        </w:tc>
      </w:tr>
      <w:tr>
        <w:trPr/>
        <w:tc>
          <w:tcPr>
            <w:tcW w:type="dxa" w:w="3606"/>
          </w:tcPr>
          <w:p>
            <w:pPr>
              <w:spacing w:after="0"/>
            </w:pPr>
            <w:r>
              <w:rPr>
                <w:sz w:val="19"/>
              </w:rPr>
              <w:t xml:space="preserve">c) Notebooks schreiben zuerst in einen Arbeitsordner und verschieben erst am Ende nach </w:t>
            </w:r>
            <w:r>
              <w:rPr>
                <w:rFonts w:ascii="Courier New" w:hAnsi="Courier New"/>
                <w:sz w:val="17"/>
              </w:rPr>
              <w:t>cleaned</w:t>
            </w:r>
            <w:r>
              <w:rPr>
                <w:sz w:val="19"/>
              </w:rPr>
              <w:t xml:space="preserve"> bzw. </w:t>
            </w:r>
            <w:r>
              <w:rPr>
                <w:rFonts w:ascii="Courier New" w:hAnsi="Courier New"/>
                <w:sz w:val="17"/>
              </w:rPr>
              <w:t>gold</w:t>
            </w:r>
          </w:p>
        </w:tc>
        <w:tc>
          <w:tcPr>
            <w:tcW w:type="dxa" w:w="2981"/>
          </w:tcPr>
          <w:p>
            <w:pPr>
              <w:spacing w:after="0"/>
            </w:pPr>
            <w:r>
              <w:rPr>
                <w:sz w:val="19"/>
              </w:rPr>
              <w:t xml:space="preserve">nie halbe Ergebnisse in </w:t>
            </w:r>
            <w:r>
              <w:rPr>
                <w:rFonts w:ascii="Courier New" w:hAnsi="Courier New"/>
                <w:sz w:val="17"/>
              </w:rPr>
              <w:t>cleaned</w:t>
            </w:r>
            <w:r>
              <w:rPr>
                <w:sz w:val="19"/>
              </w:rPr>
              <w:t>/</w:t>
            </w:r>
            <w:r>
              <w:rPr>
                <w:rFonts w:ascii="Courier New" w:hAnsi="Courier New"/>
                <w:sz w:val="17"/>
              </w:rPr>
              <w:t>gold</w:t>
            </w:r>
          </w:p>
        </w:tc>
        <w:tc>
          <w:tcPr>
            <w:tcW w:type="dxa" w:w="2824"/>
          </w:tcPr>
          <w:p>
            <w:pPr>
              <w:spacing w:after="0"/>
            </w:pPr>
            <w:r>
              <w:rPr>
                <w:sz w:val="19"/>
              </w:rPr>
              <w:t>Umbau der Speicherzellen</w:t>
            </w:r>
          </w:p>
        </w:tc>
      </w:tr>
    </w:tbl>
    <w:p>
      <w:pPr>
        <w:spacing w:after="0" w:line="20" w:lineRule="exact"/>
      </w:pPr>
    </w:p>
    <w:p>
      <w:r>
        <w:t xml:space="preserve">Tendenz: a) + b) (Meldung und Prüfordner), c) später. </w:t>
      </w:r>
      <w:r>
        <w:rPr>
          <w:b/>
        </w:rPr>
        <w:t>Ergebnis:</w:t>
      </w:r>
      <w:r>
        <w:t xml:space="preserve"> a) umgesetzt, Meldung per E-Mail-Warnregel umgesetzt; Prüfordner (b) und Arbeitsordner (c) → Folgeprojekt FP-1.</w:t>
      </w:r>
    </w:p>
    <w:p>
      <w:r>
        <w:rPr>
          <w:b/>
        </w:rPr>
        <w:t>K8 – Wie werden nur neue und gültige Lieferungen verarbeitet? (Kurs 8.12, 8.23)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6"/>
        <w:gridCol w:w="2981"/>
        <w:gridCol w:w="2824"/>
      </w:tblGrid>
      <w:tr>
        <w:trPr>
          <w:tblHeader/>
        </w:trPr>
        <w:tc>
          <w:tcPr>
            <w:tcW w:type="dxa" w:w="3606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Variante</w:t>
            </w:r>
          </w:p>
        </w:tc>
        <w:tc>
          <w:tcPr>
            <w:tcW w:type="dxa" w:w="298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Vorteil</w:t>
            </w:r>
          </w:p>
        </w:tc>
        <w:tc>
          <w:tcPr>
            <w:tcW w:type="dxa" w:w="2824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Nachteil</w:t>
            </w:r>
          </w:p>
        </w:tc>
      </w:tr>
      <w:tr>
        <w:trPr/>
        <w:tc>
          <w:tcPr>
            <w:tcW w:type="dxa" w:w="3606"/>
          </w:tcPr>
          <w:p>
            <w:pPr>
              <w:spacing w:after="0"/>
            </w:pPr>
            <w:r>
              <w:rPr>
                <w:sz w:val="19"/>
              </w:rPr>
              <w:t xml:space="preserve">a) </w:t>
            </w:r>
            <w:r>
              <w:rPr>
                <w:rFonts w:ascii="Courier New" w:hAnsi="Courier New"/>
                <w:sz w:val="17"/>
              </w:rPr>
              <w:t>bronze/new</w:t>
            </w:r>
            <w:r>
              <w:rPr>
                <w:sz w:val="19"/>
              </w:rPr>
              <w:t xml:space="preserve"> enthält per Aufbau nur Neues (Archiv verschiebt)</w:t>
            </w:r>
          </w:p>
        </w:tc>
        <w:tc>
          <w:tcPr>
            <w:tcW w:type="dxa" w:w="2981"/>
          </w:tcPr>
          <w:p>
            <w:pPr>
              <w:spacing w:after="0"/>
            </w:pPr>
            <w:r>
              <w:rPr>
                <w:sz w:val="19"/>
              </w:rPr>
              <w:t>schon umgesetzt</w:t>
            </w:r>
          </w:p>
        </w:tc>
        <w:tc>
          <w:tcPr>
            <w:tcW w:type="dxa" w:w="2824"/>
          </w:tcPr>
          <w:p>
            <w:pPr>
              <w:spacing w:after="0"/>
            </w:pPr>
            <w:r>
              <w:rPr>
                <w:sz w:val="19"/>
              </w:rPr>
              <w:t>schützt nicht vor derselben Datei zweimal oder falschen Namen</w:t>
            </w:r>
          </w:p>
        </w:tc>
      </w:tr>
      <w:tr>
        <w:trPr/>
        <w:tc>
          <w:tcPr>
            <w:tcW w:type="dxa" w:w="3606"/>
          </w:tcPr>
          <w:p>
            <w:pPr>
              <w:spacing w:after="0"/>
            </w:pPr>
            <w:r>
              <w:rPr>
                <w:sz w:val="19"/>
              </w:rPr>
              <w:t xml:space="preserve">b) Dateinamen vor dem Kopieren gegen das Muster </w:t>
            </w:r>
            <w:r>
              <w:rPr>
                <w:rFonts w:ascii="Courier New" w:hAnsi="Courier New"/>
                <w:sz w:val="17"/>
              </w:rPr>
              <w:t>&lt;sensor&gt;_&lt;stadt&gt;.csv</w:t>
            </w:r>
            <w:r>
              <w:rPr>
                <w:sz w:val="19"/>
              </w:rPr>
              <w:t xml:space="preserve"> prüfen (If-Bedingung in der Data Factory); falsche Namen nach </w:t>
            </w:r>
            <w:r>
              <w:rPr>
                <w:rFonts w:ascii="Courier New" w:hAnsi="Courier New"/>
                <w:sz w:val="17"/>
              </w:rPr>
              <w:t>bronze/abgelehnt/</w:t>
            </w:r>
          </w:p>
        </w:tc>
        <w:tc>
          <w:tcPr>
            <w:tcW w:type="dxa" w:w="2981"/>
          </w:tcPr>
          <w:p>
            <w:pPr>
              <w:spacing w:after="0"/>
            </w:pPr>
            <w:r>
              <w:rPr>
                <w:sz w:val="19"/>
              </w:rPr>
              <w:t>falsche Lieferungen stoppen früh</w:t>
            </w:r>
          </w:p>
        </w:tc>
        <w:tc>
          <w:tcPr>
            <w:tcW w:type="dxa" w:w="2824"/>
          </w:tcPr>
          <w:p>
            <w:pPr>
              <w:spacing w:after="0"/>
            </w:pPr>
            <w:r>
              <w:rPr>
                <w:sz w:val="19"/>
              </w:rPr>
              <w:t>eine Aktivität mehr</w:t>
            </w:r>
          </w:p>
        </w:tc>
      </w:tr>
      <w:tr>
        <w:trPr/>
        <w:tc>
          <w:tcPr>
            <w:tcW w:type="dxa" w:w="3606"/>
          </w:tcPr>
          <w:p>
            <w:pPr>
              <w:spacing w:after="0"/>
            </w:pPr>
            <w:r>
              <w:rPr>
                <w:sz w:val="19"/>
              </w:rPr>
              <w:t>c) Prüfsumme/Änderungszeit mit dem Archiv vergleichen, doppelte Lieferungen überspringen</w:t>
            </w:r>
          </w:p>
        </w:tc>
        <w:tc>
          <w:tcPr>
            <w:tcW w:type="dxa" w:w="2981"/>
          </w:tcPr>
          <w:p>
            <w:pPr>
              <w:spacing w:after="0"/>
            </w:pPr>
            <w:r>
              <w:rPr>
                <w:sz w:val="19"/>
              </w:rPr>
              <w:t>keine Doppelverarbeitung</w:t>
            </w:r>
          </w:p>
        </w:tc>
        <w:tc>
          <w:tcPr>
            <w:tcW w:type="dxa" w:w="2824"/>
          </w:tcPr>
          <w:p>
            <w:pPr>
              <w:spacing w:after="0"/>
            </w:pPr>
            <w:r>
              <w:rPr>
                <w:sz w:val="19"/>
              </w:rPr>
              <w:t>Aufwand, Prüfsumme in der Data Factory nicht direkt verfügbar</w:t>
            </w:r>
          </w:p>
        </w:tc>
      </w:tr>
    </w:tbl>
    <w:p>
      <w:pPr>
        <w:spacing w:after="0" w:line="20" w:lineRule="exact"/>
      </w:pPr>
    </w:p>
    <w:p>
      <w:r>
        <w:t xml:space="preserve">Tendenz: a) + b), c) für den Betrieb. </w:t>
      </w:r>
      <w:r>
        <w:rPr>
          <w:b/>
        </w:rPr>
        <w:t>Ergebnis:</w:t>
      </w:r>
      <w:r>
        <w:t xml:space="preserve"> a) umgesetzt; b) und c) → Folgeprojekt FP-1.</w:t>
      </w:r>
    </w:p>
    <w:p>
      <w:pPr>
        <w:pStyle w:val="Heading1"/>
        <w:pageBreakBefore/>
      </w:pPr>
      <w:r>
        <w:t>7. Offene Fragen</w:t>
      </w:r>
    </w:p>
    <w:p>
      <w:pPr>
        <w:spacing w:after="0" w:line="2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80"/>
        <w:gridCol w:w="2828"/>
        <w:gridCol w:w="1664"/>
        <w:gridCol w:w="4040"/>
      </w:tblGrid>
      <w:tr>
        <w:trPr>
          <w:tblHeader/>
        </w:trPr>
        <w:tc>
          <w:tcPr>
            <w:tcW w:type="dxa" w:w="88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Nr.</w:t>
            </w:r>
          </w:p>
        </w:tc>
        <w:tc>
          <w:tcPr>
            <w:tcW w:type="dxa" w:w="2828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Frage</w:t>
            </w:r>
          </w:p>
        </w:tc>
        <w:tc>
          <w:tcPr>
            <w:tcW w:type="dxa" w:w="1664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To-do (wer)</w:t>
            </w:r>
          </w:p>
        </w:tc>
        <w:tc>
          <w:tcPr>
            <w:tcW w:type="dxa" w:w="4040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Stand</w:t>
            </w:r>
          </w:p>
        </w:tc>
      </w:tr>
      <w:tr>
        <w:trPr/>
        <w:tc>
          <w:tcPr>
            <w:tcW w:type="dxa" w:w="880"/>
          </w:tcPr>
          <w:p>
            <w:pPr>
              <w:spacing w:after="0"/>
            </w:pPr>
            <w:r>
              <w:rPr>
                <w:sz w:val="19"/>
              </w:rPr>
              <w:t>F1</w:t>
            </w:r>
          </w:p>
        </w:tc>
        <w:tc>
          <w:tcPr>
            <w:tcW w:type="dxa" w:w="2828"/>
          </w:tcPr>
          <w:p>
            <w:pPr>
              <w:spacing w:after="0"/>
            </w:pPr>
            <w:r>
              <w:rPr>
                <w:sz w:val="19"/>
              </w:rPr>
              <w:t xml:space="preserve">Bedeutet ein negativer </w:t>
            </w:r>
            <w:r>
              <w:rPr>
                <w:rFonts w:ascii="Courier New" w:hAnsi="Courier New"/>
                <w:sz w:val="17"/>
              </w:rPr>
              <w:t>flow</w:t>
            </w:r>
            <w:r>
              <w:rPr>
                <w:sz w:val="19"/>
              </w:rPr>
              <w:t>-Wert Ausflug oder Einflug?</w:t>
            </w:r>
          </w:p>
        </w:tc>
        <w:tc>
          <w:tcPr>
            <w:tcW w:type="dxa" w:w="1664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4040"/>
          </w:tcPr>
          <w:p>
            <w:pPr>
              <w:spacing w:after="0"/>
            </w:pPr>
            <w:r>
              <w:rPr>
                <w:sz w:val="19"/>
              </w:rPr>
              <w:t>erledigt 30.09.2026: laut Datensatz-Beschreibung positiv = Ankünfte (Einflug), negativ = Abflüge (Ausflug)</w:t>
            </w:r>
          </w:p>
        </w:tc>
      </w:tr>
      <w:tr>
        <w:trPr/>
        <w:tc>
          <w:tcPr>
            <w:tcW w:type="dxa" w:w="880"/>
          </w:tcPr>
          <w:p>
            <w:pPr>
              <w:spacing w:after="0"/>
            </w:pPr>
            <w:r>
              <w:rPr>
                <w:sz w:val="19"/>
              </w:rPr>
              <w:t>F2</w:t>
            </w:r>
          </w:p>
        </w:tc>
        <w:tc>
          <w:tcPr>
            <w:tcW w:type="dxa" w:w="2828"/>
          </w:tcPr>
          <w:p>
            <w:pPr>
              <w:spacing w:after="0"/>
            </w:pPr>
            <w:r>
              <w:rPr>
                <w:sz w:val="19"/>
              </w:rPr>
              <w:t>Unter welcher Lizenz dürfen die Daten genutzt und veröffentlicht werden?</w:t>
            </w:r>
          </w:p>
        </w:tc>
        <w:tc>
          <w:tcPr>
            <w:tcW w:type="dxa" w:w="1664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4040"/>
          </w:tcPr>
          <w:p>
            <w:pPr>
              <w:spacing w:after="0"/>
            </w:pPr>
            <w:r>
              <w:rPr>
                <w:sz w:val="19"/>
              </w:rPr>
              <w:t>Folgeprojekt FP-4 (mit Recht &amp; Compliance): Nutzungsrechte bei HOBOS (https://www.hobos.de) anfragen; bis dahin gilt die Entscheidung „Rohdaten nicht veröffentlichen“ (PP Kap. 6)</w:t>
            </w:r>
          </w:p>
        </w:tc>
      </w:tr>
      <w:tr>
        <w:trPr/>
        <w:tc>
          <w:tcPr>
            <w:tcW w:type="dxa" w:w="880"/>
          </w:tcPr>
          <w:p>
            <w:pPr>
              <w:spacing w:after="0"/>
            </w:pPr>
            <w:r>
              <w:rPr>
                <w:sz w:val="19"/>
              </w:rPr>
              <w:t>F3</w:t>
            </w:r>
          </w:p>
        </w:tc>
        <w:tc>
          <w:tcPr>
            <w:tcW w:type="dxa" w:w="2828"/>
          </w:tcPr>
          <w:p>
            <w:pPr>
              <w:spacing w:after="0"/>
            </w:pPr>
            <w:r>
              <w:rPr>
                <w:sz w:val="19"/>
              </w:rPr>
              <w:t>Welche Gewichtsgrenze gilt für die Sensorstörung 28.04.–02.07.2018 (Befund E5)?</w:t>
            </w:r>
          </w:p>
        </w:tc>
        <w:tc>
          <w:tcPr>
            <w:tcW w:type="dxa" w:w="1664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4040"/>
          </w:tcPr>
          <w:p>
            <w:pPr>
              <w:spacing w:after="0"/>
            </w:pPr>
            <w:r>
              <w:rPr>
                <w:sz w:val="19"/>
              </w:rPr>
              <w:t>erledigt 30.09.2026: ganzer Zeitraum ungültig (R5a), Grenze bleibt 20 kg</w:t>
            </w:r>
          </w:p>
        </w:tc>
      </w:tr>
      <w:tr>
        <w:trPr/>
        <w:tc>
          <w:tcPr>
            <w:tcW w:type="dxa" w:w="880"/>
          </w:tcPr>
          <w:p>
            <w:pPr>
              <w:spacing w:after="0"/>
            </w:pPr>
            <w:r>
              <w:rPr>
                <w:sz w:val="19"/>
              </w:rPr>
              <w:t>F4</w:t>
            </w:r>
          </w:p>
        </w:tc>
        <w:tc>
          <w:tcPr>
            <w:tcW w:type="dxa" w:w="2828"/>
          </w:tcPr>
          <w:p>
            <w:pPr>
              <w:spacing w:after="0"/>
            </w:pPr>
            <w:r>
              <w:rPr>
                <w:sz w:val="19"/>
              </w:rPr>
              <w:t xml:space="preserve">Gehören unbereinigte Arbeitskopien nach </w:t>
            </w:r>
            <w:r>
              <w:rPr>
                <w:rFonts w:ascii="Courier New" w:hAnsi="Courier New"/>
                <w:sz w:val="17"/>
              </w:rPr>
              <w:t>silver/processing</w:t>
            </w:r>
            <w:r>
              <w:rPr>
                <w:sz w:val="19"/>
              </w:rPr>
              <w:t xml:space="preserve"> oder nach Bronze?</w:t>
            </w:r>
          </w:p>
        </w:tc>
        <w:tc>
          <w:tcPr>
            <w:tcW w:type="dxa" w:w="1664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4040"/>
          </w:tcPr>
          <w:p>
            <w:pPr>
              <w:spacing w:after="0"/>
            </w:pPr>
            <w:r>
              <w:rPr>
                <w:sz w:val="19"/>
              </w:rPr>
              <w:t xml:space="preserve">erledigt 01.10.2026: Kurs-Vorgabe </w:t>
            </w:r>
            <w:r>
              <w:rPr>
                <w:rFonts w:ascii="Courier New" w:hAnsi="Courier New"/>
                <w:sz w:val="17"/>
              </w:rPr>
              <w:t>silver/processing</w:t>
            </w:r>
            <w:r>
              <w:rPr>
                <w:sz w:val="19"/>
              </w:rPr>
              <w:t xml:space="preserve"> umgesetzt und nach Erfolg geleert; Umzug nach Bronze nach Medallion-Definition als Empfehlung im Folgeprojekt FP-1</w:t>
            </w:r>
          </w:p>
        </w:tc>
      </w:tr>
      <w:tr>
        <w:trPr/>
        <w:tc>
          <w:tcPr>
            <w:tcW w:type="dxa" w:w="880"/>
          </w:tcPr>
          <w:p>
            <w:pPr>
              <w:spacing w:after="0"/>
            </w:pPr>
            <w:r>
              <w:rPr>
                <w:sz w:val="19"/>
              </w:rPr>
              <w:t>F5</w:t>
            </w:r>
          </w:p>
        </w:tc>
        <w:tc>
          <w:tcPr>
            <w:tcW w:type="dxa" w:w="2828"/>
          </w:tcPr>
          <w:p>
            <w:pPr>
              <w:spacing w:after="0"/>
            </w:pPr>
            <w:r>
              <w:rPr>
                <w:sz w:val="19"/>
              </w:rPr>
              <w:t>Was kostet ein Notebook-Lauf in Azure (Spark-Pool)?</w:t>
            </w:r>
          </w:p>
        </w:tc>
        <w:tc>
          <w:tcPr>
            <w:tcW w:type="dxa" w:w="1664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4040"/>
          </w:tcPr>
          <w:p>
            <w:pPr>
              <w:spacing w:after="0"/>
            </w:pPr>
            <w:r>
              <w:rPr>
                <w:sz w:val="19"/>
              </w:rPr>
              <w:t>erledigt 02.10.2026: Ist-Kosten aller Tests 1,02 € (Spark 0,85 €, Data Factory 0,17 €); ein Tageslauf mit zwei Städten ca. 0,30–0,50 € (PR-ITS-008, PH 8.8)</w:t>
            </w:r>
          </w:p>
        </w:tc>
      </w:tr>
      <w:tr>
        <w:trPr/>
        <w:tc>
          <w:tcPr>
            <w:tcW w:type="dxa" w:w="880"/>
          </w:tcPr>
          <w:p>
            <w:pPr>
              <w:spacing w:after="0"/>
            </w:pPr>
            <w:r>
              <w:rPr>
                <w:sz w:val="19"/>
              </w:rPr>
              <w:t>F6</w:t>
            </w:r>
          </w:p>
        </w:tc>
        <w:tc>
          <w:tcPr>
            <w:tcW w:type="dxa" w:w="2828"/>
          </w:tcPr>
          <w:p>
            <w:pPr>
              <w:spacing w:after="0"/>
            </w:pPr>
            <w:r>
              <w:rPr>
                <w:sz w:val="19"/>
              </w:rPr>
              <w:t>Was wird nach Projektende gesichert, was gelöscht?</w:t>
            </w:r>
          </w:p>
        </w:tc>
        <w:tc>
          <w:tcPr>
            <w:tcW w:type="dxa" w:w="1664"/>
          </w:tcPr>
          <w:p>
            <w:pPr>
              <w:spacing w:after="0"/>
            </w:pPr>
            <w:r>
              <w:rPr>
                <w:sz w:val="19"/>
              </w:rPr>
              <w:t>Projektleitung</w:t>
            </w:r>
          </w:p>
        </w:tc>
        <w:tc>
          <w:tcPr>
            <w:tcW w:type="dxa" w:w="4040"/>
          </w:tcPr>
          <w:p>
            <w:pPr>
              <w:spacing w:after="0"/>
            </w:pPr>
            <w:r>
              <w:rPr>
                <w:sz w:val="19"/>
              </w:rPr>
              <w:t>bis Projektabschluss: Azure-Abschluss nach Kursende 13.10.2026 (Aufgabe 82: sichern, Kostenmeldung, Löschen nach Freigabe; Guthaben bis 18.10.2026)</w:t>
            </w:r>
          </w:p>
        </w:tc>
      </w:tr>
    </w:tbl>
    <w:p>
      <w:pPr>
        <w:spacing w:after="0" w:line="20" w:lineRule="exact"/>
      </w:pPr>
    </w:p>
    <w:p>
      <w:pPr>
        <w:pStyle w:val="Heading1"/>
        <w:pageBreakBefore/>
      </w:pPr>
      <w:r>
        <w:t>8. Folgeprojekte (Übersicht)</w:t>
      </w:r>
    </w:p>
    <w:p>
      <w:pPr>
        <w:spacing w:after="0" w:line="20" w:lineRule="exact"/>
      </w:pPr>
    </w:p>
    <w:p>
      <w:r>
        <w:t>Ideen, die über den Projektauftrag hinausgehen, werden an die zuständige Abteilung oder Stabsstelle übergeben. Ausarbeitung, Reihenfolge und Handlungsempfehlungen: Projektplan PP-ITS-002 Kap. 8 und 9.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"/>
        <w:gridCol w:w="2699"/>
        <w:gridCol w:w="2559"/>
        <w:gridCol w:w="3184"/>
      </w:tblGrid>
      <w:tr>
        <w:trPr>
          <w:tblHeader/>
        </w:trPr>
        <w:tc>
          <w:tcPr>
            <w:tcW w:type="dxa" w:w="969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Nr.</w:t>
            </w:r>
          </w:p>
        </w:tc>
        <w:tc>
          <w:tcPr>
            <w:tcW w:type="dxa" w:w="2699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Folgeprojekt</w:t>
            </w:r>
          </w:p>
        </w:tc>
        <w:tc>
          <w:tcPr>
            <w:tcW w:type="dxa" w:w="2559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Zuständig (fachlich)</w:t>
            </w:r>
          </w:p>
        </w:tc>
        <w:tc>
          <w:tcPr>
            <w:tcW w:type="dxa" w:w="3184"/>
            <w:shd w:val="clear" w:color="auto" w:fill="D9E2F3"/>
          </w:tcPr>
          <w:p>
            <w:pPr>
              <w:spacing w:after="0"/>
            </w:pPr>
            <w:r>
              <w:rPr>
                <w:b/>
                <w:sz w:val="19"/>
              </w:rPr>
              <w:t>Ideen / Fragen</w:t>
            </w:r>
          </w:p>
        </w:tc>
      </w:tr>
      <w:tr>
        <w:trPr/>
        <w:tc>
          <w:tcPr>
            <w:tcW w:type="dxa" w:w="969"/>
          </w:tcPr>
          <w:p>
            <w:pPr>
              <w:spacing w:after="0"/>
            </w:pPr>
            <w:r>
              <w:rPr>
                <w:sz w:val="19"/>
              </w:rPr>
              <w:t>FP-1</w:t>
            </w:r>
          </w:p>
        </w:tc>
        <w:tc>
          <w:tcPr>
            <w:tcW w:type="dxa" w:w="2699"/>
          </w:tcPr>
          <w:p>
            <w:pPr>
              <w:spacing w:after="0"/>
            </w:pPr>
            <w:r>
              <w:rPr>
                <w:sz w:val="19"/>
              </w:rPr>
              <w:t>Betrieb und Automatisierung der Pipeline</w:t>
            </w:r>
          </w:p>
        </w:tc>
        <w:tc>
          <w:tcPr>
            <w:tcW w:type="dxa" w:w="2559"/>
          </w:tcPr>
          <w:p>
            <w:pPr>
              <w:spacing w:after="0"/>
            </w:pPr>
            <w:r>
              <w:rPr>
                <w:sz w:val="19"/>
              </w:rPr>
              <w:t>IT &amp; Security (Data Engineer)</w:t>
            </w:r>
          </w:p>
        </w:tc>
        <w:tc>
          <w:tcPr>
            <w:tcW w:type="dxa" w:w="3184"/>
          </w:tcPr>
          <w:p>
            <w:pPr>
              <w:spacing w:after="0"/>
            </w:pPr>
            <w:r>
              <w:rPr>
                <w:sz w:val="19"/>
              </w:rPr>
              <w:t>I52 (Idee), I55, I56, I57, I58, I59, I64, I65, I66, I68, I69, I77, I78, I79, I82, K7 b/c, K8 b/c, F4</w:t>
            </w:r>
          </w:p>
        </w:tc>
      </w:tr>
      <w:tr>
        <w:trPr/>
        <w:tc>
          <w:tcPr>
            <w:tcW w:type="dxa" w:w="969"/>
          </w:tcPr>
          <w:p>
            <w:pPr>
              <w:spacing w:after="0"/>
            </w:pPr>
            <w:r>
              <w:rPr>
                <w:sz w:val="19"/>
              </w:rPr>
              <w:t>FP-2</w:t>
            </w:r>
          </w:p>
        </w:tc>
        <w:tc>
          <w:tcPr>
            <w:tcW w:type="dxa" w:w="2699"/>
          </w:tcPr>
          <w:p>
            <w:pPr>
              <w:spacing w:after="0"/>
            </w:pPr>
            <w:r>
              <w:rPr>
                <w:sz w:val="19"/>
              </w:rPr>
              <w:t>Dashboard und fachliche Warnungen</w:t>
            </w:r>
          </w:p>
        </w:tc>
        <w:tc>
          <w:tcPr>
            <w:tcW w:type="dxa" w:w="2559"/>
          </w:tcPr>
          <w:p>
            <w:pPr>
              <w:spacing w:after="0"/>
            </w:pPr>
            <w:r>
              <w:rPr>
                <w:sz w:val="19"/>
              </w:rPr>
              <w:t xml:space="preserve">IT &amp; Security (Data Analyst), Ordner </w:t>
            </w:r>
            <w:r>
              <w:rPr>
                <w:rFonts w:ascii="Courier New" w:hAnsi="Courier New"/>
                <w:sz w:val="17"/>
              </w:rPr>
              <w:t>08_dashboard_ITS-DA</w:t>
            </w:r>
          </w:p>
        </w:tc>
        <w:tc>
          <w:tcPr>
            <w:tcW w:type="dxa" w:w="3184"/>
          </w:tcPr>
          <w:p>
            <w:pPr>
              <w:spacing w:after="0"/>
            </w:pPr>
            <w:r>
              <w:rPr>
                <w:sz w:val="19"/>
              </w:rPr>
              <w:t>I17, I33, I54, I60, I80</w:t>
            </w:r>
          </w:p>
        </w:tc>
      </w:tr>
      <w:tr>
        <w:trPr/>
        <w:tc>
          <w:tcPr>
            <w:tcW w:type="dxa" w:w="969"/>
          </w:tcPr>
          <w:p>
            <w:pPr>
              <w:spacing w:after="0"/>
            </w:pPr>
            <w:r>
              <w:rPr>
                <w:sz w:val="19"/>
              </w:rPr>
              <w:t>FP-3</w:t>
            </w:r>
          </w:p>
        </w:tc>
        <w:tc>
          <w:tcPr>
            <w:tcW w:type="dxa" w:w="2699"/>
          </w:tcPr>
          <w:p>
            <w:pPr>
              <w:spacing w:after="0"/>
            </w:pPr>
            <w:r>
              <w:rPr>
                <w:sz w:val="19"/>
              </w:rPr>
              <w:t>Machine Learning: Einzelwirkungen und Prognose</w:t>
            </w:r>
          </w:p>
        </w:tc>
        <w:tc>
          <w:tcPr>
            <w:tcW w:type="dxa" w:w="2559"/>
          </w:tcPr>
          <w:p>
            <w:pPr>
              <w:spacing w:after="0"/>
            </w:pPr>
            <w:r>
              <w:rPr>
                <w:sz w:val="19"/>
              </w:rPr>
              <w:t>IT &amp; Security (Data Scientist)</w:t>
            </w:r>
          </w:p>
        </w:tc>
        <w:tc>
          <w:tcPr>
            <w:tcW w:type="dxa" w:w="3184"/>
          </w:tcPr>
          <w:p>
            <w:pPr>
              <w:spacing w:after="0"/>
            </w:pPr>
            <w:r>
              <w:rPr>
                <w:sz w:val="19"/>
              </w:rPr>
              <w:t>I31</w:t>
            </w:r>
          </w:p>
        </w:tc>
      </w:tr>
      <w:tr>
        <w:trPr/>
        <w:tc>
          <w:tcPr>
            <w:tcW w:type="dxa" w:w="969"/>
          </w:tcPr>
          <w:p>
            <w:pPr>
              <w:spacing w:after="0"/>
            </w:pPr>
            <w:r>
              <w:rPr>
                <w:sz w:val="19"/>
              </w:rPr>
              <w:t>FP-4</w:t>
            </w:r>
          </w:p>
        </w:tc>
        <w:tc>
          <w:tcPr>
            <w:tcW w:type="dxa" w:w="2699"/>
          </w:tcPr>
          <w:p>
            <w:pPr>
              <w:spacing w:after="0"/>
            </w:pPr>
            <w:r>
              <w:rPr>
                <w:sz w:val="19"/>
              </w:rPr>
              <w:t>Fachliche Prüfung mit einer Imkerei und Datennutzungsrechte</w:t>
            </w:r>
          </w:p>
        </w:tc>
        <w:tc>
          <w:tcPr>
            <w:tcW w:type="dxa" w:w="2559"/>
          </w:tcPr>
          <w:p>
            <w:pPr>
              <w:spacing w:after="0"/>
            </w:pPr>
            <w:r>
              <w:rPr>
                <w:sz w:val="19"/>
              </w:rPr>
              <w:t>Projektleitung mit Fachbereich; Recht &amp; Compliance</w:t>
            </w:r>
          </w:p>
        </w:tc>
        <w:tc>
          <w:tcPr>
            <w:tcW w:type="dxa" w:w="3184"/>
          </w:tcPr>
          <w:p>
            <w:pPr>
              <w:spacing w:after="0"/>
            </w:pPr>
            <w:r>
              <w:rPr>
                <w:sz w:val="19"/>
              </w:rPr>
              <w:t>I32, F2, Annahmen der Ernte-Erkennung (PH 5.9a)</w:t>
            </w:r>
          </w:p>
        </w:tc>
      </w:tr>
      <w:tr>
        <w:trPr/>
        <w:tc>
          <w:tcPr>
            <w:tcW w:type="dxa" w:w="969"/>
          </w:tcPr>
          <w:p>
            <w:pPr>
              <w:spacing w:after="0"/>
            </w:pPr>
            <w:r>
              <w:rPr>
                <w:sz w:val="19"/>
              </w:rPr>
              <w:t>FP-5</w:t>
            </w:r>
          </w:p>
        </w:tc>
        <w:tc>
          <w:tcPr>
            <w:tcW w:type="dxa" w:w="2699"/>
          </w:tcPr>
          <w:p>
            <w:pPr>
              <w:spacing w:after="0"/>
            </w:pPr>
            <w:r>
              <w:rPr>
                <w:sz w:val="19"/>
              </w:rPr>
              <w:t>Berechtigungskonzept mit mehreren Rollen und Personen</w:t>
            </w:r>
          </w:p>
        </w:tc>
        <w:tc>
          <w:tcPr>
            <w:tcW w:type="dxa" w:w="2559"/>
          </w:tcPr>
          <w:p>
            <w:pPr>
              <w:spacing w:after="0"/>
            </w:pPr>
            <w:r>
              <w:rPr>
                <w:sz w:val="19"/>
              </w:rPr>
              <w:t>IT &amp; Security, Stabsstelle Informationssicherheit</w:t>
            </w:r>
          </w:p>
        </w:tc>
        <w:tc>
          <w:tcPr>
            <w:tcW w:type="dxa" w:w="3184"/>
          </w:tcPr>
          <w:p>
            <w:pPr>
              <w:spacing w:after="0"/>
            </w:pPr>
            <w:r>
              <w:rPr>
                <w:sz w:val="19"/>
              </w:rPr>
              <w:t>I62</w:t>
            </w:r>
          </w:p>
        </w:tc>
      </w:tr>
      <w:tr>
        <w:trPr/>
        <w:tc>
          <w:tcPr>
            <w:tcW w:type="dxa" w:w="969"/>
          </w:tcPr>
          <w:p>
            <w:pPr>
              <w:spacing w:after="0"/>
            </w:pPr>
            <w:r>
              <w:rPr>
                <w:sz w:val="19"/>
              </w:rPr>
              <w:t>FP-6</w:t>
            </w:r>
          </w:p>
        </w:tc>
        <w:tc>
          <w:tcPr>
            <w:tcW w:type="dxa" w:w="2699"/>
          </w:tcPr>
          <w:p>
            <w:pPr>
              <w:spacing w:after="0"/>
            </w:pPr>
            <w:r>
              <w:rPr>
                <w:sz w:val="19"/>
              </w:rPr>
              <w:t>Betriebsweiter Stammdaten-Standard für Orte (und Kunden/Lieferanten)</w:t>
            </w:r>
          </w:p>
        </w:tc>
        <w:tc>
          <w:tcPr>
            <w:tcW w:type="dxa" w:w="2559"/>
          </w:tcPr>
          <w:p>
            <w:pPr>
              <w:spacing w:after="0"/>
            </w:pPr>
            <w:r>
              <w:rPr>
                <w:sz w:val="19"/>
              </w:rPr>
              <w:t>Stabsstelle QM mit IT &amp; Security</w:t>
            </w:r>
          </w:p>
        </w:tc>
        <w:tc>
          <w:tcPr>
            <w:tcW w:type="dxa" w:w="3184"/>
          </w:tcPr>
          <w:p>
            <w:pPr>
              <w:spacing w:after="0"/>
            </w:pPr>
            <w:r>
              <w:rPr>
                <w:sz w:val="19"/>
              </w:rPr>
              <w:t>I70</w:t>
            </w:r>
          </w:p>
        </w:tc>
      </w:tr>
      <w:tr>
        <w:trPr/>
        <w:tc>
          <w:tcPr>
            <w:tcW w:type="dxa" w:w="969"/>
          </w:tcPr>
          <w:p>
            <w:pPr>
              <w:spacing w:after="0"/>
            </w:pPr>
            <w:r>
              <w:rPr>
                <w:sz w:val="19"/>
              </w:rPr>
              <w:t>FP-7</w:t>
            </w:r>
          </w:p>
        </w:tc>
        <w:tc>
          <w:tcPr>
            <w:tcW w:type="dxa" w:w="2699"/>
          </w:tcPr>
          <w:p>
            <w:pPr>
              <w:spacing w:after="0"/>
            </w:pPr>
            <w:r>
              <w:rPr>
                <w:sz w:val="19"/>
              </w:rPr>
              <w:t>Prozessdokumentation der Datenpipeline (BPMN, RACI, Prüfablauf)</w:t>
            </w:r>
          </w:p>
        </w:tc>
        <w:tc>
          <w:tcPr>
            <w:tcW w:type="dxa" w:w="2559"/>
          </w:tcPr>
          <w:p>
            <w:pPr>
              <w:spacing w:after="0"/>
            </w:pPr>
            <w:r>
              <w:rPr>
                <w:sz w:val="19"/>
              </w:rPr>
              <w:t>Stabsstelle QM (QS-Agent)</w:t>
            </w:r>
          </w:p>
        </w:tc>
        <w:tc>
          <w:tcPr>
            <w:tcW w:type="dxa" w:w="3184"/>
          </w:tcPr>
          <w:p>
            <w:pPr>
              <w:spacing w:after="0"/>
            </w:pPr>
            <w:r>
              <w:rPr>
                <w:sz w:val="19"/>
              </w:rPr>
              <w:t xml:space="preserve">Ordner </w:t>
            </w:r>
            <w:r>
              <w:rPr>
                <w:rFonts w:ascii="Courier New" w:hAnsi="Courier New"/>
                <w:sz w:val="17"/>
              </w:rPr>
              <w:t>07_prozesse_QM</w:t>
            </w:r>
            <w:r>
              <w:rPr>
                <w:sz w:val="19"/>
              </w:rPr>
              <w:t>; Grundlage im Projekt angelegt</w:t>
            </w:r>
          </w:p>
        </w:tc>
      </w:tr>
    </w:tbl>
    <w:p>
      <w:pPr>
        <w:spacing w:after="0" w:line="20" w:lineRule="exact"/>
      </w:pP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 xml:space="preserve">BS-ITS-002_Brainstorming_Azure-Datenplattform_v1.9  ·  Seite </w:t>
    </w:r>
    <w:r>
      <w:rPr>
        <w:color w:val="595959"/>
        <w:sz w:val="16"/>
      </w:rPr>
      <w:fldChar w:fldCharType="begin"/>
      <w:instrText xml:space="preserve">PAGE</w:instrText>
      <w:fldChar w:fldCharType="end"/>
    </w:r>
    <w:r>
      <w:rPr>
        <w:color w:val="595959"/>
        <w:sz w:val="16"/>
      </w:rPr>
      <w:t xml:space="preserve"> von </w:t>
    </w:r>
    <w:r>
      <w:rPr>
        <w:color w:val="595959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" w:eastAsiaTheme="majorEastAsia" w:hAnsiTheme="majorHAnsi" w:cstheme="majorBidi" w:ascii="Calibri" w:hAnsi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" w:eastAsiaTheme="majorEastAsia" w:hAnsiTheme="majorHAnsi" w:cstheme="majorBidi" w:ascii="Calibri" w:hAnsi="Calibri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