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PFLICHTENHEFT</w:t>
      </w:r>
    </w:p>
    <w:p>
      <w:r>
        <w:rPr>
          <w:color w:val="595959"/>
          <w:sz w:val="24"/>
        </w:rPr>
        <w:t>Azure-Datenplattform – automatisierte Datenverarbeitung mit Pipelines (Anwendungsfall Bee Haven)</w:t>
      </w:r>
    </w:p>
    <w:tbl>
      <w:tblPr>
        <w:tblStyle w:val="TableGrid"/>
        <w:tblW w:type="auto" w:w="0"/>
        <w:jc w:val="center"/>
        <w:tblLayout w:type="fixed"/>
        <w:tblLook w:firstColumn="1" w:firstRow="1" w:lastColumn="0" w:lastRow="0" w:noHBand="0" w:noVBand="1" w:val="04A0"/>
      </w:tblPr>
      <w:tblGrid>
        <w:gridCol w:w="2512"/>
        <w:gridCol w:w="6899"/>
      </w:tblGrid>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Dokument</w:t>
            </w:r>
          </w:p>
        </w:tc>
        <w:tc>
          <w:tcPr>
            <w:tcW w:type="dxa" w:w="6899"/>
          </w:tcPr>
          <w:p>
            <w:pPr>
              <w:spacing w:after="0"/>
            </w:pPr>
            <w:r>
              <w:rPr>
                <w:sz w:val="19"/>
              </w:rPr>
              <w:t>PH-ITS-002 · Pflichtenheft</w:t>
            </w:r>
          </w:p>
        </w:tc>
      </w:tr>
      <w:tr>
        <w:trPr/>
        <w:tc>
          <w:tcPr>
            <w:tcW w:type="dxa" w:w="2512"/>
          </w:tcPr>
          <w:p>
            <w:pPr>
              <w:spacing w:after="0"/>
            </w:pPr>
            <w:r>
              <w:rPr>
                <w:sz w:val="19"/>
              </w:rPr>
              <w:t>Projekt</w:t>
            </w:r>
          </w:p>
        </w:tc>
        <w:tc>
          <w:tcPr>
            <w:tcW w:type="dxa" w:w="6899"/>
          </w:tcPr>
          <w:p>
            <w:pPr>
              <w:spacing w:after="0"/>
            </w:pPr>
            <w:r>
              <w:rPr>
                <w:sz w:val="19"/>
              </w:rPr>
              <w:t>Azure-Datenplattform – automatisierte Datenverarbeitung mit Pipelines</w:t>
            </w:r>
          </w:p>
        </w:tc>
      </w:tr>
      <w:tr>
        <w:trPr/>
        <w:tc>
          <w:tcPr>
            <w:tcW w:type="dxa" w:w="2512"/>
          </w:tcPr>
          <w:p>
            <w:pPr>
              <w:spacing w:after="0"/>
            </w:pPr>
            <w:r>
              <w:rPr>
                <w:sz w:val="19"/>
              </w:rPr>
              <w:t>Anwendungsfall</w:t>
            </w:r>
          </w:p>
        </w:tc>
        <w:tc>
          <w:tcPr>
            <w:tcW w:type="dxa" w:w="6899"/>
          </w:tcPr>
          <w:p>
            <w:pPr>
              <w:spacing w:after="0"/>
            </w:pPr>
            <w:r>
              <w:rPr>
                <w:sz w:val="19"/>
              </w:rPr>
              <w:t>Sensordaten von Bienenstöcken (Bee Haven, Standorte Schwartau und Würzburg, 2017–2019)</w:t>
            </w:r>
          </w:p>
        </w:tc>
      </w:tr>
      <w:tr>
        <w:trPr/>
        <w:tc>
          <w:tcPr>
            <w:tcW w:type="dxa" w:w="2512"/>
          </w:tcPr>
          <w:p>
            <w:pPr>
              <w:spacing w:after="0"/>
            </w:pPr>
            <w:r>
              <w:rPr>
                <w:sz w:val="19"/>
              </w:rPr>
              <w:t>Projektträger</w:t>
            </w:r>
          </w:p>
        </w:tc>
        <w:tc>
          <w:tcPr>
            <w:tcW w:type="dxa" w:w="6899"/>
          </w:tcPr>
          <w:p>
            <w:pPr>
              <w:spacing w:after="0"/>
            </w:pPr>
            <w:r>
              <w:rPr>
                <w:sz w:val="19"/>
              </w:rPr>
              <w:t>WBS Coding School – Data Science &amp; AI, Kapitel 9 Cloud Computing Azure (DP-900)</w:t>
            </w:r>
          </w:p>
        </w:tc>
      </w:tr>
      <w:tr>
        <w:trPr/>
        <w:tc>
          <w:tcPr>
            <w:tcW w:type="dxa" w:w="2512"/>
          </w:tcPr>
          <w:p>
            <w:pPr>
              <w:spacing w:after="0"/>
            </w:pPr>
            <w:r>
              <w:rPr>
                <w:sz w:val="19"/>
              </w:rPr>
              <w:t>Rolle</w:t>
            </w:r>
          </w:p>
        </w:tc>
        <w:tc>
          <w:tcPr>
            <w:tcW w:type="dxa" w:w="6899"/>
          </w:tcPr>
          <w:p>
            <w:pPr>
              <w:spacing w:after="0"/>
            </w:pPr>
            <w:r>
              <w:rPr>
                <w:sz w:val="19"/>
              </w:rPr>
              <w:t>Projektleitung (Data Specialist in Personalunion)</w:t>
            </w:r>
          </w:p>
        </w:tc>
      </w:tr>
      <w:tr>
        <w:trPr/>
        <w:tc>
          <w:tcPr>
            <w:tcW w:type="dxa" w:w="2512"/>
          </w:tcPr>
          <w:p>
            <w:pPr>
              <w:spacing w:after="0"/>
            </w:pPr>
            <w:r>
              <w:rPr>
                <w:sz w:val="19"/>
              </w:rPr>
              <w:t>Zeitraum</w:t>
            </w:r>
          </w:p>
        </w:tc>
        <w:tc>
          <w:tcPr>
            <w:tcW w:type="dxa" w:w="6899"/>
          </w:tcPr>
          <w:p>
            <w:pPr>
              <w:spacing w:after="0"/>
            </w:pPr>
            <w:r>
              <w:rPr>
                <w:sz w:val="19"/>
              </w:rPr>
              <w:t>23.09.2026 bis Kursende (voraussichtlich Mitte Oktober 2026)</w:t>
            </w:r>
          </w:p>
        </w:tc>
      </w:tr>
      <w:tr>
        <w:trPr/>
        <w:tc>
          <w:tcPr>
            <w:tcW w:type="dxa" w:w="2512"/>
          </w:tcPr>
          <w:p>
            <w:pPr>
              <w:spacing w:after="0"/>
            </w:pPr>
            <w:r>
              <w:rPr>
                <w:sz w:val="19"/>
              </w:rPr>
              <w:t>Version</w:t>
            </w:r>
          </w:p>
        </w:tc>
        <w:tc>
          <w:tcPr>
            <w:tcW w:type="dxa" w:w="6899"/>
          </w:tcPr>
          <w:p>
            <w:pPr>
              <w:spacing w:after="0"/>
            </w:pPr>
            <w:r>
              <w:rPr>
                <w:sz w:val="19"/>
              </w:rPr>
              <w:t xml:space="preserve">1.10 · Stand 06.10.2026 · Status: </w:t>
            </w:r>
            <w:r>
              <w:rPr>
                <w:b/>
                <w:sz w:val="19"/>
              </w:rPr>
              <w:t>freigegeben 06.10.2026 (Projektleitung)</w:t>
            </w:r>
          </w:p>
        </w:tc>
      </w:tr>
      <w:tr>
        <w:trPr/>
        <w:tc>
          <w:tcPr>
            <w:tcW w:type="dxa" w:w="2512"/>
          </w:tcPr>
          <w:p>
            <w:pPr>
              <w:spacing w:after="0"/>
            </w:pPr>
            <w:r>
              <w:rPr>
                <w:sz w:val="19"/>
              </w:rPr>
              <w:t>KI-Unterstützung</w:t>
            </w:r>
          </w:p>
        </w:tc>
        <w:tc>
          <w:tcPr>
            <w:tcW w:type="dxa" w:w="6899"/>
          </w:tcPr>
          <w:p>
            <w:pPr>
              <w:spacing w:after="0"/>
            </w:pPr>
            <w:r>
              <w:rPr>
                <w:sz w:val="19"/>
              </w:rPr>
              <w:t>Entwurf mit KI-Unterstützung erstellt, geprüft und verantwortet von der Projektleitung (RL-RC-004 Abschnitt 0)</w:t>
            </w:r>
          </w:p>
        </w:tc>
      </w:tr>
      <w:tr>
        <w:trPr/>
        <w:tc>
          <w:tcPr>
            <w:tcW w:type="dxa" w:w="2512"/>
          </w:tcPr>
          <w:p>
            <w:pPr>
              <w:spacing w:after="0"/>
            </w:pPr>
            <w:r>
              <w:rPr>
                <w:sz w:val="19"/>
              </w:rPr>
              <w:t>Grundlage</w:t>
            </w:r>
          </w:p>
        </w:tc>
        <w:tc>
          <w:tcPr>
            <w:tcW w:type="dxa" w:w="6899"/>
          </w:tcPr>
          <w:p>
            <w:pPr>
              <w:spacing w:after="0"/>
            </w:pPr>
            <w:r>
              <w:rPr>
                <w:sz w:val="19"/>
              </w:rPr>
              <w:t>BS-ITS-002 Brainstorming v1.9 (Ideen I1–I82, Konzeptgedanken K1–K8, Folgeprojekte FP-1–FP-7; FP-4 entfällt) · PP-ITS-002 Projektplan v1.11 (Soll-Konzept Kap. 4, Meilensteine M1–M5 Kap. 5, Folgeprojekte Kap. 8, Handlungsempfehlungen Kap. 9)</w:t>
            </w:r>
          </w:p>
        </w:tc>
      </w:tr>
      <w:tr>
        <w:trPr/>
        <w:tc>
          <w:tcPr>
            <w:tcW w:type="dxa" w:w="2512"/>
          </w:tcPr>
          <w:p>
            <w:pPr>
              <w:spacing w:after="0"/>
            </w:pPr>
            <w:r>
              <w:rPr>
                <w:sz w:val="19"/>
              </w:rPr>
              <w:t>Folgedokumente</w:t>
            </w:r>
          </w:p>
        </w:tc>
        <w:tc>
          <w:tcPr>
            <w:tcW w:type="dxa" w:w="6899"/>
          </w:tcPr>
          <w:p>
            <w:pPr>
              <w:spacing w:after="0"/>
            </w:pPr>
            <w:r>
              <w:rPr>
                <w:sz w:val="19"/>
              </w:rPr>
              <w:t>AN-ITS-001 Anleitung Azure-Datenplattform (Gesamt-Anleitung Phase 1–3, mit Befehls-Anhang C)</w:t>
            </w:r>
          </w:p>
        </w:tc>
      </w:tr>
      <w:tr>
        <w:trPr/>
        <w:tc>
          <w:tcPr>
            <w:tcW w:type="dxa" w:w="2512"/>
          </w:tcPr>
          <w:p>
            <w:pPr>
              <w:spacing w:after="0"/>
            </w:pPr>
            <w:r>
              <w:rPr>
                <w:sz w:val="19"/>
              </w:rPr>
              <w:t>Änderung zu 1.9</w:t>
            </w:r>
          </w:p>
        </w:tc>
        <w:tc>
          <w:tcPr>
            <w:tcW w:type="dxa" w:w="6899"/>
          </w:tcPr>
          <w:p>
            <w:pPr>
              <w:spacing w:after="0"/>
            </w:pPr>
            <w:r>
              <w:rPr>
                <w:sz w:val="19"/>
              </w:rPr>
              <w:t xml:space="preserve">Logikprüfung und projektweiter Abgleich (06.10.2026): Karte 2.1 ohne alte Gruppennamen (Personenbezug), Anleitung AN-ITS-001 v3.0, Lieferumfang ohne die internen Ordner </w:t>
            </w:r>
            <w:r>
              <w:rPr>
                <w:rFonts w:ascii="Courier New" w:hAnsi="Courier New"/>
                <w:sz w:val="17"/>
              </w:rPr>
              <w:t>06_vorlagen</w:t>
            </w:r>
            <w:r>
              <w:rPr>
                <w:sz w:val="19"/>
              </w:rPr>
              <w:t>/</w:t>
            </w:r>
            <w:r>
              <w:rPr>
                <w:rFonts w:ascii="Courier New" w:hAnsi="Courier New"/>
                <w:sz w:val="17"/>
              </w:rPr>
              <w:t>08_dashboard_ITS-DA</w:t>
            </w:r>
            <w:r>
              <w:rPr>
                <w:sz w:val="19"/>
              </w:rPr>
              <w:t xml:space="preserve"> (nicht veröffentlicht, Entscheidung Geschäftsführung 05.10.2026), Checkpoint 5 aktualisiert</w:t>
            </w:r>
          </w:p>
        </w:tc>
      </w:tr>
      <w:tr>
        <w:trPr/>
        <w:tc>
          <w:tcPr>
            <w:tcW w:type="dxa" w:w="2512"/>
          </w:tcPr>
          <w:p>
            <w:pPr>
              <w:spacing w:after="0"/>
            </w:pPr>
            <w:r>
              <w:rPr>
                <w:sz w:val="19"/>
              </w:rPr>
              <w:t>Änderung zu 1.8</w:t>
            </w:r>
          </w:p>
        </w:tc>
        <w:tc>
          <w:tcPr>
            <w:tcW w:type="dxa" w:w="6899"/>
          </w:tcPr>
          <w:p>
            <w:pPr>
              <w:spacing w:after="0"/>
            </w:pPr>
            <w:r>
              <w:rPr>
                <w:sz w:val="19"/>
              </w:rPr>
              <w:t>Folgeprojekt FP-4 entfällt, da die Rohdaten nicht veröffentlicht werden (Entscheidung Geschäftsführung 05.10.2026): Lizenzfragen erledigt, fachliche Bestätigung durch eine Imkerei → FP-2 (Dashboard, Warnregeln); Kapitelverweise auf den Projektplan v1.11 korrigiert</w:t>
            </w:r>
          </w:p>
        </w:tc>
      </w:tr>
      <w:tr>
        <w:trPr/>
        <w:tc>
          <w:tcPr>
            <w:tcW w:type="dxa" w:w="2512"/>
          </w:tcPr>
          <w:p>
            <w:pPr>
              <w:spacing w:after="0"/>
            </w:pPr>
            <w:r>
              <w:rPr>
                <w:sz w:val="19"/>
              </w:rPr>
              <w:t>Änderung zu 1.7</w:t>
            </w:r>
          </w:p>
        </w:tc>
        <w:tc>
          <w:tcPr>
            <w:tcW w:type="dxa" w:w="6899"/>
          </w:tcPr>
          <w:p>
            <w:pPr>
              <w:spacing w:after="0"/>
            </w:pPr>
            <w:r>
              <w:rPr>
                <w:sz w:val="19"/>
              </w:rPr>
              <w:t>für Anfänger und Stakeholder überarbeitet: jede Karte mit „Einfach erklärt“, Befund-Register mit Erklärung je Befund, Lesehilfe (Kap. 1.4), Glossar (Kap. 8.10); Feld „Offene Fragen“ → „Klärung (Stand Abschluss)“, kein offener Punkt ohne Endstand</w:t>
            </w:r>
          </w:p>
        </w:tc>
      </w:tr>
      <w:tr>
        <w:trPr/>
        <w:tc>
          <w:tcPr>
            <w:tcW w:type="dxa" w:w="2512"/>
          </w:tcPr>
          <w:p>
            <w:pPr>
              <w:spacing w:after="0"/>
            </w:pPr>
            <w:r>
              <w:rPr>
                <w:sz w:val="19"/>
              </w:rPr>
              <w:t>Änderung zu 1.6</w:t>
            </w:r>
          </w:p>
        </w:tc>
        <w:tc>
          <w:tcPr>
            <w:tcW w:type="dxa" w:w="6899"/>
          </w:tcPr>
          <w:p>
            <w:pPr>
              <w:spacing w:after="0"/>
            </w:pPr>
            <w:r>
              <w:rPr>
                <w:sz w:val="19"/>
              </w:rPr>
              <w:t xml:space="preserve">neu Kap. 0 „Ergebnisse auf einen Blick“ (zentrale Grafiken, 3 wichtigste Ergebnisse); Karten 5.10–5.14 abgeschlossen bzw. Folgeprojekten zugeordnet; Kap. 5 Beiträge je Rolle; Kap. 7 Fazit und Handlungsempfehlungen; Grafiken je Stadt in </w:t>
            </w:r>
            <w:r>
              <w:rPr>
                <w:rFonts w:ascii="Courier New" w:hAnsi="Courier New"/>
                <w:sz w:val="17"/>
              </w:rPr>
              <w:t>04_images/&lt;stadt&gt;/</w:t>
            </w:r>
            <w:r>
              <w:rPr>
                <w:sz w:val="19"/>
              </w:rPr>
              <w:t>, Links geprüft; Datenminimierung Gold (I73) begründet</w:t>
            </w:r>
          </w:p>
        </w:tc>
      </w:tr>
      <w:tr>
        <w:trPr/>
        <w:tc>
          <w:tcPr>
            <w:tcW w:type="dxa" w:w="2512"/>
          </w:tcPr>
          <w:p>
            <w:pPr>
              <w:spacing w:after="0"/>
            </w:pPr>
            <w:r>
              <w:rPr>
                <w:sz w:val="19"/>
              </w:rPr>
              <w:t>Frühere Änderungen</w:t>
            </w:r>
          </w:p>
        </w:tc>
        <w:tc>
          <w:tcPr>
            <w:tcW w:type="dxa" w:w="6899"/>
          </w:tcPr>
          <w:p>
            <w:pPr>
              <w:spacing w:after="0"/>
            </w:pPr>
            <w:r>
              <w:rPr>
                <w:sz w:val="19"/>
              </w:rPr>
              <w:t>1.6: Würzburg in Azure, Trigger, Warnregeln, Ist-Kosten · 1.5: ADF ↔ Synapse, Gold-Pipeline, Würzburg lokal · 1.4: Synapse-Arbeitsbereich · 1.2/1.3: Kaggle-Beschreibung, Karten 5.5–5.9 · 1.1: Einsteiger-Erklärungen · 1.0: Schritt-Karten</w:t>
            </w:r>
          </w:p>
        </w:tc>
      </w:tr>
    </w:tbl>
    <w:p>
      <w:pPr>
        <w:spacing w:after="0" w:line="20" w:lineRule="exact"/>
      </w:pPr>
    </w:p>
    <w:p>
      <w:pPr>
        <w:shd w:val="clear" w:color="auto" w:fill="F2F2F2"/>
        <w:pBdr>
          <w:left w:val="single" w:sz="18" w:space="8" w:color="1F3A5F"/>
        </w:pBdr>
      </w:pPr>
      <w:r>
        <w:t xml:space="preserve">Dieses Pflichtenheft beschreibt das ganze Projekt </w:t>
      </w:r>
      <w:r>
        <w:rPr>
          <w:b/>
        </w:rPr>
        <w:t>Schritt für Schritt in der Reihenfolge der tatsächlichen Arbeit</w:t>
      </w:r>
      <w:r>
        <w:t xml:space="preserve"> (M1 → M5). Jeder Schritt zeigt den gewählten Weg (roter Faden), aber auch die anderen Lösungswege, Gefahren und offenen Fragen. So kann das Vorgehen auf andere Projekte, auf Agenten und auf maschinelles Lernen übertragen und bei Bedarf angepasst werden. Grafiken sind verlinkt (Ordner </w:t>
      </w:r>
      <w:r>
        <w:rPr>
          <w:rFonts w:ascii="Courier New" w:hAnsi="Courier New"/>
          <w:sz w:val="19"/>
        </w:rPr>
        <w:t>04_images/</w:t>
      </w:r>
      <w:r>
        <w:t xml:space="preserve"> für übergreifende Grafiken, </w:t>
      </w:r>
      <w:r>
        <w:rPr>
          <w:rFonts w:ascii="Courier New" w:hAnsi="Courier New"/>
          <w:sz w:val="19"/>
        </w:rPr>
        <w:t>04_images/&lt;stadt&gt;/</w:t>
      </w:r>
      <w:r>
        <w:t xml:space="preserve"> je Standort), nicht eingebettet. </w:t>
      </w:r>
      <w:r>
        <w:rPr>
          <w:b/>
        </w:rPr>
        <w:t>Wer nur das Ergebnis braucht, liest Kapitel 0 und 7.</w:t>
      </w:r>
    </w:p>
    <w:p>
      <w:pPr>
        <w:pStyle w:val="Heading1"/>
      </w:pPr>
      <w:r>
        <w:t>0. Ergebnisse auf einen Blick</w:t>
      </w:r>
    </w:p>
    <w:p>
      <w:pPr>
        <w:spacing w:after="0" w:line="20" w:lineRule="exact"/>
      </w:pPr>
    </w:p>
    <w:p>
      <w:r>
        <w:rPr>
          <w:b/>
        </w:rPr>
        <w:t>Gesamtübersicht – fertige Pipeline:</w:t>
      </w:r>
      <w:r>
        <w:t xml:space="preserve"> </w:t>
      </w:r>
      <w:hyperlink r:id="rId10">
        <w:r>
          <w:rPr>
            <w:color w:val="0563C1"/>
            <w:u w:val="single"/>
          </w:rPr>
          <w:t xml:space="preserve">04_images/p2_pipeline_endstand.png</w:t>
        </w:r>
      </w:hyperlink>
    </w:p>
    <w:p>
      <w:r>
        <w:t>Eine Datenplattform in Microsoft Azure nimmt neue Sensordaten automatisch auf, archiviert sie unverändert, bereinigt und prüft sie je Standort, reichert sie mit Wetterdaten an und legt sie analysebereit ab (Bronze → Silver → Gold). Gesteuert wird alles von einer Master-Pipeline, die ein täglicher Trigger startet; Fehler melden sich per E-Mail.</w:t>
      </w:r>
    </w:p>
    <w:p>
      <w:r>
        <w:rPr>
          <w:b/>
        </w:rPr>
        <w:t>Die drei wichtigsten Ergebnisse</w:t>
      </w:r>
    </w:p>
    <w:tbl>
      <w:tblPr>
        <w:tblStyle w:val="TableGrid"/>
        <w:tblW w:type="auto" w:w="0"/>
        <w:jc w:val="center"/>
        <w:tblLayout w:type="fixed"/>
        <w:tblLook w:firstColumn="1" w:firstRow="1" w:lastColumn="0" w:lastRow="0" w:noHBand="0" w:noVBand="1" w:val="04A0"/>
      </w:tblPr>
      <w:tblGrid>
        <w:gridCol w:w="783"/>
        <w:gridCol w:w="2983"/>
        <w:gridCol w:w="2347"/>
        <w:gridCol w:w="3298"/>
      </w:tblGrid>
      <w:tr>
        <w:trPr>
          <w:tblHeader/>
        </w:trPr>
        <w:tc>
          <w:tcPr>
            <w:tcW w:type="dxa" w:w="783"/>
            <w:shd w:val="clear" w:color="auto" w:fill="D9E2F3"/>
          </w:tcPr>
          <w:p>
            <w:pPr>
              <w:spacing w:after="0"/>
            </w:pPr>
            <w:r>
              <w:rPr>
                <w:b/>
                <w:sz w:val="19"/>
              </w:rPr>
              <w:t>Nr.</w:t>
            </w:r>
          </w:p>
        </w:tc>
        <w:tc>
          <w:tcPr>
            <w:tcW w:type="dxa" w:w="2983"/>
            <w:shd w:val="clear" w:color="auto" w:fill="D9E2F3"/>
          </w:tcPr>
          <w:p>
            <w:pPr>
              <w:spacing w:after="0"/>
            </w:pPr>
            <w:r>
              <w:rPr>
                <w:b/>
                <w:sz w:val="19"/>
              </w:rPr>
              <w:t>Ergebnis</w:t>
            </w:r>
          </w:p>
        </w:tc>
        <w:tc>
          <w:tcPr>
            <w:tcW w:type="dxa" w:w="2347"/>
            <w:shd w:val="clear" w:color="auto" w:fill="D9E2F3"/>
          </w:tcPr>
          <w:p>
            <w:pPr>
              <w:spacing w:after="0"/>
            </w:pPr>
            <w:r>
              <w:rPr>
                <w:b/>
                <w:sz w:val="19"/>
              </w:rPr>
              <w:t>Kennzahl</w:t>
            </w:r>
          </w:p>
        </w:tc>
        <w:tc>
          <w:tcPr>
            <w:tcW w:type="dxa" w:w="3298"/>
            <w:shd w:val="clear" w:color="auto" w:fill="D9E2F3"/>
          </w:tcPr>
          <w:p>
            <w:pPr>
              <w:spacing w:after="0"/>
            </w:pPr>
            <w:r>
              <w:rPr>
                <w:b/>
                <w:sz w:val="19"/>
              </w:rPr>
              <w:t>Grafik</w:t>
            </w:r>
          </w:p>
        </w:tc>
      </w:tr>
      <w:tr>
        <w:trPr/>
        <w:tc>
          <w:tcPr>
            <w:tcW w:type="dxa" w:w="783"/>
          </w:tcPr>
          <w:p>
            <w:pPr>
              <w:spacing w:after="0"/>
            </w:pPr>
            <w:r>
              <w:rPr>
                <w:sz w:val="19"/>
              </w:rPr>
              <w:t>1</w:t>
            </w:r>
          </w:p>
        </w:tc>
        <w:tc>
          <w:tcPr>
            <w:tcW w:type="dxa" w:w="2983"/>
          </w:tcPr>
          <w:p>
            <w:pPr>
              <w:spacing w:after="0"/>
            </w:pPr>
            <w:r>
              <w:rPr>
                <w:b/>
                <w:sz w:val="19"/>
              </w:rPr>
              <w:t>Die Pipeline läuft vollständig automatisiert und ist übertragbar.</w:t>
            </w:r>
            <w:r>
              <w:rPr>
                <w:sz w:val="19"/>
              </w:rPr>
              <w:t xml:space="preserve"> Ein zweiter Standort (Würzburg) kam ohne Umbau hinzu – nur neue Zeilen in drei Konfigurationstabellen.</w:t>
            </w:r>
          </w:p>
        </w:tc>
        <w:tc>
          <w:tcPr>
            <w:tcW w:type="dxa" w:w="2347"/>
          </w:tcPr>
          <w:p>
            <w:pPr>
              <w:spacing w:after="0"/>
            </w:pPr>
            <w:r>
              <w:rPr>
                <w:sz w:val="19"/>
              </w:rPr>
              <w:t xml:space="preserve">Gesamtlauf 2 Städte ca. 13 Min.; Gegenprobe Azure = lokal; alle Tests zusammen </w:t>
            </w:r>
            <w:r>
              <w:rPr>
                <w:b/>
                <w:sz w:val="19"/>
              </w:rPr>
              <w:t>1,02 €</w:t>
            </w:r>
          </w:p>
        </w:tc>
        <w:tc>
          <w:tcPr>
            <w:tcW w:type="dxa" w:w="3298"/>
          </w:tcPr>
          <w:p>
            <w:pPr>
              <w:spacing w:after="0"/>
            </w:pPr>
            <w:hyperlink r:id="rId10">
              <w:r>
                <w:rPr>
                  <w:color w:val="0563C1"/>
                  <w:u w:val="single"/>
                </w:rPr>
                <w:t xml:space="preserve">04_images/p2_pipeline_endstand.png</w:t>
              </w:r>
            </w:hyperlink>
          </w:p>
        </w:tc>
      </w:tr>
      <w:tr>
        <w:trPr/>
        <w:tc>
          <w:tcPr>
            <w:tcW w:type="dxa" w:w="783"/>
          </w:tcPr>
          <w:p>
            <w:pPr>
              <w:spacing w:after="0"/>
            </w:pPr>
            <w:r>
              <w:rPr>
                <w:sz w:val="19"/>
              </w:rPr>
              <w:t>2</w:t>
            </w:r>
          </w:p>
        </w:tc>
        <w:tc>
          <w:tcPr>
            <w:tcW w:type="dxa" w:w="2983"/>
          </w:tcPr>
          <w:p>
            <w:pPr>
              <w:spacing w:after="0"/>
            </w:pPr>
            <w:r>
              <w:rPr>
                <w:b/>
                <w:sz w:val="19"/>
              </w:rPr>
              <w:t>Der Honigertrag unterscheidet sich je Standort deutlich.</w:t>
            </w:r>
            <w:r>
              <w:rPr>
                <w:sz w:val="19"/>
              </w:rPr>
              <w:t xml:space="preserve"> Nur 2017 ist an beiden Standorten vollständig.</w:t>
            </w:r>
          </w:p>
        </w:tc>
        <w:tc>
          <w:tcPr>
            <w:tcW w:type="dxa" w:w="2347"/>
          </w:tcPr>
          <w:p>
            <w:pPr>
              <w:spacing w:after="0"/>
            </w:pPr>
            <w:r>
              <w:rPr>
                <w:sz w:val="19"/>
              </w:rPr>
              <w:t xml:space="preserve">Saisonertrag 2017 (Untergrenze): </w:t>
            </w:r>
            <w:r>
              <w:rPr>
                <w:b/>
                <w:sz w:val="19"/>
              </w:rPr>
              <w:t>Schwartau ca. 74 kg, Würzburg ca. 24 kg</w:t>
            </w:r>
          </w:p>
        </w:tc>
        <w:tc>
          <w:tcPr>
            <w:tcW w:type="dxa" w:w="3298"/>
          </w:tcPr>
          <w:p>
            <w:pPr>
              <w:spacing w:after="0"/>
            </w:pPr>
            <w:hyperlink r:id="rId11">
              <w:r>
                <w:rPr>
                  <w:color w:val="0563C1"/>
                  <w:u w:val="single"/>
                </w:rPr>
                <w:t xml:space="preserve">04_images/v1_honig_saison.png</w:t>
              </w:r>
            </w:hyperlink>
          </w:p>
        </w:tc>
      </w:tr>
      <w:tr>
        <w:trPr/>
        <w:tc>
          <w:tcPr>
            <w:tcW w:type="dxa" w:w="783"/>
          </w:tcPr>
          <w:p>
            <w:pPr>
              <w:spacing w:after="0"/>
            </w:pPr>
            <w:r>
              <w:rPr>
                <w:sz w:val="19"/>
              </w:rPr>
              <w:t>3</w:t>
            </w:r>
          </w:p>
        </w:tc>
        <w:tc>
          <w:tcPr>
            <w:tcW w:type="dxa" w:w="2983"/>
          </w:tcPr>
          <w:p>
            <w:pPr>
              <w:spacing w:after="0"/>
            </w:pPr>
            <w:r>
              <w:rPr>
                <w:b/>
                <w:sz w:val="19"/>
              </w:rPr>
              <w:t>Sonne und trockenes Wetter bestimmen den Bienenflug stärker als die Temperatur.</w:t>
            </w:r>
            <w:r>
              <w:rPr>
                <w:sz w:val="19"/>
              </w:rPr>
              <w:t xml:space="preserve"> Regen senkt den Flug deutlich; Tage mit hoher Honigproduktion sind sonnig und regenfrei.</w:t>
            </w:r>
          </w:p>
        </w:tc>
        <w:tc>
          <w:tcPr>
            <w:tcW w:type="dxa" w:w="2347"/>
          </w:tcPr>
          <w:p>
            <w:pPr>
              <w:spacing w:after="0"/>
            </w:pPr>
            <w:r>
              <w:rPr>
                <w:sz w:val="19"/>
              </w:rPr>
              <w:t>Regen −58 % (Schwartau) bzw. −69 % (Würzburg); volle Sonne 3- bis 5-mal so viel Flug wie keine Sonne</w:t>
            </w:r>
          </w:p>
        </w:tc>
        <w:tc>
          <w:tcPr>
            <w:tcW w:type="dxa" w:w="3298"/>
          </w:tcPr>
          <w:p>
            <w:pPr>
              <w:spacing w:after="0"/>
            </w:pPr>
            <w:hyperlink r:id="rId12">
              <w:r>
                <w:rPr>
                  <w:color w:val="0563C1"/>
                  <w:u w:val="single"/>
                </w:rPr>
                <w:t xml:space="preserve">04_images/schwartau/a4_a6_flug_regen_sonne_stunde.png</w:t>
              </w:r>
            </w:hyperlink>
            <w:r>
              <w:rPr>
                <w:sz w:val="19"/>
              </w:rPr>
              <w:t xml:space="preserve"> · </w:t>
            </w:r>
            <w:hyperlink r:id="rId13">
              <w:r>
                <w:rPr>
                  <w:color w:val="0563C1"/>
                  <w:u w:val="single"/>
                </w:rPr>
                <w:t xml:space="preserve">04_images/schwartau/h1_honig_produktion.png</w:t>
              </w:r>
            </w:hyperlink>
          </w:p>
        </w:tc>
      </w:tr>
    </w:tbl>
    <w:p>
      <w:pPr>
        <w:spacing w:after="0" w:line="20" w:lineRule="exact"/>
      </w:pPr>
    </w:p>
    <w:p>
      <w:r>
        <w:rPr>
          <w:b/>
        </w:rPr>
        <w:t>Handlungsempfehlungen und Folgeprojekte:</w:t>
      </w:r>
      <w:r>
        <w:t xml:space="preserve"> Kapitel 7 und Projektplan PP-ITS-002 Kap. 8/9.</w:t>
      </w:r>
    </w:p>
    <w:p>
      <w:pPr>
        <w:pStyle w:val="Heading1"/>
        <w:pageBreakBefore/>
      </w:pPr>
      <w:r>
        <w:t>1. Ausgangssituation &amp; Zielsetzung</w:t>
      </w:r>
    </w:p>
    <w:p>
      <w:pPr>
        <w:spacing w:after="0" w:line="20" w:lineRule="exact"/>
      </w:pPr>
    </w:p>
    <w:p>
      <w:pPr>
        <w:pStyle w:val="Heading2"/>
      </w:pPr>
      <w:r>
        <w:t>1.1 Projektkontext</w:t>
      </w:r>
    </w:p>
    <w:p>
      <w:pPr>
        <w:spacing w:after="0" w:line="20" w:lineRule="exact"/>
      </w:pPr>
    </w:p>
    <w:p>
      <w:r>
        <w:t>Sensordaten von Bienenstöcken (Standorte Schwartau und Würzburg) liegen als CSV-Dateien vor: Flugbewegungen am Flugloch, Temperatur und Luftfeuchte im Stock sowie das Stockgewicht. Die Daten sollen nicht einmalig von Hand, sondern wiederholbar und automatisiert verarbeitet werden – so, wie es ein Betrieb mit täglich neuen Lieferungen bräuchte.</w:t>
      </w:r>
    </w:p>
    <w:p>
      <w:r>
        <w:t xml:space="preserve">Das Projekt ist das Kursprojekt zu Kapitel 9 (Cloud Computing mit Microsoft Azure). Bee Haven ist der Anwendungsfall; das Ergebnis ist eine übertragbare Datenplattform nach der </w:t>
      </w:r>
      <w:r>
        <w:rPr>
          <w:b/>
        </w:rPr>
        <w:t>Medallion Architecture (Medaillon-Architektur)</w:t>
      </w:r>
      <w:r>
        <w:t>: Bronze (Rohdaten, unverändert) → Silver (bereinigt) → Gold (analysebereit).</w:t>
      </w:r>
    </w:p>
    <w:p>
      <w:pPr>
        <w:pStyle w:val="Heading2"/>
      </w:pPr>
      <w:r>
        <w:t>1.2 Zielsetzung &amp; Meilensteine</w:t>
      </w:r>
    </w:p>
    <w:p>
      <w:pPr>
        <w:spacing w:after="0" w:line="20" w:lineRule="exact"/>
      </w:pPr>
    </w:p>
    <w:p>
      <w:r>
        <w:t>Ziel ist eine nachvollziehbare Datenplattform in Azure, die Rohdaten automatisch aufnimmt, archiviert, bereinigt, mit Wetterdaten anreichert und als Grundlage für Analyse und Dashboard bereitstellt.</w:t>
      </w:r>
    </w:p>
    <w:p>
      <w:pPr>
        <w:pStyle w:val="ListNumber"/>
        <w:spacing w:after="40"/>
      </w:pPr>
      <w:r>
        <w:rPr>
          <w:b/>
        </w:rPr>
        <w:t>M1 – Einrichtung Azure (23.–24.09.2026):</w:t>
      </w:r>
      <w:r>
        <w:t xml:space="preserve"> Ressourcen, Rechte, Pipelines für Datenaufnahme und Archiv.</w:t>
      </w:r>
    </w:p>
    <w:p>
      <w:pPr>
        <w:pStyle w:val="ListNumber"/>
        <w:spacing w:after="40"/>
      </w:pPr>
      <w:r>
        <w:rPr>
          <w:b/>
        </w:rPr>
        <w:t>M2 – Datenverständnis und Bereinigung (25.09.2026):</w:t>
      </w:r>
      <w:r>
        <w:t xml:space="preserve"> Datenprofil, Bereinigungsregeln, Notebooks N1–N2, erste Analyse.</w:t>
      </w:r>
    </w:p>
    <w:p>
      <w:pPr>
        <w:pStyle w:val="ListNumber"/>
        <w:spacing w:after="40"/>
      </w:pPr>
      <w:r>
        <w:rPr>
          <w:b/>
        </w:rPr>
        <w:t>M3 – Plausibilität, Wetter, Analyse, Master-Pipeline (28.09.2026):</w:t>
      </w:r>
      <w:r>
        <w:t xml:space="preserve"> Ausreißer, Wetterdaten (N3), Analyse (N4), erste Master-Pipeline.</w:t>
      </w:r>
    </w:p>
    <w:p>
      <w:pPr>
        <w:pStyle w:val="ListNumber"/>
        <w:spacing w:after="40"/>
      </w:pPr>
      <w:r>
        <w:rPr>
          <w:b/>
        </w:rPr>
        <w:t>M4 – Weg A, mehrere Standorte, erweiterte Analyse (29.09.2026):</w:t>
      </w:r>
      <w:r>
        <w:t xml:space="preserve"> Pipeline-Aufbau, Parameter </w:t>
      </w:r>
      <w:r>
        <w:rPr>
          <w:rFonts w:ascii="Courier New" w:hAnsi="Courier New"/>
          <w:sz w:val="19"/>
        </w:rPr>
        <w:t>STADT</w:t>
      </w:r>
      <w:r>
        <w:t>, Analysen A7–A10 und H1.</w:t>
      </w:r>
    </w:p>
    <w:p>
      <w:pPr>
        <w:pStyle w:val="ListNumber"/>
        <w:spacing w:after="40"/>
      </w:pPr>
      <w:r>
        <w:rPr>
          <w:b/>
        </w:rPr>
        <w:t>M5 – Azure vervollständigen und abschließen (30.09.–13.10.2026):</w:t>
      </w:r>
      <w:r>
        <w:t xml:space="preserve"> offene Befunde, Speicherformat, Notebooks in Azure, zweiter Standort, Trigger und Überwachung, Dokumentation, Abschluss.</w:t>
      </w:r>
    </w:p>
    <w:tbl>
      <w:tblPr>
        <w:tblStyle w:val="TableGrid"/>
        <w:tblW w:type="auto" w:w="0"/>
        <w:jc w:val="center"/>
        <w:tblLayout w:type="fixed"/>
        <w:tblLook w:firstColumn="1" w:firstRow="1" w:lastColumn="0" w:lastRow="0" w:noHBand="0" w:noVBand="1" w:val="04A0"/>
      </w:tblPr>
      <w:tblGrid>
        <w:gridCol w:w="3432"/>
        <w:gridCol w:w="3133"/>
        <w:gridCol w:w="2846"/>
      </w:tblGrid>
      <w:tr>
        <w:trPr>
          <w:tblHeader/>
          <w:cantSplit/>
        </w:trPr>
        <w:tc>
          <w:tcPr>
            <w:tcW w:type="dxa" w:w="9411"/>
            <w:gridSpan w:val="3"/>
            <w:tcBorders>
              <w:top w:val="nil"/>
              <w:left w:val="nil"/>
              <w:right w:val="nil"/>
            </w:tcBorders>
          </w:tcPr>
          <w:p>
            <w:pPr>
              <w:pStyle w:val="Heading2"/>
              <w:spacing w:before="200" w:after="60"/>
            </w:pPr>
            <w:r>
              <w:t>1.3 Umfang</w:t>
            </w:r>
          </w:p>
        </w:tc>
      </w:tr>
      <w:tr>
        <w:trPr>
          <w:tblHeader/>
        </w:trPr>
        <w:tc>
          <w:tcPr>
            <w:tcW w:type="dxa" w:w="3432"/>
            <w:shd w:val="clear" w:color="auto" w:fill="D9E2F3"/>
          </w:tcPr>
          <w:p>
            <w:pPr>
              <w:spacing w:after="0"/>
            </w:pPr>
            <w:r>
              <w:rPr>
                <w:b/>
                <w:sz w:val="19"/>
              </w:rPr>
              <w:t>Muss</w:t>
            </w:r>
          </w:p>
        </w:tc>
        <w:tc>
          <w:tcPr>
            <w:tcW w:type="dxa" w:w="3133"/>
            <w:shd w:val="clear" w:color="auto" w:fill="D9E2F3"/>
          </w:tcPr>
          <w:p>
            <w:pPr>
              <w:spacing w:after="0"/>
            </w:pPr>
            <w:r>
              <w:rPr>
                <w:b/>
                <w:sz w:val="19"/>
              </w:rPr>
              <w:t>Kann</w:t>
            </w:r>
          </w:p>
        </w:tc>
        <w:tc>
          <w:tcPr>
            <w:tcW w:type="dxa" w:w="2846"/>
            <w:shd w:val="clear" w:color="auto" w:fill="D9E2F3"/>
          </w:tcPr>
          <w:p>
            <w:pPr>
              <w:spacing w:after="0"/>
            </w:pPr>
            <w:r>
              <w:rPr>
                <w:b/>
                <w:sz w:val="19"/>
              </w:rPr>
              <w:t>Stand</w:t>
            </w:r>
          </w:p>
        </w:tc>
      </w:tr>
      <w:tr>
        <w:trPr/>
        <w:tc>
          <w:tcPr>
            <w:tcW w:type="dxa" w:w="3432"/>
          </w:tcPr>
          <w:p>
            <w:pPr>
              <w:spacing w:after="0"/>
            </w:pPr>
            <w:r>
              <w:rPr>
                <w:sz w:val="19"/>
              </w:rPr>
              <w:t>Rohdaten automatisiert nach Bronze laden und mit Zeitstempel archivieren</w:t>
            </w:r>
          </w:p>
        </w:tc>
        <w:tc>
          <w:tcPr>
            <w:tcW w:type="dxa" w:w="3133"/>
          </w:tcPr>
          <w:p>
            <w:pPr>
              <w:spacing w:after="0"/>
            </w:pPr>
            <w:r>
              <w:rPr>
                <w:sz w:val="19"/>
              </w:rPr>
              <w:t>–</w:t>
            </w:r>
          </w:p>
        </w:tc>
        <w:tc>
          <w:tcPr>
            <w:tcW w:type="dxa" w:w="2846"/>
          </w:tcPr>
          <w:p>
            <w:pPr>
              <w:spacing w:after="0"/>
            </w:pPr>
            <w:r>
              <w:rPr>
                <w:sz w:val="19"/>
              </w:rPr>
              <w:t>erreicht</w:t>
            </w:r>
          </w:p>
        </w:tc>
      </w:tr>
      <w:tr>
        <w:trPr/>
        <w:tc>
          <w:tcPr>
            <w:tcW w:type="dxa" w:w="3432"/>
          </w:tcPr>
          <w:p>
            <w:pPr>
              <w:spacing w:after="0"/>
            </w:pPr>
            <w:r>
              <w:rPr>
                <w:sz w:val="19"/>
              </w:rPr>
              <w:t xml:space="preserve">Daten je Stadt und Sensor bereinigen und nach </w:t>
            </w:r>
            <w:r>
              <w:rPr>
                <w:rFonts w:ascii="Courier New" w:hAnsi="Courier New"/>
                <w:sz w:val="17"/>
              </w:rPr>
              <w:t>silver/cleaned</w:t>
            </w:r>
            <w:r>
              <w:rPr>
                <w:sz w:val="19"/>
              </w:rPr>
              <w:t xml:space="preserve"> speichern</w:t>
            </w:r>
          </w:p>
        </w:tc>
        <w:tc>
          <w:tcPr>
            <w:tcW w:type="dxa" w:w="3133"/>
          </w:tcPr>
          <w:p>
            <w:pPr>
              <w:spacing w:after="0"/>
            </w:pPr>
            <w:r>
              <w:rPr>
                <w:sz w:val="19"/>
              </w:rPr>
              <w:t>Notebook-Läufe vollständig in Azure</w:t>
            </w:r>
          </w:p>
        </w:tc>
        <w:tc>
          <w:tcPr>
            <w:tcW w:type="dxa" w:w="2846"/>
          </w:tcPr>
          <w:p>
            <w:pPr>
              <w:spacing w:after="0"/>
            </w:pPr>
            <w:r>
              <w:rPr>
                <w:sz w:val="19"/>
              </w:rPr>
              <w:t>beides erreicht (Synapse-Notebook-Aktivitäten)</w:t>
            </w:r>
          </w:p>
        </w:tc>
      </w:tr>
      <w:tr>
        <w:trPr/>
        <w:tc>
          <w:tcPr>
            <w:tcW w:type="dxa" w:w="3432"/>
          </w:tcPr>
          <w:p>
            <w:pPr>
              <w:spacing w:after="0"/>
            </w:pPr>
            <w:r>
              <w:rPr>
                <w:sz w:val="19"/>
              </w:rPr>
              <w:t>Datenbefunde dokumentieren, Bereinigungsregeln begründen</w:t>
            </w:r>
          </w:p>
        </w:tc>
        <w:tc>
          <w:tcPr>
            <w:tcW w:type="dxa" w:w="3133"/>
          </w:tcPr>
          <w:p>
            <w:pPr>
              <w:spacing w:after="0"/>
            </w:pPr>
            <w:r>
              <w:rPr>
                <w:sz w:val="19"/>
              </w:rPr>
              <w:t>–</w:t>
            </w:r>
          </w:p>
        </w:tc>
        <w:tc>
          <w:tcPr>
            <w:tcW w:type="dxa" w:w="2846"/>
          </w:tcPr>
          <w:p>
            <w:pPr>
              <w:spacing w:after="0"/>
            </w:pPr>
            <w:r>
              <w:rPr>
                <w:sz w:val="19"/>
              </w:rPr>
              <w:t>erreicht</w:t>
            </w:r>
          </w:p>
        </w:tc>
      </w:tr>
      <w:tr>
        <w:trPr/>
        <w:tc>
          <w:tcPr>
            <w:tcW w:type="dxa" w:w="3432"/>
          </w:tcPr>
          <w:p>
            <w:pPr>
              <w:spacing w:after="0"/>
            </w:pPr>
            <w:r>
              <w:rPr>
                <w:sz w:val="19"/>
              </w:rPr>
              <w:t>Wetterdaten ergänzen und Leitfragen zum Flugverhalten beantworten</w:t>
            </w:r>
          </w:p>
        </w:tc>
        <w:tc>
          <w:tcPr>
            <w:tcW w:type="dxa" w:w="3133"/>
          </w:tcPr>
          <w:p>
            <w:pPr>
              <w:spacing w:after="0"/>
            </w:pPr>
            <w:r>
              <w:rPr>
                <w:sz w:val="19"/>
              </w:rPr>
              <w:t>zweiter Standort</w:t>
            </w:r>
          </w:p>
        </w:tc>
        <w:tc>
          <w:tcPr>
            <w:tcW w:type="dxa" w:w="2846"/>
          </w:tcPr>
          <w:p>
            <w:pPr>
              <w:spacing w:after="0"/>
            </w:pPr>
            <w:r>
              <w:rPr>
                <w:sz w:val="19"/>
              </w:rPr>
              <w:t>beides erreicht (Würzburg)</w:t>
            </w:r>
          </w:p>
        </w:tc>
      </w:tr>
      <w:tr>
        <w:trPr/>
        <w:tc>
          <w:tcPr>
            <w:tcW w:type="dxa" w:w="3432"/>
          </w:tcPr>
          <w:p>
            <w:pPr>
              <w:spacing w:after="0"/>
            </w:pPr>
            <w:r>
              <w:rPr>
                <w:sz w:val="19"/>
              </w:rPr>
              <w:t>–</w:t>
            </w:r>
          </w:p>
        </w:tc>
        <w:tc>
          <w:tcPr>
            <w:tcW w:type="dxa" w:w="3133"/>
          </w:tcPr>
          <w:p>
            <w:pPr>
              <w:spacing w:after="0"/>
            </w:pPr>
            <w:r>
              <w:rPr>
                <w:sz w:val="19"/>
              </w:rPr>
              <w:t>automatischer täglicher Start (Trigger)</w:t>
            </w:r>
          </w:p>
        </w:tc>
        <w:tc>
          <w:tcPr>
            <w:tcW w:type="dxa" w:w="2846"/>
          </w:tcPr>
          <w:p>
            <w:pPr>
              <w:spacing w:after="0"/>
            </w:pPr>
            <w:r>
              <w:rPr>
                <w:sz w:val="19"/>
              </w:rPr>
              <w:t>angelegt, nach Kostenfreigabe startbar</w:t>
            </w:r>
          </w:p>
        </w:tc>
      </w:tr>
      <w:tr>
        <w:trPr/>
        <w:tc>
          <w:tcPr>
            <w:tcW w:type="dxa" w:w="3432"/>
          </w:tcPr>
          <w:p>
            <w:pPr>
              <w:spacing w:after="0"/>
            </w:pPr>
            <w:r>
              <w:rPr>
                <w:sz w:val="19"/>
              </w:rPr>
              <w:t>–</w:t>
            </w:r>
          </w:p>
        </w:tc>
        <w:tc>
          <w:tcPr>
            <w:tcW w:type="dxa" w:w="3133"/>
          </w:tcPr>
          <w:p>
            <w:pPr>
              <w:spacing w:after="0"/>
            </w:pPr>
            <w:r>
              <w:rPr>
                <w:sz w:val="19"/>
              </w:rPr>
              <w:t>Dashboard mit Warnhinweisen</w:t>
            </w:r>
          </w:p>
        </w:tc>
        <w:tc>
          <w:tcPr>
            <w:tcW w:type="dxa" w:w="2846"/>
          </w:tcPr>
          <w:p>
            <w:pPr>
              <w:spacing w:after="0"/>
            </w:pPr>
            <w:r>
              <w:rPr>
                <w:sz w:val="19"/>
              </w:rPr>
              <w:t>Folgeprojekt FP-2</w:t>
            </w:r>
          </w:p>
        </w:tc>
      </w:tr>
      <w:tr>
        <w:trPr/>
        <w:tc>
          <w:tcPr>
            <w:tcW w:type="dxa" w:w="3432"/>
          </w:tcPr>
          <w:p>
            <w:pPr>
              <w:spacing w:after="0"/>
            </w:pPr>
            <w:r>
              <w:rPr>
                <w:sz w:val="19"/>
              </w:rPr>
              <w:t>–</w:t>
            </w:r>
          </w:p>
        </w:tc>
        <w:tc>
          <w:tcPr>
            <w:tcW w:type="dxa" w:w="3133"/>
          </w:tcPr>
          <w:p>
            <w:pPr>
              <w:spacing w:after="0"/>
            </w:pPr>
            <w:r>
              <w:rPr>
                <w:sz w:val="19"/>
              </w:rPr>
              <w:t>Modell zur Trennung der Einzelwirkungen (Machine Learning)</w:t>
            </w:r>
          </w:p>
        </w:tc>
        <w:tc>
          <w:tcPr>
            <w:tcW w:type="dxa" w:w="2846"/>
          </w:tcPr>
          <w:p>
            <w:pPr>
              <w:spacing w:after="0"/>
            </w:pPr>
            <w:r>
              <w:rPr>
                <w:sz w:val="19"/>
              </w:rPr>
              <w:t>Folgeprojekt FP-3</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3040"/>
        <w:gridCol w:w="6371"/>
      </w:tblGrid>
      <w:tr>
        <w:trPr>
          <w:tblHeader/>
          <w:cantSplit/>
        </w:trPr>
        <w:tc>
          <w:tcPr>
            <w:tcW w:type="dxa" w:w="9411"/>
            <w:gridSpan w:val="2"/>
            <w:tcBorders>
              <w:top w:val="nil"/>
              <w:left w:val="nil"/>
              <w:right w:val="nil"/>
            </w:tcBorders>
          </w:tcPr>
          <w:p>
            <w:pPr>
              <w:pStyle w:val="Heading2"/>
              <w:spacing w:before="200" w:after="60"/>
            </w:pPr>
            <w:r>
              <w:t>1.4 Aufbau einer Schritt-Karte</w:t>
            </w:r>
          </w:p>
          <w:p>
            <w:pPr>
              <w:spacing w:after="60"/>
            </w:pPr>
            <w:r>
              <w:rPr>
                <w:sz w:val="20"/>
              </w:rPr>
              <w:t>Jeder Arbeitsschritt in Kapitel 2 hat dieselben Felder:</w:t>
            </w:r>
          </w:p>
        </w:tc>
      </w:tr>
      <w:tr>
        <w:trPr>
          <w:tblHeader/>
        </w:trPr>
        <w:tc>
          <w:tcPr>
            <w:tcW w:type="dxa" w:w="3040"/>
            <w:shd w:val="clear" w:color="auto" w:fill="D9E2F3"/>
          </w:tcPr>
          <w:p>
            <w:pPr>
              <w:spacing w:after="0"/>
            </w:pPr>
            <w:r>
              <w:rPr>
                <w:b/>
                <w:sz w:val="19"/>
              </w:rPr>
              <w:t>Feld</w:t>
            </w:r>
          </w:p>
        </w:tc>
        <w:tc>
          <w:tcPr>
            <w:tcW w:type="dxa" w:w="6371"/>
            <w:shd w:val="clear" w:color="auto" w:fill="D9E2F3"/>
          </w:tcPr>
          <w:p>
            <w:pPr>
              <w:spacing w:after="0"/>
            </w:pPr>
            <w:r>
              <w:rPr>
                <w:b/>
                <w:sz w:val="19"/>
              </w:rPr>
              <w:t>Bedeutung</w:t>
            </w:r>
          </w:p>
        </w:tc>
      </w:tr>
      <w:tr>
        <w:trPr/>
        <w:tc>
          <w:tcPr>
            <w:tcW w:type="dxa" w:w="3040"/>
          </w:tcPr>
          <w:p>
            <w:pPr>
              <w:spacing w:after="0"/>
            </w:pPr>
            <w:r>
              <w:rPr>
                <w:sz w:val="19"/>
              </w:rPr>
              <w:t>Frage / Anlass</w:t>
            </w:r>
          </w:p>
        </w:tc>
        <w:tc>
          <w:tcPr>
            <w:tcW w:type="dxa" w:w="6371"/>
          </w:tcPr>
          <w:p>
            <w:pPr>
              <w:spacing w:after="0"/>
            </w:pPr>
            <w:r>
              <w:rPr>
                <w:sz w:val="19"/>
              </w:rPr>
              <w:t>Warum dieser Schritt nötig ist</w:t>
            </w:r>
          </w:p>
        </w:tc>
      </w:tr>
      <w:tr>
        <w:trPr/>
        <w:tc>
          <w:tcPr>
            <w:tcW w:type="dxa" w:w="3040"/>
          </w:tcPr>
          <w:p>
            <w:pPr>
              <w:spacing w:after="0"/>
            </w:pPr>
            <w:r>
              <w:rPr>
                <w:sz w:val="19"/>
              </w:rPr>
              <w:t>Eigene Erwartung</w:t>
            </w:r>
          </w:p>
        </w:tc>
        <w:tc>
          <w:tcPr>
            <w:tcW w:type="dxa" w:w="6371"/>
          </w:tcPr>
          <w:p>
            <w:pPr>
              <w:spacing w:after="0"/>
            </w:pPr>
            <w:r>
              <w:rPr>
                <w:sz w:val="19"/>
              </w:rPr>
              <w:t>Annahme vor der Umsetzung (ohne Recherche)</w:t>
            </w:r>
          </w:p>
        </w:tc>
      </w:tr>
      <w:tr>
        <w:trPr/>
        <w:tc>
          <w:tcPr>
            <w:tcW w:type="dxa" w:w="3040"/>
          </w:tcPr>
          <w:p>
            <w:pPr>
              <w:spacing w:after="0"/>
            </w:pPr>
            <w:r>
              <w:rPr>
                <w:sz w:val="19"/>
              </w:rPr>
              <w:t>Erwartung laut Recherche</w:t>
            </w:r>
          </w:p>
        </w:tc>
        <w:tc>
          <w:tcPr>
            <w:tcW w:type="dxa" w:w="6371"/>
          </w:tcPr>
          <w:p>
            <w:pPr>
              <w:spacing w:after="0"/>
            </w:pPr>
            <w:r>
              <w:rPr>
                <w:sz w:val="19"/>
              </w:rPr>
              <w:t>unabhängige Quelle, Kursvorgabe oder Dokumentation (Quellen Kap. 8.4)</w:t>
            </w:r>
          </w:p>
        </w:tc>
      </w:tr>
      <w:tr>
        <w:trPr/>
        <w:tc>
          <w:tcPr>
            <w:tcW w:type="dxa" w:w="3040"/>
          </w:tcPr>
          <w:p>
            <w:pPr>
              <w:spacing w:after="0"/>
            </w:pPr>
            <w:r>
              <w:rPr>
                <w:sz w:val="19"/>
              </w:rPr>
              <w:t>Zwischenschritte</w:t>
            </w:r>
          </w:p>
        </w:tc>
        <w:tc>
          <w:tcPr>
            <w:tcW w:type="dxa" w:w="6371"/>
          </w:tcPr>
          <w:p>
            <w:pPr>
              <w:spacing w:after="0"/>
            </w:pPr>
            <w:r>
              <w:rPr>
                <w:sz w:val="19"/>
              </w:rPr>
              <w:t>was in welcher Reihenfolge getan wurde</w:t>
            </w:r>
          </w:p>
        </w:tc>
      </w:tr>
      <w:tr>
        <w:trPr/>
        <w:tc>
          <w:tcPr>
            <w:tcW w:type="dxa" w:w="3040"/>
          </w:tcPr>
          <w:p>
            <w:pPr>
              <w:spacing w:after="0"/>
            </w:pPr>
            <w:r>
              <w:rPr>
                <w:sz w:val="19"/>
              </w:rPr>
              <w:t>Zwischenergebnis</w:t>
            </w:r>
          </w:p>
        </w:tc>
        <w:tc>
          <w:tcPr>
            <w:tcW w:type="dxa" w:w="6371"/>
          </w:tcPr>
          <w:p>
            <w:pPr>
              <w:spacing w:after="0"/>
            </w:pPr>
            <w:r>
              <w:rPr>
                <w:sz w:val="19"/>
              </w:rPr>
              <w:t>was unterwegs auffiel (oft Anlass für eine Entscheidung)</w:t>
            </w:r>
          </w:p>
        </w:tc>
      </w:tr>
      <w:tr>
        <w:trPr/>
        <w:tc>
          <w:tcPr>
            <w:tcW w:type="dxa" w:w="3040"/>
          </w:tcPr>
          <w:p>
            <w:pPr>
              <w:spacing w:after="0"/>
            </w:pPr>
            <w:r>
              <w:rPr>
                <w:sz w:val="19"/>
              </w:rPr>
              <w:t>Lösungswege</w:t>
            </w:r>
          </w:p>
        </w:tc>
        <w:tc>
          <w:tcPr>
            <w:tcW w:type="dxa" w:w="6371"/>
          </w:tcPr>
          <w:p>
            <w:pPr>
              <w:spacing w:after="0"/>
            </w:pPr>
            <w:r>
              <w:rPr>
                <w:sz w:val="19"/>
              </w:rPr>
              <w:t>mögliche Wege mit Vor- und Nachteilen</w:t>
            </w:r>
          </w:p>
        </w:tc>
      </w:tr>
      <w:tr>
        <w:trPr/>
        <w:tc>
          <w:tcPr>
            <w:tcW w:type="dxa" w:w="3040"/>
          </w:tcPr>
          <w:p>
            <w:pPr>
              <w:spacing w:after="0"/>
            </w:pPr>
            <w:r>
              <w:rPr>
                <w:sz w:val="19"/>
              </w:rPr>
              <w:t>Entscheidung + Begründung</w:t>
            </w:r>
          </w:p>
        </w:tc>
        <w:tc>
          <w:tcPr>
            <w:tcW w:type="dxa" w:w="6371"/>
          </w:tcPr>
          <w:p>
            <w:pPr>
              <w:spacing w:after="0"/>
            </w:pPr>
            <w:r>
              <w:rPr>
                <w:sz w:val="19"/>
              </w:rPr>
              <w:t>gewählter Weg, wann, durch welche Rolle, warum</w:t>
            </w:r>
          </w:p>
        </w:tc>
      </w:tr>
      <w:tr>
        <w:trPr/>
        <w:tc>
          <w:tcPr>
            <w:tcW w:type="dxa" w:w="3040"/>
          </w:tcPr>
          <w:p>
            <w:pPr>
              <w:spacing w:after="0"/>
            </w:pPr>
            <w:r>
              <w:rPr>
                <w:sz w:val="19"/>
              </w:rPr>
              <w:t>Endergebnis</w:t>
            </w:r>
          </w:p>
        </w:tc>
        <w:tc>
          <w:tcPr>
            <w:tcW w:type="dxa" w:w="6371"/>
          </w:tcPr>
          <w:p>
            <w:pPr>
              <w:spacing w:after="0"/>
            </w:pPr>
            <w:r>
              <w:rPr>
                <w:sz w:val="19"/>
              </w:rPr>
              <w:t>Datenbank-Ergebnis: was in Daten, Azure oder Notebook herauskam</w:t>
            </w:r>
          </w:p>
        </w:tc>
      </w:tr>
      <w:tr>
        <w:trPr/>
        <w:tc>
          <w:tcPr>
            <w:tcW w:type="dxa" w:w="3040"/>
          </w:tcPr>
          <w:p>
            <w:pPr>
              <w:spacing w:after="0"/>
            </w:pPr>
            <w:r>
              <w:rPr>
                <w:sz w:val="19"/>
              </w:rPr>
              <w:t>Hinweise / Gefahren</w:t>
            </w:r>
          </w:p>
        </w:tc>
        <w:tc>
          <w:tcPr>
            <w:tcW w:type="dxa" w:w="6371"/>
          </w:tcPr>
          <w:p>
            <w:pPr>
              <w:spacing w:after="0"/>
            </w:pPr>
            <w:r>
              <w:rPr>
                <w:sz w:val="19"/>
              </w:rPr>
              <w:t>typische Fehler, Risiken, Grenzen der Aussage</w:t>
            </w:r>
          </w:p>
        </w:tc>
      </w:tr>
      <w:tr>
        <w:trPr/>
        <w:tc>
          <w:tcPr>
            <w:tcW w:type="dxa" w:w="3040"/>
          </w:tcPr>
          <w:p>
            <w:pPr>
              <w:spacing w:after="0"/>
            </w:pPr>
            <w:r>
              <w:rPr>
                <w:sz w:val="19"/>
              </w:rPr>
              <w:t>Klärung (Stand Abschluss)</w:t>
            </w:r>
          </w:p>
        </w:tc>
        <w:tc>
          <w:tcPr>
            <w:tcW w:type="dxa" w:w="6371"/>
          </w:tcPr>
          <w:p>
            <w:pPr>
              <w:spacing w:after="0"/>
            </w:pPr>
            <w:r>
              <w:rPr>
                <w:sz w:val="19"/>
              </w:rPr>
              <w:t>Fragen, die bei diesem Schritt aufkamen, und wie sie geklärt wurden: erledigt · an ein Folgeprojekt übergeben · bewusst nicht umgesetzt (mit Grund)</w:t>
            </w:r>
          </w:p>
        </w:tc>
      </w:tr>
      <w:tr>
        <w:trPr/>
        <w:tc>
          <w:tcPr>
            <w:tcW w:type="dxa" w:w="3040"/>
          </w:tcPr>
          <w:p>
            <w:pPr>
              <w:spacing w:after="0"/>
            </w:pPr>
            <w:r>
              <w:rPr>
                <w:sz w:val="19"/>
              </w:rPr>
              <w:t>Für Agenten / ML</w:t>
            </w:r>
          </w:p>
        </w:tc>
        <w:tc>
          <w:tcPr>
            <w:tcW w:type="dxa" w:w="6371"/>
          </w:tcPr>
          <w:p>
            <w:pPr>
              <w:spacing w:after="0"/>
            </w:pPr>
            <w:r>
              <w:rPr>
                <w:sz w:val="19"/>
              </w:rPr>
              <w:t>was ein Agent oder ein Modell daraus übernehmen soll</w:t>
            </w:r>
          </w:p>
        </w:tc>
      </w:tr>
      <w:tr>
        <w:trPr/>
        <w:tc>
          <w:tcPr>
            <w:tcW w:type="dxa" w:w="3040"/>
          </w:tcPr>
          <w:p>
            <w:pPr>
              <w:spacing w:after="0"/>
            </w:pPr>
            <w:r>
              <w:rPr>
                <w:sz w:val="19"/>
              </w:rPr>
              <w:t>Verweise</w:t>
            </w:r>
          </w:p>
        </w:tc>
        <w:tc>
          <w:tcPr>
            <w:tcW w:type="dxa" w:w="6371"/>
          </w:tcPr>
          <w:p>
            <w:pPr>
              <w:spacing w:after="0"/>
            </w:pPr>
            <w:r>
              <w:rPr>
                <w:sz w:val="19"/>
              </w:rPr>
              <w:t>Notebook, Anleitung, Grafik, Befund-Nummern</w:t>
            </w:r>
          </w:p>
        </w:tc>
      </w:tr>
      <w:tr>
        <w:trPr/>
        <w:tc>
          <w:tcPr>
            <w:tcW w:type="dxa" w:w="3040"/>
          </w:tcPr>
          <w:p>
            <w:pPr>
              <w:spacing w:after="0"/>
            </w:pPr>
            <w:r>
              <w:rPr>
                <w:sz w:val="19"/>
              </w:rPr>
              <w:t>Einfach erklärt</w:t>
            </w:r>
          </w:p>
        </w:tc>
        <w:tc>
          <w:tcPr>
            <w:tcW w:type="dxa" w:w="6371"/>
          </w:tcPr>
          <w:p>
            <w:pPr>
              <w:spacing w:after="0"/>
            </w:pPr>
            <w:r>
              <w:rPr>
                <w:sz w:val="19"/>
              </w:rPr>
              <w:t>Erklärung in Alltagssprache für Einsteiger, Geschäftsleitung und Stakeholder – steht bei jedem Schritt</w:t>
            </w:r>
          </w:p>
        </w:tc>
      </w:tr>
      <w:tr>
        <w:trPr/>
        <w:tc>
          <w:tcPr>
            <w:tcW w:type="dxa" w:w="3040"/>
          </w:tcPr>
          <w:p>
            <w:pPr>
              <w:spacing w:after="0"/>
            </w:pPr>
            <w:r>
              <w:rPr>
                <w:sz w:val="19"/>
              </w:rPr>
              <w:t>Änderung</w:t>
            </w:r>
          </w:p>
        </w:tc>
        <w:tc>
          <w:tcPr>
            <w:tcW w:type="dxa" w:w="6371"/>
          </w:tcPr>
          <w:p>
            <w:pPr>
              <w:spacing w:after="0"/>
            </w:pPr>
            <w:r>
              <w:rPr>
                <w:sz w:val="19"/>
              </w:rPr>
              <w:t>(bei Bedarf) späterer Wechsel des Weges mit Datum und Grund (z. B. technische Neuerung, Gesetzesänderung, Kosten); der alte Weg bleibt stehen</w:t>
            </w:r>
          </w:p>
        </w:tc>
      </w:tr>
    </w:tbl>
    <w:p>
      <w:pPr>
        <w:spacing w:after="0" w:line="20" w:lineRule="exact"/>
      </w:pPr>
    </w:p>
    <w:p>
      <w:r>
        <w:rPr>
          <w:b/>
        </w:rPr>
        <w:t>Notebook-Namen:</w:t>
      </w:r>
      <w:r>
        <w:t xml:space="preserve"> Bis 30.09.2026 hieß die Analyse N4. Seit 30.09.2026 gilt: N4 = Gold (neu), N5 = Analyse. Karten vor diesem Datum nennen den damaligen Namen.</w:t>
      </w:r>
    </w:p>
    <w:p>
      <w:r>
        <w:rPr>
          <w:b/>
        </w:rPr>
        <w:t>Lesehilfe:</w:t>
      </w:r>
      <w:r>
        <w:t xml:space="preserve"> Wer nur das Ergebnis braucht, liest Kapitel 0 und 7. Wer verstehen will, wie es gebaut wurde, liest je Schritt zuerst die Zeile </w:t>
      </w:r>
      <w:r>
        <w:rPr>
          <w:b/>
        </w:rPr>
        <w:t>„Einfach erklärt“</w:t>
      </w:r>
      <w:r>
        <w:t xml:space="preserve">, dann „Frage / Anlass“ und „Endergebnis“. Fachbegriffe und Abkürzungen erklärt das </w:t>
      </w:r>
      <w:r>
        <w:rPr>
          <w:b/>
        </w:rPr>
        <w:t>Glossar (Kap. 8.10)</w:t>
      </w:r>
      <w:r>
        <w:t xml:space="preserve">; jeder Befund (R, E, P, W …) ist im </w:t>
      </w:r>
      <w:r>
        <w:rPr>
          <w:b/>
        </w:rPr>
        <w:t>Befund-Register (Kap. 8.2)</w:t>
      </w:r>
      <w:r>
        <w:t xml:space="preserve"> mit einer einfachen Erklärung aufgeführt.</w:t>
      </w:r>
    </w:p>
    <w:p>
      <w:r>
        <w:t>Befund-Nummern: R = Bereinigungsregel · E = Ergebnisbefund · P = Plausibilitätsprüfung · W = Wetter · F/A/H = Analysefragen · Z = Zusatzaufgabe · F1–F6 (Brainstorming) = offene Fragen. Alle Befunde stehen gesammelt im Anhang (Kap. 8.2).</w:t>
      </w:r>
    </w:p>
    <w:p>
      <w:pPr>
        <w:pStyle w:val="Heading1"/>
        <w:pageBreakBefore/>
      </w:pPr>
      <w:r>
        <w:t>2. Ergebnisse (Schritt für Schritt)</w:t>
      </w:r>
    </w:p>
    <w:p>
      <w:pPr>
        <w:spacing w:after="0" w:line="20" w:lineRule="exact"/>
      </w:pPr>
    </w:p>
    <w:tbl>
      <w:tblPr>
        <w:tblStyle w:val="TableGrid"/>
        <w:tblW w:type="auto" w:w="0"/>
        <w:jc w:val="center"/>
        <w:tblLayout w:type="fixed"/>
        <w:tblLook w:firstColumn="1" w:firstRow="1" w:lastColumn="0" w:lastRow="0" w:noHBand="0" w:noVBand="1" w:val="04A0"/>
      </w:tblPr>
      <w:tblGrid>
        <w:gridCol w:w="1148"/>
        <w:gridCol w:w="1563"/>
        <w:gridCol w:w="4779"/>
        <w:gridCol w:w="1921"/>
      </w:tblGrid>
      <w:tr>
        <w:trPr>
          <w:tblHeader/>
          <w:cantSplit/>
        </w:trPr>
        <w:tc>
          <w:tcPr>
            <w:tcW w:type="dxa" w:w="9411"/>
            <w:gridSpan w:val="4"/>
            <w:tcBorders>
              <w:top w:val="nil"/>
              <w:left w:val="nil"/>
              <w:right w:val="nil"/>
            </w:tcBorders>
          </w:tcPr>
          <w:p>
            <w:pPr>
              <w:pStyle w:val="Heading2"/>
              <w:spacing w:before="200" w:after="60"/>
            </w:pPr>
            <w:r>
              <w:t>2.0 Übersicht der Schritte</w:t>
            </w:r>
          </w:p>
        </w:tc>
      </w:tr>
      <w:tr>
        <w:trPr>
          <w:tblHeader/>
        </w:trPr>
        <w:tc>
          <w:tcPr>
            <w:tcW w:type="dxa" w:w="1148"/>
            <w:shd w:val="clear" w:color="auto" w:fill="D9E2F3"/>
          </w:tcPr>
          <w:p>
            <w:pPr>
              <w:spacing w:after="0"/>
            </w:pPr>
            <w:r>
              <w:rPr>
                <w:b/>
                <w:sz w:val="19"/>
              </w:rPr>
              <w:t>Schritt</w:t>
            </w:r>
          </w:p>
        </w:tc>
        <w:tc>
          <w:tcPr>
            <w:tcW w:type="dxa" w:w="1563"/>
            <w:shd w:val="clear" w:color="auto" w:fill="D9E2F3"/>
          </w:tcPr>
          <w:p>
            <w:pPr>
              <w:spacing w:after="0"/>
            </w:pPr>
            <w:r>
              <w:rPr>
                <w:b/>
                <w:sz w:val="19"/>
              </w:rPr>
              <w:t>Datum</w:t>
            </w:r>
          </w:p>
        </w:tc>
        <w:tc>
          <w:tcPr>
            <w:tcW w:type="dxa" w:w="4779"/>
            <w:shd w:val="clear" w:color="auto" w:fill="D9E2F3"/>
          </w:tcPr>
          <w:p>
            <w:pPr>
              <w:spacing w:after="0"/>
            </w:pPr>
            <w:r>
              <w:rPr>
                <w:b/>
                <w:sz w:val="19"/>
              </w:rPr>
              <w:t>Inhalt</w:t>
            </w:r>
          </w:p>
        </w:tc>
        <w:tc>
          <w:tcPr>
            <w:tcW w:type="dxa" w:w="1921"/>
            <w:shd w:val="clear" w:color="auto" w:fill="D9E2F3"/>
          </w:tcPr>
          <w:p>
            <w:pPr>
              <w:spacing w:after="0"/>
            </w:pPr>
            <w:r>
              <w:rPr>
                <w:b/>
                <w:sz w:val="19"/>
              </w:rPr>
              <w:t>Status</w:t>
            </w:r>
          </w:p>
        </w:tc>
      </w:tr>
      <w:tr>
        <w:trPr/>
        <w:tc>
          <w:tcPr>
            <w:tcW w:type="dxa" w:w="1148"/>
          </w:tcPr>
          <w:p>
            <w:pPr>
              <w:spacing w:after="0"/>
            </w:pPr>
            <w:r>
              <w:rPr>
                <w:sz w:val="19"/>
              </w:rPr>
              <w:t>1.1–1.9</w:t>
            </w:r>
          </w:p>
        </w:tc>
        <w:tc>
          <w:tcPr>
            <w:tcW w:type="dxa" w:w="1563"/>
          </w:tcPr>
          <w:p>
            <w:pPr>
              <w:spacing w:after="0"/>
            </w:pPr>
            <w:r>
              <w:rPr>
                <w:sz w:val="19"/>
              </w:rPr>
              <w:t>23.–24.09.</w:t>
            </w:r>
          </w:p>
        </w:tc>
        <w:tc>
          <w:tcPr>
            <w:tcW w:type="dxa" w:w="4779"/>
          </w:tcPr>
          <w:p>
            <w:pPr>
              <w:spacing w:after="0"/>
            </w:pPr>
            <w:r>
              <w:rPr>
                <w:sz w:val="19"/>
              </w:rPr>
              <w:t>M1: Kosten/Region, Ressourcengruppe, Speicherkonten, Ordner, Data Factory, Rechte, Verbindungen, Pipelines, Archiv</w:t>
            </w:r>
          </w:p>
        </w:tc>
        <w:tc>
          <w:tcPr>
            <w:tcW w:type="dxa" w:w="1921"/>
          </w:tcPr>
          <w:p>
            <w:pPr>
              <w:spacing w:after="0"/>
            </w:pPr>
            <w:r>
              <w:rPr>
                <w:sz w:val="19"/>
              </w:rPr>
              <w:t>erreicht</w:t>
            </w:r>
          </w:p>
        </w:tc>
      </w:tr>
      <w:tr>
        <w:trPr/>
        <w:tc>
          <w:tcPr>
            <w:tcW w:type="dxa" w:w="1148"/>
          </w:tcPr>
          <w:p>
            <w:pPr>
              <w:spacing w:after="0"/>
            </w:pPr>
            <w:r>
              <w:rPr>
                <w:sz w:val="19"/>
              </w:rPr>
              <w:t>2.1–2.10</w:t>
            </w:r>
          </w:p>
        </w:tc>
        <w:tc>
          <w:tcPr>
            <w:tcW w:type="dxa" w:w="1563"/>
          </w:tcPr>
          <w:p>
            <w:pPr>
              <w:spacing w:after="0"/>
            </w:pPr>
            <w:r>
              <w:rPr>
                <w:sz w:val="19"/>
              </w:rPr>
              <w:t>25.09.</w:t>
            </w:r>
          </w:p>
        </w:tc>
        <w:tc>
          <w:tcPr>
            <w:tcW w:type="dxa" w:w="4779"/>
          </w:tcPr>
          <w:p>
            <w:pPr>
              <w:spacing w:after="0"/>
            </w:pPr>
            <w:r>
              <w:rPr>
                <w:sz w:val="19"/>
              </w:rPr>
              <w:t>M2: Datenprofil, Silver-Aufteilung, Arbeitsumgebung, UTC, Duplikate, Zwischenstand, Regeln R5–R8, Speichern, erste Analyse</w:t>
            </w:r>
          </w:p>
        </w:tc>
        <w:tc>
          <w:tcPr>
            <w:tcW w:type="dxa" w:w="1921"/>
          </w:tcPr>
          <w:p>
            <w:pPr>
              <w:spacing w:after="0"/>
            </w:pPr>
            <w:r>
              <w:rPr>
                <w:sz w:val="19"/>
              </w:rPr>
              <w:t>erreicht</w:t>
            </w:r>
          </w:p>
        </w:tc>
      </w:tr>
      <w:tr>
        <w:trPr/>
        <w:tc>
          <w:tcPr>
            <w:tcW w:type="dxa" w:w="1148"/>
          </w:tcPr>
          <w:p>
            <w:pPr>
              <w:spacing w:after="0"/>
            </w:pPr>
            <w:r>
              <w:rPr>
                <w:sz w:val="19"/>
              </w:rPr>
              <w:t>3.1–3.9</w:t>
            </w:r>
          </w:p>
        </w:tc>
        <w:tc>
          <w:tcPr>
            <w:tcW w:type="dxa" w:w="1563"/>
          </w:tcPr>
          <w:p>
            <w:pPr>
              <w:spacing w:after="0"/>
            </w:pPr>
            <w:r>
              <w:rPr>
                <w:sz w:val="19"/>
              </w:rPr>
              <w:t>28.09.</w:t>
            </w:r>
          </w:p>
        </w:tc>
        <w:tc>
          <w:tcPr>
            <w:tcW w:type="dxa" w:w="4779"/>
          </w:tcPr>
          <w:p>
            <w:pPr>
              <w:spacing w:after="0"/>
            </w:pPr>
            <w:r>
              <w:rPr>
                <w:sz w:val="19"/>
              </w:rPr>
              <w:t>M3: Lücken, Ausreißer, Mindestabweichung, Wetter, Sonnenstand, Reihenfolge der Notebooks, Analyse A1–A6, Master-Pipeline, Azure-Vorbereitung</w:t>
            </w:r>
          </w:p>
        </w:tc>
        <w:tc>
          <w:tcPr>
            <w:tcW w:type="dxa" w:w="1921"/>
          </w:tcPr>
          <w:p>
            <w:pPr>
              <w:spacing w:after="0"/>
            </w:pPr>
            <w:r>
              <w:rPr>
                <w:sz w:val="19"/>
              </w:rPr>
              <w:t>erreicht</w:t>
            </w:r>
          </w:p>
        </w:tc>
      </w:tr>
      <w:tr>
        <w:trPr/>
        <w:tc>
          <w:tcPr>
            <w:tcW w:type="dxa" w:w="1148"/>
          </w:tcPr>
          <w:p>
            <w:pPr>
              <w:spacing w:after="0"/>
            </w:pPr>
            <w:r>
              <w:rPr>
                <w:sz w:val="19"/>
              </w:rPr>
              <w:t>4.1–4.6</w:t>
            </w:r>
          </w:p>
        </w:tc>
        <w:tc>
          <w:tcPr>
            <w:tcW w:type="dxa" w:w="1563"/>
          </w:tcPr>
          <w:p>
            <w:pPr>
              <w:spacing w:after="0"/>
            </w:pPr>
            <w:r>
              <w:rPr>
                <w:sz w:val="19"/>
              </w:rPr>
              <w:t>29.09.</w:t>
            </w:r>
          </w:p>
        </w:tc>
        <w:tc>
          <w:tcPr>
            <w:tcW w:type="dxa" w:w="4779"/>
          </w:tcPr>
          <w:p>
            <w:pPr>
              <w:spacing w:after="0"/>
            </w:pPr>
            <w:r>
              <w:rPr>
                <w:sz w:val="19"/>
              </w:rPr>
              <w:t>M4: Weg A, mehrere Standorte, Wetter erweitert, gleiche Bedingungen A7–A10, Honig H1, Archiv</w:t>
            </w:r>
          </w:p>
        </w:tc>
        <w:tc>
          <w:tcPr>
            <w:tcW w:type="dxa" w:w="1921"/>
          </w:tcPr>
          <w:p>
            <w:pPr>
              <w:spacing w:after="0"/>
            </w:pPr>
            <w:r>
              <w:rPr>
                <w:sz w:val="19"/>
              </w:rPr>
              <w:t>erreicht</w:t>
            </w:r>
          </w:p>
        </w:tc>
      </w:tr>
      <w:tr>
        <w:trPr/>
        <w:tc>
          <w:tcPr>
            <w:tcW w:type="dxa" w:w="1148"/>
          </w:tcPr>
          <w:p>
            <w:pPr>
              <w:spacing w:after="0"/>
            </w:pPr>
            <w:r>
              <w:rPr>
                <w:sz w:val="19"/>
              </w:rPr>
              <w:t>5.1–5.14</w:t>
            </w:r>
          </w:p>
        </w:tc>
        <w:tc>
          <w:tcPr>
            <w:tcW w:type="dxa" w:w="1563"/>
          </w:tcPr>
          <w:p>
            <w:pPr>
              <w:spacing w:after="0"/>
            </w:pPr>
            <w:r>
              <w:rPr>
                <w:sz w:val="19"/>
              </w:rPr>
              <w:t>30.09.–13.10.</w:t>
            </w:r>
          </w:p>
        </w:tc>
        <w:tc>
          <w:tcPr>
            <w:tcW w:type="dxa" w:w="4779"/>
          </w:tcPr>
          <w:p>
            <w:pPr>
              <w:spacing w:after="0"/>
            </w:pPr>
            <w:r>
              <w:rPr>
                <w:sz w:val="19"/>
              </w:rPr>
              <w:t>M5: Befund E5, Speicherformat, Dokumentformat, Standort-Tabelle, Master-Pipeline, Budget, Kosten, Synapse, Gold-Pipeline, Würzburg, Trigger und Warnregeln (erreicht bis 02.10.); Dashboard → Folgeprojekt; Dokumentation, Klärung aller Fragen (05.10.); Abschluss nach Kursende</w:t>
            </w:r>
          </w:p>
        </w:tc>
        <w:tc>
          <w:tcPr>
            <w:tcW w:type="dxa" w:w="1921"/>
          </w:tcPr>
          <w:p>
            <w:pPr>
              <w:spacing w:after="0"/>
            </w:pPr>
            <w:r>
              <w:rPr>
                <w:sz w:val="19"/>
              </w:rPr>
              <w:t>Technik erreicht, Abschluss offen</w:t>
            </w:r>
          </w:p>
        </w:tc>
      </w:tr>
    </w:tbl>
    <w:p>
      <w:pPr>
        <w:spacing w:after="0" w:line="20" w:lineRule="exact"/>
      </w:pPr>
    </w:p>
    <w:p>
      <w:pPr>
        <w:pStyle w:val="Heading2"/>
      </w:pPr>
      <w:r>
        <w:t>2.1 M1 – Einrichtung Azure (23.–24.09.2026)</w:t>
      </w:r>
    </w:p>
    <w:p>
      <w:pPr>
        <w:spacing w:after="0" w:line="20" w:lineRule="exact"/>
      </w:pPr>
    </w:p>
    <w:p>
      <w:r>
        <w:t xml:space="preserve">Ziel: Grundgerüst der Plattform in der Region Germany West Central mit minimalen Rechten und automatisierter Datenaufnahme. Die Karten beschreiben </w:t>
      </w:r>
      <w:r>
        <w:rPr>
          <w:b/>
        </w:rPr>
        <w:t>was</w:t>
      </w:r>
      <w:r>
        <w:t xml:space="preserve"> und </w:t>
      </w:r>
      <w:r>
        <w:rPr>
          <w:b/>
        </w:rPr>
        <w:t>warum</w:t>
      </w:r>
      <w:r>
        <w:t>; die Umsetzung Klick für Klick (Portal und ADF Studio, mit Bildern) steht in AN-ITS-001 Schritte 0–14. Alle Namen, Einstellungen und Ausdrücke zum Nachschlagen: Kap. 8.6.</w:t>
      </w: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1.1 – Kostenrahmen, Region und Dienstauswahl</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Was darf das Projekt kosten, wo liegen die Daten, welcher Dienst wird genutzt?</w:t>
            </w:r>
          </w:p>
        </w:tc>
      </w:tr>
      <w:tr>
        <w:trPr/>
        <w:tc>
          <w:tcPr>
            <w:tcW w:type="dxa" w:w="2512"/>
          </w:tcPr>
          <w:p>
            <w:pPr>
              <w:spacing w:after="0"/>
            </w:pPr>
            <w:r>
              <w:rPr>
                <w:sz w:val="19"/>
              </w:rPr>
              <w:t>Eigene Erwartung</w:t>
            </w:r>
          </w:p>
        </w:tc>
        <w:tc>
          <w:tcPr>
            <w:tcW w:type="dxa" w:w="6899"/>
          </w:tcPr>
          <w:p>
            <w:pPr>
              <w:spacing w:after="0"/>
            </w:pPr>
            <w:r>
              <w:rPr>
                <w:sz w:val="19"/>
              </w:rPr>
              <w:t>Kleine Datenmengen → nur geringe Kosten; Region beliebig</w:t>
            </w:r>
          </w:p>
        </w:tc>
      </w:tr>
      <w:tr>
        <w:trPr/>
        <w:tc>
          <w:tcPr>
            <w:tcW w:type="dxa" w:w="2512"/>
          </w:tcPr>
          <w:p>
            <w:pPr>
              <w:spacing w:after="0"/>
            </w:pPr>
            <w:r>
              <w:rPr>
                <w:sz w:val="19"/>
              </w:rPr>
              <w:t>Erwartung laut Recherche</w:t>
            </w:r>
          </w:p>
        </w:tc>
        <w:tc>
          <w:tcPr>
            <w:tcW w:type="dxa" w:w="6899"/>
          </w:tcPr>
          <w:p>
            <w:pPr>
              <w:spacing w:after="0"/>
            </w:pPr>
            <w:r>
              <w:rPr>
                <w:sz w:val="19"/>
              </w:rPr>
              <w:t>Speicher und einfache Kopier-Pipelines kosten im MB-Bereich nur Cent-Beträge; teuer werden Rechenleistung (Data Flows, Spark-Pools) und vergessene laufende Dienste (Microsoft Learn, Preisrechner)</w:t>
            </w:r>
          </w:p>
        </w:tc>
      </w:tr>
      <w:tr>
        <w:trPr/>
        <w:tc>
          <w:tcPr>
            <w:tcW w:type="dxa" w:w="2512"/>
          </w:tcPr>
          <w:p>
            <w:pPr>
              <w:spacing w:after="0"/>
            </w:pPr>
            <w:r>
              <w:rPr>
                <w:sz w:val="19"/>
              </w:rPr>
              <w:t>Zwischenschritte</w:t>
            </w:r>
          </w:p>
        </w:tc>
        <w:tc>
          <w:tcPr>
            <w:tcW w:type="dxa" w:w="6899"/>
          </w:tcPr>
          <w:p>
            <w:pPr>
              <w:spacing w:after="0"/>
            </w:pPr>
            <w:r>
              <w:rPr>
                <w:sz w:val="19"/>
              </w:rPr>
              <w:t>1) Guthaben prüfen (Schulabonnement ca. 170 €, gültig bis 18.10.2026) 2) Region wählen 3) Dienst für die Pipelines wählen</w:t>
            </w:r>
          </w:p>
        </w:tc>
      </w:tr>
      <w:tr>
        <w:trPr/>
        <w:tc>
          <w:tcPr>
            <w:tcW w:type="dxa" w:w="2512"/>
          </w:tcPr>
          <w:p>
            <w:pPr>
              <w:spacing w:after="0"/>
            </w:pPr>
            <w:r>
              <w:rPr>
                <w:sz w:val="19"/>
              </w:rPr>
              <w:t>Zwischenergebnis</w:t>
            </w:r>
          </w:p>
        </w:tc>
        <w:tc>
          <w:tcPr>
            <w:tcW w:type="dxa" w:w="6899"/>
          </w:tcPr>
          <w:p>
            <w:pPr>
              <w:spacing w:after="0"/>
            </w:pPr>
            <w:r>
              <w:rPr>
                <w:sz w:val="19"/>
              </w:rPr>
              <w:t>Neue Ressourcen sind mit „East US“ vorbelegt; bei der Data Factory wird Microsoft Fabric beworben (kostenpflichtige Kapazität)</w:t>
            </w:r>
          </w:p>
        </w:tc>
      </w:tr>
      <w:tr>
        <w:trPr/>
        <w:tc>
          <w:tcPr>
            <w:tcW w:type="dxa" w:w="2512"/>
          </w:tcPr>
          <w:p>
            <w:pPr>
              <w:spacing w:after="0"/>
            </w:pPr>
            <w:r>
              <w:rPr>
                <w:sz w:val="19"/>
              </w:rPr>
              <w:t>Lösungswege</w:t>
            </w:r>
          </w:p>
        </w:tc>
        <w:tc>
          <w:tcPr>
            <w:tcW w:type="dxa" w:w="6899"/>
          </w:tcPr>
          <w:p>
            <w:pPr>
              <w:spacing w:after="0"/>
            </w:pPr>
            <w:r>
              <w:rPr>
                <w:sz w:val="19"/>
              </w:rPr>
              <w:t xml:space="preserve">Region: </w:t>
            </w:r>
            <w:r>
              <w:rPr>
                <w:b/>
                <w:sz w:val="19"/>
              </w:rPr>
              <w:t>A</w:t>
            </w:r>
            <w:r>
              <w:rPr>
                <w:sz w:val="19"/>
              </w:rPr>
              <w:t xml:space="preserve"> Germany West Central (Datenhaltung in Deutschland) · </w:t>
            </w:r>
            <w:r>
              <w:rPr>
                <w:b/>
                <w:sz w:val="19"/>
              </w:rPr>
              <w:t>B</w:t>
            </w:r>
            <w:r>
              <w:rPr>
                <w:sz w:val="19"/>
              </w:rPr>
              <w:t xml:space="preserve"> East US (Vorbelegung, oft günstiger, Daten außerhalb der EU) — Dienst: </w:t>
            </w:r>
            <w:r>
              <w:rPr>
                <w:b/>
                <w:sz w:val="19"/>
              </w:rPr>
              <w:t>A</w:t>
            </w:r>
            <w:r>
              <w:rPr>
                <w:sz w:val="19"/>
              </w:rPr>
              <w:t xml:space="preserve"> klassische Azure Data Factory · </w:t>
            </w:r>
            <w:r>
              <w:rPr>
                <w:b/>
                <w:sz w:val="19"/>
              </w:rPr>
              <w:t>B</w:t>
            </w:r>
            <w:r>
              <w:rPr>
                <w:sz w:val="19"/>
              </w:rPr>
              <w:t xml:space="preserve"> Microsoft Fabric (neuer, aber Kapazität kostet laufend)</w:t>
            </w:r>
          </w:p>
        </w:tc>
      </w:tr>
      <w:tr>
        <w:trPr/>
        <w:tc>
          <w:tcPr>
            <w:tcW w:type="dxa" w:w="2512"/>
          </w:tcPr>
          <w:p>
            <w:pPr>
              <w:spacing w:after="0"/>
            </w:pPr>
            <w:r>
              <w:rPr>
                <w:sz w:val="19"/>
              </w:rPr>
              <w:t>Entscheidung + Begründung</w:t>
            </w:r>
          </w:p>
        </w:tc>
        <w:tc>
          <w:tcPr>
            <w:tcW w:type="dxa" w:w="6899"/>
          </w:tcPr>
          <w:p>
            <w:pPr>
              <w:spacing w:after="0"/>
            </w:pPr>
            <w:r>
              <w:rPr>
                <w:sz w:val="19"/>
              </w:rPr>
              <w:t>Germany West Central und klassische Data Factory (23.09.2026, Projektleitung): Datenhaltung in Deutschland entspricht der späteren betrieblichen Nutzung (DSGVO); Fabric-Kapazität würde das Guthaben laufend belasten</w:t>
            </w:r>
          </w:p>
        </w:tc>
      </w:tr>
      <w:tr>
        <w:trPr/>
        <w:tc>
          <w:tcPr>
            <w:tcW w:type="dxa" w:w="2512"/>
          </w:tcPr>
          <w:p>
            <w:pPr>
              <w:spacing w:after="0"/>
            </w:pPr>
            <w:r>
              <w:rPr>
                <w:sz w:val="19"/>
              </w:rPr>
              <w:t>Endergebnis</w:t>
            </w:r>
          </w:p>
        </w:tc>
        <w:tc>
          <w:tcPr>
            <w:tcW w:type="dxa" w:w="6899"/>
          </w:tcPr>
          <w:p>
            <w:pPr>
              <w:spacing w:after="0"/>
            </w:pPr>
            <w:r>
              <w:rPr>
                <w:sz w:val="19"/>
              </w:rPr>
              <w:t>Rahmen festgelegt; Kostenregel: jede kostenpflichtige Ressource erst nach Freigabe (Human Loop)</w:t>
            </w:r>
          </w:p>
        </w:tc>
      </w:tr>
      <w:tr>
        <w:trPr/>
        <w:tc>
          <w:tcPr>
            <w:tcW w:type="dxa" w:w="2512"/>
          </w:tcPr>
          <w:p>
            <w:pPr>
              <w:spacing w:after="0"/>
            </w:pPr>
            <w:r>
              <w:rPr>
                <w:sz w:val="19"/>
              </w:rPr>
              <w:t>Hinweise / Gefahren</w:t>
            </w:r>
          </w:p>
        </w:tc>
        <w:tc>
          <w:tcPr>
            <w:tcW w:type="dxa" w:w="6899"/>
          </w:tcPr>
          <w:p>
            <w:pPr>
              <w:spacing w:after="0"/>
            </w:pPr>
            <w:r>
              <w:rPr>
                <w:sz w:val="19"/>
              </w:rPr>
              <w:t>Region bei jeder neuen Ressource prüfen · Marketplace-Angebote von Fremdanbietern mit ähnlichem Namen meiden („Nur Azure-Dienste“) · Budget-Warnung fehlt noch (Risiko 1)</w:t>
            </w:r>
          </w:p>
        </w:tc>
      </w:tr>
      <w:tr>
        <w:trPr/>
        <w:tc>
          <w:tcPr>
            <w:tcW w:type="dxa" w:w="2512"/>
          </w:tcPr>
          <w:p>
            <w:pPr>
              <w:spacing w:after="0"/>
            </w:pPr>
            <w:r>
              <w:rPr>
                <w:sz w:val="19"/>
              </w:rPr>
              <w:t>Klärung (Stand Abschluss)</w:t>
            </w:r>
          </w:p>
        </w:tc>
        <w:tc>
          <w:tcPr>
            <w:tcW w:type="dxa" w:w="6899"/>
          </w:tcPr>
          <w:p>
            <w:pPr>
              <w:spacing w:after="0"/>
            </w:pPr>
            <w:r>
              <w:rPr>
                <w:sz w:val="19"/>
              </w:rPr>
              <w:t xml:space="preserve">Budget-Warnung einrichten (Schritt 5.7) → </w:t>
            </w:r>
            <w:r>
              <w:rPr>
                <w:b/>
                <w:sz w:val="19"/>
              </w:rPr>
              <w:t>Stand 05.10.2026:</w:t>
            </w:r>
            <w:r>
              <w:rPr>
                <w:sz w:val="19"/>
              </w:rPr>
              <w:t xml:space="preserve"> erledigt (5.7, 30.09.)</w:t>
            </w:r>
          </w:p>
        </w:tc>
      </w:tr>
      <w:tr>
        <w:trPr/>
        <w:tc>
          <w:tcPr>
            <w:tcW w:type="dxa" w:w="2512"/>
          </w:tcPr>
          <w:p>
            <w:pPr>
              <w:spacing w:after="0"/>
            </w:pPr>
            <w:r>
              <w:rPr>
                <w:sz w:val="19"/>
              </w:rPr>
              <w:t>Für Agenten / ML</w:t>
            </w:r>
          </w:p>
        </w:tc>
        <w:tc>
          <w:tcPr>
            <w:tcW w:type="dxa" w:w="6899"/>
          </w:tcPr>
          <w:p>
            <w:pPr>
              <w:spacing w:after="0"/>
            </w:pPr>
            <w:r>
              <w:rPr>
                <w:sz w:val="19"/>
              </w:rPr>
              <w:t>Agenten dürfen keine kostenpflichtige Ressource ohne Freigabe anlegen; Region als fester Parameter</w:t>
            </w:r>
          </w:p>
        </w:tc>
      </w:tr>
      <w:tr>
        <w:trPr/>
        <w:tc>
          <w:tcPr>
            <w:tcW w:type="dxa" w:w="2512"/>
          </w:tcPr>
          <w:p>
            <w:pPr>
              <w:spacing w:after="0"/>
            </w:pPr>
            <w:r>
              <w:rPr>
                <w:sz w:val="19"/>
              </w:rPr>
              <w:t>Verweise</w:t>
            </w:r>
          </w:p>
        </w:tc>
        <w:tc>
          <w:tcPr>
            <w:tcW w:type="dxa" w:w="6899"/>
          </w:tcPr>
          <w:p>
            <w:pPr>
              <w:spacing w:after="0"/>
            </w:pPr>
            <w:r>
              <w:rPr>
                <w:sz w:val="19"/>
              </w:rPr>
              <w:t>AN-ITS-001 Schritt 0 · Human-Loop-Matrix RL-RC-003 · Risiko 1</w:t>
            </w:r>
          </w:p>
        </w:tc>
      </w:tr>
      <w:tr>
        <w:trPr/>
        <w:tc>
          <w:tcPr>
            <w:tcW w:type="dxa" w:w="2512"/>
          </w:tcPr>
          <w:p>
            <w:pPr>
              <w:spacing w:after="0"/>
            </w:pPr>
            <w:r>
              <w:rPr>
                <w:sz w:val="19"/>
              </w:rPr>
              <w:t>Einfach erklärt</w:t>
            </w:r>
          </w:p>
        </w:tc>
        <w:tc>
          <w:tcPr>
            <w:tcW w:type="dxa" w:w="6899"/>
          </w:tcPr>
          <w:p>
            <w:pPr>
              <w:spacing w:after="0"/>
            </w:pPr>
            <w:r>
              <w:rPr>
                <w:sz w:val="19"/>
              </w:rPr>
              <w:t>Bevor man baut, legt man fest, was es kosten darf und wo gebaut wird – wie beim Hausbau Budget und Grundstück. Ohne diese Regel könnte jeder Klick in Azure unbemerkt Geld kosten.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1.2 – Ressourcengruppe, Namenskonvention und Tags</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werden alle Ressourcen zusammengehalten und eindeutig benannt?</w:t>
            </w:r>
          </w:p>
        </w:tc>
      </w:tr>
      <w:tr>
        <w:trPr/>
        <w:tc>
          <w:tcPr>
            <w:tcW w:type="dxa" w:w="2512"/>
          </w:tcPr>
          <w:p>
            <w:pPr>
              <w:spacing w:after="0"/>
            </w:pPr>
            <w:r>
              <w:rPr>
                <w:sz w:val="19"/>
              </w:rPr>
              <w:t>Eigene Erwartung</w:t>
            </w:r>
          </w:p>
        </w:tc>
        <w:tc>
          <w:tcPr>
            <w:tcW w:type="dxa" w:w="6899"/>
          </w:tcPr>
          <w:p>
            <w:pPr>
              <w:spacing w:after="0"/>
            </w:pPr>
            <w:r>
              <w:rPr>
                <w:sz w:val="19"/>
              </w:rPr>
              <w:t>Ein frei gewählter Name genügt</w:t>
            </w:r>
          </w:p>
        </w:tc>
      </w:tr>
      <w:tr>
        <w:trPr/>
        <w:tc>
          <w:tcPr>
            <w:tcW w:type="dxa" w:w="2512"/>
          </w:tcPr>
          <w:p>
            <w:pPr>
              <w:spacing w:after="0"/>
            </w:pPr>
            <w:r>
              <w:rPr>
                <w:sz w:val="19"/>
              </w:rPr>
              <w:t>Erwartung laut Recherche</w:t>
            </w:r>
          </w:p>
        </w:tc>
        <w:tc>
          <w:tcPr>
            <w:tcW w:type="dxa" w:w="6899"/>
          </w:tcPr>
          <w:p>
            <w:pPr>
              <w:spacing w:after="0"/>
            </w:pPr>
            <w:r>
              <w:rPr>
                <w:sz w:val="19"/>
              </w:rPr>
              <w:t xml:space="preserve">Microsoft Cloud Adoption Framework: Präfix nach Ressourcentyp, danach Projekt, Umgebung, Region (z. B. </w:t>
            </w:r>
            <w:r>
              <w:rPr>
                <w:rFonts w:ascii="Courier New" w:hAnsi="Courier New"/>
                <w:sz w:val="17"/>
              </w:rPr>
              <w:t>rg-&lt;projekt&gt;-&lt;umgebung&gt;-&lt;region&gt;</w:t>
            </w:r>
            <w:r>
              <w:rPr>
                <w:sz w:val="19"/>
              </w:rPr>
              <w:t>); Tags für Kostenzuordnung</w:t>
            </w:r>
          </w:p>
        </w:tc>
      </w:tr>
      <w:tr>
        <w:trPr/>
        <w:tc>
          <w:tcPr>
            <w:tcW w:type="dxa" w:w="2512"/>
          </w:tcPr>
          <w:p>
            <w:pPr>
              <w:spacing w:after="0"/>
            </w:pPr>
            <w:r>
              <w:rPr>
                <w:sz w:val="19"/>
              </w:rPr>
              <w:t>Zwischenschritte</w:t>
            </w:r>
          </w:p>
        </w:tc>
        <w:tc>
          <w:tcPr>
            <w:tcW w:type="dxa" w:w="6899"/>
          </w:tcPr>
          <w:p>
            <w:pPr>
              <w:spacing w:after="0"/>
            </w:pPr>
            <w:r>
              <w:rPr>
                <w:sz w:val="19"/>
              </w:rPr>
              <w:t>1) erste Versuche in drei Gruppen mit uneinheitlichen Namen (eine davon in der Region East US) 2) neue Gruppe nach Konvention 3) Speicherkonten hineinverschieben 4) alte Gruppen löschen</w:t>
            </w:r>
          </w:p>
        </w:tc>
      </w:tr>
      <w:tr>
        <w:trPr/>
        <w:tc>
          <w:tcPr>
            <w:tcW w:type="dxa" w:w="2512"/>
          </w:tcPr>
          <w:p>
            <w:pPr>
              <w:spacing w:after="0"/>
            </w:pPr>
            <w:r>
              <w:rPr>
                <w:sz w:val="19"/>
              </w:rPr>
              <w:t>Zwischenergebnis</w:t>
            </w:r>
          </w:p>
        </w:tc>
        <w:tc>
          <w:tcPr>
            <w:tcW w:type="dxa" w:w="6899"/>
          </w:tcPr>
          <w:p>
            <w:pPr>
              <w:spacing w:after="0"/>
            </w:pPr>
            <w:r>
              <w:rPr>
                <w:sz w:val="19"/>
              </w:rPr>
              <w:t>Namen von Ressourcen lassen sich nachträglich nicht ändern; unklare Namen führen beim Löschen zu Verwechslungsgefahr</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Konvention nach Cloud Adoption Framework · </w:t>
            </w:r>
            <w:r>
              <w:rPr>
                <w:b/>
                <w:sz w:val="19"/>
              </w:rPr>
              <w:t>B</w:t>
            </w:r>
            <w:r>
              <w:rPr>
                <w:sz w:val="19"/>
              </w:rPr>
              <w:t xml:space="preserve"> eigene Kurznamen (schnell, aber nicht selbsterklärend)</w:t>
            </w:r>
          </w:p>
        </w:tc>
      </w:tr>
      <w:tr>
        <w:trPr/>
        <w:tc>
          <w:tcPr>
            <w:tcW w:type="dxa" w:w="2512"/>
          </w:tcPr>
          <w:p>
            <w:pPr>
              <w:spacing w:after="0"/>
            </w:pPr>
            <w:r>
              <w:rPr>
                <w:sz w:val="19"/>
              </w:rPr>
              <w:t>Entscheidung + Begründung</w:t>
            </w:r>
          </w:p>
        </w:tc>
        <w:tc>
          <w:tcPr>
            <w:tcW w:type="dxa" w:w="6899"/>
          </w:tcPr>
          <w:p>
            <w:pPr>
              <w:spacing w:after="0"/>
            </w:pPr>
            <w:r>
              <w:rPr>
                <w:sz w:val="19"/>
              </w:rPr>
              <w:t xml:space="preserve">A (24.09.2026): </w:t>
            </w:r>
            <w:r>
              <w:rPr>
                <w:rFonts w:ascii="Courier New" w:hAnsi="Courier New"/>
                <w:sz w:val="17"/>
              </w:rPr>
              <w:t>rg-beehaven-dev-gwc</w:t>
            </w:r>
            <w:r>
              <w:rPr>
                <w:sz w:val="19"/>
              </w:rPr>
              <w:t>; Tags projekt, umgebung, verantwortlich (Rolle statt Person), zweck – Rollen, weil Tags nicht als personenbezogene Daten gespeichert werden sollen und Personen wechseln</w:t>
            </w:r>
          </w:p>
        </w:tc>
      </w:tr>
      <w:tr>
        <w:trPr/>
        <w:tc>
          <w:tcPr>
            <w:tcW w:type="dxa" w:w="2512"/>
          </w:tcPr>
          <w:p>
            <w:pPr>
              <w:spacing w:after="0"/>
            </w:pPr>
            <w:r>
              <w:rPr>
                <w:sz w:val="19"/>
              </w:rPr>
              <w:t>Endergebnis</w:t>
            </w:r>
          </w:p>
        </w:tc>
        <w:tc>
          <w:tcPr>
            <w:tcW w:type="dxa" w:w="6899"/>
          </w:tcPr>
          <w:p>
            <w:pPr>
              <w:spacing w:after="0"/>
            </w:pPr>
            <w:r>
              <w:rPr>
                <w:sz w:val="19"/>
              </w:rPr>
              <w:t xml:space="preserve">Ressourcengruppe </w:t>
            </w:r>
            <w:r>
              <w:rPr>
                <w:rFonts w:ascii="Courier New" w:hAnsi="Courier New"/>
                <w:sz w:val="17"/>
              </w:rPr>
              <w:t>rg-beehaven-dev-gwc</w:t>
            </w:r>
            <w:r>
              <w:rPr>
                <w:sz w:val="19"/>
              </w:rPr>
              <w:t xml:space="preserve"> in Germany West Central; alte Gruppen entfernt</w:t>
            </w:r>
          </w:p>
        </w:tc>
      </w:tr>
      <w:tr>
        <w:trPr/>
        <w:tc>
          <w:tcPr>
            <w:tcW w:type="dxa" w:w="2512"/>
          </w:tcPr>
          <w:p>
            <w:pPr>
              <w:spacing w:after="0"/>
            </w:pPr>
            <w:r>
              <w:rPr>
                <w:sz w:val="19"/>
              </w:rPr>
              <w:t>Hinweise / Gefahren</w:t>
            </w:r>
          </w:p>
        </w:tc>
        <w:tc>
          <w:tcPr>
            <w:tcW w:type="dxa" w:w="6899"/>
          </w:tcPr>
          <w:p>
            <w:pPr>
              <w:spacing w:after="0"/>
            </w:pPr>
            <w:r>
              <w:rPr>
                <w:sz w:val="19"/>
              </w:rPr>
              <w:t>Beim Löschen Namen zweimal lesen und Inhalt vorher prüfen · Tags werden nicht automatisch an Ressourcen vererbt – an jeder Ressource setzen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Namensschema als Regel hinterlegen; ein Agent kann Namen prüfen, bevor er Ressourcen anlegt</w:t>
            </w:r>
          </w:p>
        </w:tc>
      </w:tr>
      <w:tr>
        <w:trPr/>
        <w:tc>
          <w:tcPr>
            <w:tcW w:type="dxa" w:w="2512"/>
          </w:tcPr>
          <w:p>
            <w:pPr>
              <w:spacing w:after="0"/>
            </w:pPr>
            <w:r>
              <w:rPr>
                <w:sz w:val="19"/>
              </w:rPr>
              <w:t>Verweise</w:t>
            </w:r>
          </w:p>
        </w:tc>
        <w:tc>
          <w:tcPr>
            <w:tcW w:type="dxa" w:w="6899"/>
          </w:tcPr>
          <w:p>
            <w:pPr>
              <w:spacing w:after="0"/>
            </w:pPr>
            <w:r>
              <w:rPr>
                <w:sz w:val="19"/>
              </w:rPr>
              <w:t>AN-ITS-001 Schritt 1 · Namens-Präfixe (AN-ITS-001 FAQ) · Ideen I3, I4</w:t>
            </w:r>
          </w:p>
        </w:tc>
      </w:tr>
      <w:tr>
        <w:trPr/>
        <w:tc>
          <w:tcPr>
            <w:tcW w:type="dxa" w:w="2512"/>
          </w:tcPr>
          <w:p>
            <w:pPr>
              <w:spacing w:after="0"/>
            </w:pPr>
            <w:r>
              <w:rPr>
                <w:sz w:val="19"/>
              </w:rPr>
              <w:t>Einfach erklärt</w:t>
            </w:r>
          </w:p>
        </w:tc>
        <w:tc>
          <w:tcPr>
            <w:tcW w:type="dxa" w:w="6899"/>
          </w:tcPr>
          <w:p>
            <w:pPr>
              <w:spacing w:after="0"/>
            </w:pPr>
            <w:r>
              <w:rPr>
                <w:sz w:val="19"/>
              </w:rPr>
              <w:t>Die Ressourcengruppe ist ein Ordner für alles, was zum Projekt gehört. Einheitliche Namen und Etiketten (Tags) zeigen später auf einen Blick, wem etwas gehört und wofür es Geld kostet.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1.3 – Zwei Speicherkonten: Quelle und Data Lake</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Wo liegen Rohdaten, wo die veredelten Daten?</w:t>
            </w:r>
          </w:p>
        </w:tc>
      </w:tr>
      <w:tr>
        <w:trPr/>
        <w:tc>
          <w:tcPr>
            <w:tcW w:type="dxa" w:w="2512"/>
          </w:tcPr>
          <w:p>
            <w:pPr>
              <w:spacing w:after="0"/>
            </w:pPr>
            <w:r>
              <w:rPr>
                <w:sz w:val="19"/>
              </w:rPr>
              <w:t>Eigene Erwartung</w:t>
            </w:r>
          </w:p>
        </w:tc>
        <w:tc>
          <w:tcPr>
            <w:tcW w:type="dxa" w:w="6899"/>
          </w:tcPr>
          <w:p>
            <w:pPr>
              <w:spacing w:after="0"/>
            </w:pPr>
            <w:r>
              <w:rPr>
                <w:sz w:val="19"/>
              </w:rPr>
              <w:t>Ein Speicherkonto reicht</w:t>
            </w:r>
          </w:p>
        </w:tc>
      </w:tr>
      <w:tr>
        <w:trPr/>
        <w:tc>
          <w:tcPr>
            <w:tcW w:type="dxa" w:w="2512"/>
          </w:tcPr>
          <w:p>
            <w:pPr>
              <w:spacing w:after="0"/>
            </w:pPr>
            <w:r>
              <w:rPr>
                <w:sz w:val="19"/>
              </w:rPr>
              <w:t>Erwartung laut Recherche</w:t>
            </w:r>
          </w:p>
        </w:tc>
        <w:tc>
          <w:tcPr>
            <w:tcW w:type="dxa" w:w="6899"/>
          </w:tcPr>
          <w:p>
            <w:pPr>
              <w:spacing w:after="0"/>
            </w:pPr>
            <w:r>
              <w:rPr>
                <w:sz w:val="19"/>
              </w:rPr>
              <w:t>Kursvorgabe: Quelle als Blob Storage, Ziel als Data Lake Storage Gen2 (hierarchischer Namespace für echte Ordner und Rechte je Ordner)</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mabeehavenraw</w:t>
            </w:r>
            <w:r>
              <w:rPr>
                <w:sz w:val="19"/>
              </w:rPr>
              <w:t xml:space="preserve"> (Hierarchical Namespace (hierarchischer Namespace) aus, LRS), Container </w:t>
            </w:r>
            <w:r>
              <w:rPr>
                <w:rFonts w:ascii="Courier New" w:hAnsi="Courier New"/>
                <w:sz w:val="17"/>
              </w:rPr>
              <w:t>source-data</w:t>
            </w:r>
            <w:r>
              <w:rPr>
                <w:sz w:val="19"/>
              </w:rPr>
              <w:t xml:space="preserve">, 4 CSV hochladen 2) </w:t>
            </w:r>
            <w:r>
              <w:rPr>
                <w:rFonts w:ascii="Courier New" w:hAnsi="Courier New"/>
                <w:sz w:val="17"/>
              </w:rPr>
              <w:t>mabeehavenlakehouse</w:t>
            </w:r>
            <w:r>
              <w:rPr>
                <w:sz w:val="19"/>
              </w:rPr>
              <w:t xml:space="preserve"> (StorageV2, Standard, LRS, Hot, hierarchischer Namespace an)</w:t>
            </w:r>
          </w:p>
        </w:tc>
      </w:tr>
      <w:tr>
        <w:trPr/>
        <w:tc>
          <w:tcPr>
            <w:tcW w:type="dxa" w:w="2512"/>
          </w:tcPr>
          <w:p>
            <w:pPr>
              <w:spacing w:after="0"/>
            </w:pPr>
            <w:r>
              <w:rPr>
                <w:sz w:val="19"/>
              </w:rPr>
              <w:t>Zwischenergebnis</w:t>
            </w:r>
          </w:p>
        </w:tc>
        <w:tc>
          <w:tcPr>
            <w:tcW w:type="dxa" w:w="6899"/>
          </w:tcPr>
          <w:p>
            <w:pPr>
              <w:spacing w:after="0"/>
            </w:pPr>
            <w:r>
              <w:rPr>
                <w:sz w:val="19"/>
              </w:rPr>
              <w:t xml:space="preserve">Erster Container </w:t>
            </w:r>
            <w:r>
              <w:rPr>
                <w:rFonts w:ascii="Courier New" w:hAnsi="Courier New"/>
                <w:sz w:val="17"/>
              </w:rPr>
              <w:t>containerbeehaven</w:t>
            </w:r>
            <w:r>
              <w:rPr>
                <w:sz w:val="19"/>
              </w:rPr>
              <w:t xml:space="preserve"> bzw. </w:t>
            </w:r>
            <w:r>
              <w:rPr>
                <w:rFonts w:ascii="Courier New" w:hAnsi="Courier New"/>
                <w:sz w:val="17"/>
              </w:rPr>
              <w:t>mabeehavencontainer</w:t>
            </w:r>
            <w:r>
              <w:rPr>
                <w:sz w:val="19"/>
              </w:rPr>
              <w:t xml:space="preserve"> war nicht zweckbezogen benannt → ersetzt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zwei Konten (Quelle = „Posteingang“, Data Lake = Ort der Veredelung) · </w:t>
            </w:r>
            <w:r>
              <w:rPr>
                <w:b/>
                <w:sz w:val="19"/>
              </w:rPr>
              <w:t>B</w:t>
            </w:r>
            <w:r>
              <w:rPr>
                <w:sz w:val="19"/>
              </w:rPr>
              <w:t xml:space="preserve"> ein Konto mit mehreren Containern (einfacher, aber Rechte und Rollen weniger klar getrennt)</w:t>
            </w:r>
          </w:p>
        </w:tc>
      </w:tr>
      <w:tr>
        <w:trPr/>
        <w:tc>
          <w:tcPr>
            <w:tcW w:type="dxa" w:w="2512"/>
          </w:tcPr>
          <w:p>
            <w:pPr>
              <w:spacing w:after="0"/>
            </w:pPr>
            <w:r>
              <w:rPr>
                <w:sz w:val="19"/>
              </w:rPr>
              <w:t>Entscheidung + Begründung</w:t>
            </w:r>
          </w:p>
        </w:tc>
        <w:tc>
          <w:tcPr>
            <w:tcW w:type="dxa" w:w="6899"/>
          </w:tcPr>
          <w:p>
            <w:pPr>
              <w:spacing w:after="0"/>
            </w:pPr>
            <w:r>
              <w:rPr>
                <w:sz w:val="19"/>
              </w:rPr>
              <w:t>A (Vorgabe, 23./24.09.2026): bildet einen Betrieb ab, in dem Lieferungen getrennt von der Verarbeitung ankommen; Rechte je Konto einzeln</w:t>
            </w:r>
          </w:p>
        </w:tc>
      </w:tr>
      <w:tr>
        <w:trPr/>
        <w:tc>
          <w:tcPr>
            <w:tcW w:type="dxa" w:w="2512"/>
          </w:tcPr>
          <w:p>
            <w:pPr>
              <w:spacing w:after="0"/>
            </w:pPr>
            <w:r>
              <w:rPr>
                <w:sz w:val="19"/>
              </w:rPr>
              <w:t>Endergebnis</w:t>
            </w:r>
          </w:p>
        </w:tc>
        <w:tc>
          <w:tcPr>
            <w:tcW w:type="dxa" w:w="6899"/>
          </w:tcPr>
          <w:p>
            <w:pPr>
              <w:spacing w:after="0"/>
            </w:pPr>
            <w:r>
              <w:rPr>
                <w:sz w:val="19"/>
              </w:rPr>
              <w:t xml:space="preserve">Quelle </w:t>
            </w:r>
            <w:r>
              <w:rPr>
                <w:rFonts w:ascii="Courier New" w:hAnsi="Courier New"/>
                <w:sz w:val="17"/>
              </w:rPr>
              <w:t>mabeehavenraw/source-data</w:t>
            </w:r>
            <w:r>
              <w:rPr>
                <w:sz w:val="19"/>
              </w:rPr>
              <w:t xml:space="preserve"> mit flow, temperature, humidity, weight; Data Lake </w:t>
            </w:r>
            <w:r>
              <w:rPr>
                <w:rFonts w:ascii="Courier New" w:hAnsi="Courier New"/>
                <w:sz w:val="17"/>
              </w:rPr>
              <w:t>mabeehavenlakehouse</w:t>
            </w:r>
          </w:p>
        </w:tc>
      </w:tr>
      <w:tr>
        <w:trPr/>
        <w:tc>
          <w:tcPr>
            <w:tcW w:type="dxa" w:w="2512"/>
          </w:tcPr>
          <w:p>
            <w:pPr>
              <w:spacing w:after="0"/>
            </w:pPr>
            <w:r>
              <w:rPr>
                <w:sz w:val="19"/>
              </w:rPr>
              <w:t>Hinweise / Gefahren</w:t>
            </w:r>
          </w:p>
        </w:tc>
        <w:tc>
          <w:tcPr>
            <w:tcW w:type="dxa" w:w="6899"/>
          </w:tcPr>
          <w:p>
            <w:pPr>
              <w:spacing w:after="0"/>
            </w:pPr>
            <w:r>
              <w:rPr>
                <w:sz w:val="19"/>
              </w:rPr>
              <w:t>Hierarchischer Namespace lässt sich später nur mit Aufwand ändern – beim Anlegen richtig setzen · Container nach Zweck benennen, Projekt steckt schon im Kontonamen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Rohdaten-Eingang ist schreibgeschützt für Verarbeitungsschritte</w:t>
            </w:r>
          </w:p>
        </w:tc>
      </w:tr>
      <w:tr>
        <w:trPr/>
        <w:tc>
          <w:tcPr>
            <w:tcW w:type="dxa" w:w="2512"/>
          </w:tcPr>
          <w:p>
            <w:pPr>
              <w:spacing w:after="0"/>
            </w:pPr>
            <w:r>
              <w:rPr>
                <w:sz w:val="19"/>
              </w:rPr>
              <w:t>Verweise</w:t>
            </w:r>
          </w:p>
        </w:tc>
        <w:tc>
          <w:tcPr>
            <w:tcW w:type="dxa" w:w="6899"/>
          </w:tcPr>
          <w:p>
            <w:pPr>
              <w:spacing w:after="0"/>
            </w:pPr>
            <w:r>
              <w:rPr>
                <w:sz w:val="19"/>
              </w:rPr>
              <w:t>AN-ITS-001 Schritte 2–3 · Idee I5</w:t>
            </w:r>
          </w:p>
        </w:tc>
      </w:tr>
      <w:tr>
        <w:trPr/>
        <w:tc>
          <w:tcPr>
            <w:tcW w:type="dxa" w:w="2512"/>
          </w:tcPr>
          <w:p>
            <w:pPr>
              <w:spacing w:after="0"/>
            </w:pPr>
            <w:r>
              <w:rPr>
                <w:sz w:val="19"/>
              </w:rPr>
              <w:t>Einfach erklärt</w:t>
            </w:r>
          </w:p>
        </w:tc>
        <w:tc>
          <w:tcPr>
            <w:tcW w:type="dxa" w:w="6899"/>
          </w:tcPr>
          <w:p>
            <w:pPr>
              <w:spacing w:after="0"/>
            </w:pPr>
            <w:r>
              <w:rPr>
                <w:sz w:val="19"/>
              </w:rPr>
              <w:t>Wie ein Briefkasten und ein Lager: In das eine Speicherkonto kommen die Lieferungen (Rohdaten), im anderen werden sie geordnet aufbewahrt und weiterverarbeitet.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1.4 – Container und Ordner nach Medaillon-Architektur</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wird der Data Lake gegliedert?</w:t>
            </w:r>
          </w:p>
        </w:tc>
      </w:tr>
      <w:tr>
        <w:trPr/>
        <w:tc>
          <w:tcPr>
            <w:tcW w:type="dxa" w:w="2512"/>
          </w:tcPr>
          <w:p>
            <w:pPr>
              <w:spacing w:after="0"/>
            </w:pPr>
            <w:r>
              <w:rPr>
                <w:sz w:val="19"/>
              </w:rPr>
              <w:t>Eigene Erwartung</w:t>
            </w:r>
          </w:p>
        </w:tc>
        <w:tc>
          <w:tcPr>
            <w:tcW w:type="dxa" w:w="6899"/>
          </w:tcPr>
          <w:p>
            <w:pPr>
              <w:spacing w:after="0"/>
            </w:pPr>
            <w:r>
              <w:rPr>
                <w:sz w:val="19"/>
              </w:rPr>
              <w:t>Je Stufe ein Ordner</w:t>
            </w:r>
          </w:p>
        </w:tc>
      </w:tr>
      <w:tr>
        <w:trPr/>
        <w:tc>
          <w:tcPr>
            <w:tcW w:type="dxa" w:w="2512"/>
          </w:tcPr>
          <w:p>
            <w:pPr>
              <w:spacing w:after="0"/>
            </w:pPr>
            <w:r>
              <w:rPr>
                <w:sz w:val="19"/>
              </w:rPr>
              <w:t>Erwartung laut Recherche</w:t>
            </w:r>
          </w:p>
        </w:tc>
        <w:tc>
          <w:tcPr>
            <w:tcW w:type="dxa" w:w="6899"/>
          </w:tcPr>
          <w:p>
            <w:pPr>
              <w:spacing w:after="0"/>
            </w:pPr>
            <w:r>
              <w:rPr>
                <w:sz w:val="19"/>
              </w:rPr>
              <w:t>Medallion Architecture: Bronze = Rohdaten unverändert, Silver = bereinigt und vereinheitlicht, Gold = geschäftsfertige Kennzahlen</w:t>
            </w:r>
          </w:p>
        </w:tc>
      </w:tr>
      <w:tr>
        <w:trPr/>
        <w:tc>
          <w:tcPr>
            <w:tcW w:type="dxa" w:w="2512"/>
          </w:tcPr>
          <w:p>
            <w:pPr>
              <w:spacing w:after="0"/>
            </w:pPr>
            <w:r>
              <w:rPr>
                <w:sz w:val="19"/>
              </w:rPr>
              <w:t>Zwischenschritte</w:t>
            </w:r>
          </w:p>
        </w:tc>
        <w:tc>
          <w:tcPr>
            <w:tcW w:type="dxa" w:w="6899"/>
          </w:tcPr>
          <w:p>
            <w:pPr>
              <w:spacing w:after="0"/>
            </w:pPr>
            <w:r>
              <w:rPr>
                <w:sz w:val="19"/>
              </w:rPr>
              <w:t xml:space="preserve">1) Container </w:t>
            </w:r>
            <w:r>
              <w:rPr>
                <w:rFonts w:ascii="Courier New" w:hAnsi="Courier New"/>
                <w:sz w:val="17"/>
              </w:rPr>
              <w:t>lakehouse</w:t>
            </w:r>
            <w:r>
              <w:rPr>
                <w:sz w:val="19"/>
              </w:rPr>
              <w:t xml:space="preserve"> 2) Ordner </w:t>
            </w:r>
            <w:r>
              <w:rPr>
                <w:rFonts w:ascii="Courier New" w:hAnsi="Courier New"/>
                <w:sz w:val="17"/>
              </w:rPr>
              <w:t>bronze/new</w:t>
            </w:r>
            <w:r>
              <w:rPr>
                <w:sz w:val="19"/>
              </w:rPr>
              <w:t xml:space="preserve">, </w:t>
            </w:r>
            <w:r>
              <w:rPr>
                <w:rFonts w:ascii="Courier New" w:hAnsi="Courier New"/>
                <w:sz w:val="17"/>
              </w:rPr>
              <w:t>bronze/archive</w:t>
            </w:r>
            <w:r>
              <w:rPr>
                <w:sz w:val="19"/>
              </w:rPr>
              <w:t xml:space="preserve">, </w:t>
            </w:r>
            <w:r>
              <w:rPr>
                <w:rFonts w:ascii="Courier New" w:hAnsi="Courier New"/>
                <w:sz w:val="17"/>
              </w:rPr>
              <w:t>silver</w:t>
            </w:r>
            <w:r>
              <w:rPr>
                <w:sz w:val="19"/>
              </w:rPr>
              <w:t xml:space="preserve">, </w:t>
            </w:r>
            <w:r>
              <w:rPr>
                <w:rFonts w:ascii="Courier New" w:hAnsi="Courier New"/>
                <w:sz w:val="17"/>
              </w:rPr>
              <w:t>gold</w:t>
            </w:r>
          </w:p>
        </w:tc>
      </w:tr>
      <w:tr>
        <w:trPr/>
        <w:tc>
          <w:tcPr>
            <w:tcW w:type="dxa" w:w="2512"/>
          </w:tcPr>
          <w:p>
            <w:pPr>
              <w:spacing w:after="0"/>
            </w:pPr>
            <w:r>
              <w:rPr>
                <w:sz w:val="19"/>
              </w:rPr>
              <w:t>Zwischenergebnis</w:t>
            </w:r>
          </w:p>
        </w:tc>
        <w:tc>
          <w:tcPr>
            <w:tcW w:type="dxa" w:w="6899"/>
          </w:tcPr>
          <w:p>
            <w:pPr>
              <w:spacing w:after="0"/>
            </w:pPr>
            <w:r>
              <w:rPr>
                <w:sz w:val="19"/>
              </w:rPr>
              <w:t>Doppelklick auf Speichern meldet „PathAlreadyExists“ – harmlos</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ein Container mit Stufen-Ordnern · </w:t>
            </w:r>
            <w:r>
              <w:rPr>
                <w:b/>
                <w:sz w:val="19"/>
              </w:rPr>
              <w:t>B</w:t>
            </w:r>
            <w:r>
              <w:rPr>
                <w:sz w:val="19"/>
              </w:rPr>
              <w:t xml:space="preserve"> je Stufe ein eigener Container (feinere Rechte, mehr Verwaltung)</w:t>
            </w:r>
          </w:p>
        </w:tc>
      </w:tr>
      <w:tr>
        <w:trPr/>
        <w:tc>
          <w:tcPr>
            <w:tcW w:type="dxa" w:w="2512"/>
          </w:tcPr>
          <w:p>
            <w:pPr>
              <w:spacing w:after="0"/>
            </w:pPr>
            <w:r>
              <w:rPr>
                <w:sz w:val="19"/>
              </w:rPr>
              <w:t>Entscheidung + Begründung</w:t>
            </w:r>
          </w:p>
        </w:tc>
        <w:tc>
          <w:tcPr>
            <w:tcW w:type="dxa" w:w="6899"/>
          </w:tcPr>
          <w:p>
            <w:pPr>
              <w:spacing w:after="0"/>
            </w:pPr>
            <w:r>
              <w:rPr>
                <w:sz w:val="19"/>
              </w:rPr>
              <w:t>A (24.09.2026): für ein Projekt übersichtlich; Rechte je Ordner sind mit Gen2 trotzdem möglich</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lakehouse/bronze/new</w:t>
            </w:r>
            <w:r>
              <w:rPr>
                <w:sz w:val="19"/>
              </w:rPr>
              <w:t xml:space="preserve">, </w:t>
            </w:r>
            <w:r>
              <w:rPr>
                <w:rFonts w:ascii="Courier New" w:hAnsi="Courier New"/>
                <w:sz w:val="17"/>
              </w:rPr>
              <w:t>bronze/archive</w:t>
            </w:r>
            <w:r>
              <w:rPr>
                <w:sz w:val="19"/>
              </w:rPr>
              <w:t xml:space="preserve">, </w:t>
            </w:r>
            <w:r>
              <w:rPr>
                <w:rFonts w:ascii="Courier New" w:hAnsi="Courier New"/>
                <w:sz w:val="17"/>
              </w:rPr>
              <w:t>silver</w:t>
            </w:r>
            <w:r>
              <w:rPr>
                <w:sz w:val="19"/>
              </w:rPr>
              <w:t xml:space="preserve">, </w:t>
            </w:r>
            <w:r>
              <w:rPr>
                <w:rFonts w:ascii="Courier New" w:hAnsi="Courier New"/>
                <w:sz w:val="17"/>
              </w:rPr>
              <w:t>gold</w:t>
            </w:r>
            <w:r>
              <w:rPr>
                <w:sz w:val="19"/>
              </w:rPr>
              <w:t xml:space="preserve"> (Ablage-Regel Kap. 8.3)</w:t>
            </w:r>
          </w:p>
        </w:tc>
      </w:tr>
      <w:tr>
        <w:trPr/>
        <w:tc>
          <w:tcPr>
            <w:tcW w:type="dxa" w:w="2512"/>
          </w:tcPr>
          <w:p>
            <w:pPr>
              <w:spacing w:after="0"/>
            </w:pPr>
            <w:r>
              <w:rPr>
                <w:sz w:val="19"/>
              </w:rPr>
              <w:t>Hinweise / Gefahren</w:t>
            </w:r>
          </w:p>
        </w:tc>
        <w:tc>
          <w:tcPr>
            <w:tcW w:type="dxa" w:w="6899"/>
          </w:tcPr>
          <w:p>
            <w:pPr>
              <w:spacing w:after="0"/>
            </w:pPr>
            <w:r>
              <w:rPr>
                <w:rFonts w:ascii="Courier New" w:hAnsi="Courier New"/>
                <w:sz w:val="17"/>
              </w:rPr>
              <w:t>bronze/new</w:t>
            </w:r>
            <w:r>
              <w:rPr>
                <w:sz w:val="19"/>
              </w:rPr>
              <w:t xml:space="preserve"> ist nur Durchgangsordner – er muss nach jedem Lauf leer sein, sonst werden Dateien doppelt verarbeitet</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Gold ist die einzige Stufe, aus der Berichte und Modelle lesen</w:t>
            </w:r>
          </w:p>
        </w:tc>
      </w:tr>
      <w:tr>
        <w:trPr/>
        <w:tc>
          <w:tcPr>
            <w:tcW w:type="dxa" w:w="2512"/>
          </w:tcPr>
          <w:p>
            <w:pPr>
              <w:spacing w:after="0"/>
            </w:pPr>
            <w:r>
              <w:rPr>
                <w:sz w:val="19"/>
              </w:rPr>
              <w:t>Verweise</w:t>
            </w:r>
          </w:p>
        </w:tc>
        <w:tc>
          <w:tcPr>
            <w:tcW w:type="dxa" w:w="6899"/>
          </w:tcPr>
          <w:p>
            <w:pPr>
              <w:spacing w:after="0"/>
            </w:pPr>
            <w:r>
              <w:rPr>
                <w:sz w:val="19"/>
              </w:rPr>
              <w:t>AN-ITS-001 Schritt 4 · Medaillon-Erklärung in AN-ITS-001</w:t>
            </w:r>
          </w:p>
        </w:tc>
      </w:tr>
      <w:tr>
        <w:trPr/>
        <w:tc>
          <w:tcPr>
            <w:tcW w:type="dxa" w:w="2512"/>
          </w:tcPr>
          <w:p>
            <w:pPr>
              <w:spacing w:after="0"/>
            </w:pPr>
            <w:r>
              <w:rPr>
                <w:sz w:val="19"/>
              </w:rPr>
              <w:t>Einfach erklärt</w:t>
            </w:r>
          </w:p>
        </w:tc>
        <w:tc>
          <w:tcPr>
            <w:tcW w:type="dxa" w:w="6899"/>
          </w:tcPr>
          <w:p>
            <w:pPr>
              <w:spacing w:after="0"/>
            </w:pPr>
            <w:r>
              <w:rPr>
                <w:sz w:val="19"/>
              </w:rPr>
              <w:t>Bronze, Silver, Gold sind wie Rohstoff, Zwischenprodukt und fertige Ware. Jede Stufe hat ihren eigenen Ordner – so sieht man immer, wie weit die Daten schon bearbeitet sind.</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1.5 – Data Factory und Rechte über verwaltete Identität</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darf die Data Factory auf beide Speicherkonten zugreifen, ohne geheime Schlüssel?</w:t>
            </w:r>
          </w:p>
        </w:tc>
      </w:tr>
      <w:tr>
        <w:trPr/>
        <w:tc>
          <w:tcPr>
            <w:tcW w:type="dxa" w:w="2512"/>
          </w:tcPr>
          <w:p>
            <w:pPr>
              <w:spacing w:after="0"/>
            </w:pPr>
            <w:r>
              <w:rPr>
                <w:sz w:val="19"/>
              </w:rPr>
              <w:t>Eigene Erwartung</w:t>
            </w:r>
          </w:p>
        </w:tc>
        <w:tc>
          <w:tcPr>
            <w:tcW w:type="dxa" w:w="6899"/>
          </w:tcPr>
          <w:p>
            <w:pPr>
              <w:spacing w:after="0"/>
            </w:pPr>
            <w:r>
              <w:rPr>
                <w:sz w:val="19"/>
              </w:rPr>
              <w:t>Zugriffsschlüssel des Speicherkontos eintragen</w:t>
            </w:r>
          </w:p>
        </w:tc>
      </w:tr>
      <w:tr>
        <w:trPr/>
        <w:tc>
          <w:tcPr>
            <w:tcW w:type="dxa" w:w="2512"/>
          </w:tcPr>
          <w:p>
            <w:pPr>
              <w:spacing w:after="0"/>
            </w:pPr>
            <w:r>
              <w:rPr>
                <w:sz w:val="19"/>
              </w:rPr>
              <w:t>Erwartung laut Recherche</w:t>
            </w:r>
          </w:p>
        </w:tc>
        <w:tc>
          <w:tcPr>
            <w:tcW w:type="dxa" w:w="6899"/>
          </w:tcPr>
          <w:p>
            <w:pPr>
              <w:spacing w:after="0"/>
            </w:pPr>
            <w:r>
              <w:rPr>
                <w:sz w:val="19"/>
              </w:rPr>
              <w:t>Microsoft Learn: Managed Identity (verwaltete Identität) mit Datenrollen nach dem Prinzip der minimalen Rechte; Kontoschlüssel geben Vollzugriff</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adf-beehaven-dev-gwc</w:t>
            </w:r>
            <w:r>
              <w:rPr>
                <w:sz w:val="19"/>
              </w:rPr>
              <w:t xml:space="preserve"> (V2, Germany West Central, Git später) 2) Access control (IAM) (Zugriffssteuerung) am Quellkonto: „Storage-Blobdatenleser“ 3) am Data Lake: „Mitwirkender an Storage-Blobdaten“</w:t>
            </w:r>
          </w:p>
        </w:tc>
      </w:tr>
      <w:tr>
        <w:trPr/>
        <w:tc>
          <w:tcPr>
            <w:tcW w:type="dxa" w:w="2512"/>
          </w:tcPr>
          <w:p>
            <w:pPr>
              <w:spacing w:after="0"/>
            </w:pPr>
            <w:r>
              <w:rPr>
                <w:sz w:val="19"/>
              </w:rPr>
              <w:t>Zwischenergebnis</w:t>
            </w:r>
          </w:p>
        </w:tc>
        <w:tc>
          <w:tcPr>
            <w:tcW w:type="dxa" w:w="6899"/>
          </w:tcPr>
          <w:p>
            <w:pPr>
              <w:spacing w:after="0"/>
            </w:pPr>
            <w:r>
              <w:rPr>
                <w:sz w:val="19"/>
              </w:rPr>
              <w:t>Rolle „Leser“ reicht nicht (nur Verwaltungsebene, keine Daten); nach dem Zuweisen dauert es einige Minuten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verwaltete Identität mit Datenrollen · </w:t>
            </w:r>
            <w:r>
              <w:rPr>
                <w:b/>
                <w:sz w:val="19"/>
              </w:rPr>
              <w:t>B</w:t>
            </w:r>
            <w:r>
              <w:rPr>
                <w:sz w:val="19"/>
              </w:rPr>
              <w:t xml:space="preserve"> Kontoschlüssel (schnell, aber Vollzugriff und Weitergaberisiko) · </w:t>
            </w:r>
            <w:r>
              <w:rPr>
                <w:b/>
                <w:sz w:val="19"/>
              </w:rPr>
              <w:t>C</w:t>
            </w:r>
            <w:r>
              <w:rPr>
                <w:sz w:val="19"/>
              </w:rPr>
              <w:t xml:space="preserve"> SAS-Token (Ablaufdatum, muss erneuert werden)</w:t>
            </w:r>
          </w:p>
        </w:tc>
      </w:tr>
      <w:tr>
        <w:trPr/>
        <w:tc>
          <w:tcPr>
            <w:tcW w:type="dxa" w:w="2512"/>
          </w:tcPr>
          <w:p>
            <w:pPr>
              <w:spacing w:after="0"/>
            </w:pPr>
            <w:r>
              <w:rPr>
                <w:sz w:val="19"/>
              </w:rPr>
              <w:t>Entscheidung + Begründung</w:t>
            </w:r>
          </w:p>
        </w:tc>
        <w:tc>
          <w:tcPr>
            <w:tcW w:type="dxa" w:w="6899"/>
          </w:tcPr>
          <w:p>
            <w:pPr>
              <w:spacing w:after="0"/>
            </w:pPr>
            <w:r>
              <w:rPr>
                <w:sz w:val="19"/>
              </w:rPr>
              <w:t>A (24.09.2026): kein Geheimnis im Umlauf, nur nötige Rechte, nichts läuft ab – Muster für spätere Agentenrechte</w:t>
            </w:r>
          </w:p>
        </w:tc>
      </w:tr>
      <w:tr>
        <w:trPr/>
        <w:tc>
          <w:tcPr>
            <w:tcW w:type="dxa" w:w="2512"/>
          </w:tcPr>
          <w:p>
            <w:pPr>
              <w:spacing w:after="0"/>
            </w:pPr>
            <w:r>
              <w:rPr>
                <w:sz w:val="19"/>
              </w:rPr>
              <w:t>Endergebnis</w:t>
            </w:r>
          </w:p>
        </w:tc>
        <w:tc>
          <w:tcPr>
            <w:tcW w:type="dxa" w:w="6899"/>
          </w:tcPr>
          <w:p>
            <w:pPr>
              <w:spacing w:after="0"/>
            </w:pPr>
            <w:r>
              <w:rPr>
                <w:sz w:val="19"/>
              </w:rPr>
              <w:t>Data Factory liest die Quelle und schreibt in den Data Lake, ohne Schlüssel</w:t>
            </w:r>
          </w:p>
        </w:tc>
      </w:tr>
      <w:tr>
        <w:trPr/>
        <w:tc>
          <w:tcPr>
            <w:tcW w:type="dxa" w:w="2512"/>
          </w:tcPr>
          <w:p>
            <w:pPr>
              <w:spacing w:after="0"/>
            </w:pPr>
            <w:r>
              <w:rPr>
                <w:sz w:val="19"/>
              </w:rPr>
              <w:t>Hinweise / Gefahren</w:t>
            </w:r>
          </w:p>
        </w:tc>
        <w:tc>
          <w:tcPr>
            <w:tcW w:type="dxa" w:w="6899"/>
          </w:tcPr>
          <w:p>
            <w:pPr>
              <w:spacing w:after="0"/>
            </w:pPr>
            <w:r>
              <w:rPr>
                <w:sz w:val="19"/>
              </w:rPr>
              <w:t>Nicht „Besitzer“ und nicht die eigene Person statt der Identität berechtigen · Fehler „Zugriff verweigert“ → Datenrolle prüfen und warten</w:t>
            </w:r>
          </w:p>
        </w:tc>
      </w:tr>
      <w:tr>
        <w:trPr/>
        <w:tc>
          <w:tcPr>
            <w:tcW w:type="dxa" w:w="2512"/>
          </w:tcPr>
          <w:p>
            <w:pPr>
              <w:spacing w:after="0"/>
            </w:pPr>
            <w:r>
              <w:rPr>
                <w:sz w:val="19"/>
              </w:rPr>
              <w:t>Klärung (Stand Abschluss)</w:t>
            </w:r>
          </w:p>
        </w:tc>
        <w:tc>
          <w:tcPr>
            <w:tcW w:type="dxa" w:w="6899"/>
          </w:tcPr>
          <w:p>
            <w:pPr>
              <w:spacing w:after="0"/>
            </w:pPr>
            <w:r>
              <w:rPr>
                <w:sz w:val="19"/>
              </w:rPr>
              <w:t xml:space="preserve">Anmeldung am Speicherkonto selbst noch mit Zugriffsschlüssel aktiviert – für den Betrieb auf Entra-Anmeldung umstellen → </w:t>
            </w:r>
            <w:r>
              <w:rPr>
                <w:b/>
                <w:sz w:val="19"/>
              </w:rPr>
              <w:t>Stand 05.10.2026:</w:t>
            </w:r>
            <w:r>
              <w:rPr>
                <w:sz w:val="19"/>
              </w:rPr>
              <w:t xml:space="preserve"> Folgeprojekt FP-5</w:t>
            </w:r>
          </w:p>
        </w:tc>
      </w:tr>
      <w:tr>
        <w:trPr/>
        <w:tc>
          <w:tcPr>
            <w:tcW w:type="dxa" w:w="2512"/>
          </w:tcPr>
          <w:p>
            <w:pPr>
              <w:spacing w:after="0"/>
            </w:pPr>
            <w:r>
              <w:rPr>
                <w:sz w:val="19"/>
              </w:rPr>
              <w:t>Für Agenten / ML</w:t>
            </w:r>
          </w:p>
        </w:tc>
        <w:tc>
          <w:tcPr>
            <w:tcW w:type="dxa" w:w="6899"/>
          </w:tcPr>
          <w:p>
            <w:pPr>
              <w:spacing w:after="0"/>
            </w:pPr>
            <w:r>
              <w:rPr>
                <w:sz w:val="19"/>
              </w:rPr>
              <w:t>Jeder Agent bekommt eine eigene Identität mit minimalen Rechten; Rechteänderung nur nach Freigabe</w:t>
            </w:r>
          </w:p>
        </w:tc>
      </w:tr>
      <w:tr>
        <w:trPr/>
        <w:tc>
          <w:tcPr>
            <w:tcW w:type="dxa" w:w="2512"/>
          </w:tcPr>
          <w:p>
            <w:pPr>
              <w:spacing w:after="0"/>
            </w:pPr>
            <w:r>
              <w:rPr>
                <w:sz w:val="19"/>
              </w:rPr>
              <w:t>Verweise</w:t>
            </w:r>
          </w:p>
        </w:tc>
        <w:tc>
          <w:tcPr>
            <w:tcW w:type="dxa" w:w="6899"/>
          </w:tcPr>
          <w:p>
            <w:pPr>
              <w:spacing w:after="0"/>
            </w:pPr>
            <w:r>
              <w:rPr>
                <w:sz w:val="19"/>
              </w:rPr>
              <w:t>AN-ITS-001 Schritte 5–7 · Idee I6 · Leitplanken RL-RC-004</w:t>
            </w:r>
          </w:p>
        </w:tc>
      </w:tr>
      <w:tr>
        <w:trPr/>
        <w:tc>
          <w:tcPr>
            <w:tcW w:type="dxa" w:w="2512"/>
          </w:tcPr>
          <w:p>
            <w:pPr>
              <w:spacing w:after="0"/>
            </w:pPr>
            <w:r>
              <w:rPr>
                <w:sz w:val="19"/>
              </w:rPr>
              <w:t>Einfach erklärt</w:t>
            </w:r>
          </w:p>
        </w:tc>
        <w:tc>
          <w:tcPr>
            <w:tcW w:type="dxa" w:w="6899"/>
          </w:tcPr>
          <w:p>
            <w:pPr>
              <w:spacing w:after="0"/>
            </w:pPr>
            <w:r>
              <w:rPr>
                <w:sz w:val="19"/>
              </w:rPr>
              <w:t>Die Data Factory bekommt einen eigenen „Dienstausweis“ (verwaltete Identität) statt eines Passworts. Sie darf nur das, was sie braucht: in der Quelle lesen, im Lager schreiben.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1.6 – Linked Services und Datasets</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kennt die Data Factory Quelle und Ziel, und wie beschreibt sie die Dateien?</w:t>
            </w:r>
          </w:p>
        </w:tc>
      </w:tr>
      <w:tr>
        <w:trPr/>
        <w:tc>
          <w:tcPr>
            <w:tcW w:type="dxa" w:w="2512"/>
          </w:tcPr>
          <w:p>
            <w:pPr>
              <w:spacing w:after="0"/>
            </w:pPr>
            <w:r>
              <w:rPr>
                <w:sz w:val="19"/>
              </w:rPr>
              <w:t>Eigene Erwartung</w:t>
            </w:r>
          </w:p>
        </w:tc>
        <w:tc>
          <w:tcPr>
            <w:tcW w:type="dxa" w:w="6899"/>
          </w:tcPr>
          <w:p>
            <w:pPr>
              <w:spacing w:after="0"/>
            </w:pPr>
            <w:r>
              <w:rPr>
                <w:sz w:val="19"/>
              </w:rPr>
              <w:t>Ein Dataset je Datei</w:t>
            </w:r>
          </w:p>
        </w:tc>
      </w:tr>
      <w:tr>
        <w:trPr/>
        <w:tc>
          <w:tcPr>
            <w:tcW w:type="dxa" w:w="2512"/>
          </w:tcPr>
          <w:p>
            <w:pPr>
              <w:spacing w:after="0"/>
            </w:pPr>
            <w:r>
              <w:rPr>
                <w:sz w:val="19"/>
              </w:rPr>
              <w:t>Erwartung laut Recherche</w:t>
            </w:r>
          </w:p>
        </w:tc>
        <w:tc>
          <w:tcPr>
            <w:tcW w:type="dxa" w:w="6899"/>
          </w:tcPr>
          <w:p>
            <w:pPr>
              <w:spacing w:after="0"/>
            </w:pPr>
            <w:r>
              <w:rPr>
                <w:sz w:val="19"/>
              </w:rPr>
              <w:t>Linked Service (verknüpfter Dienst) = Verbindung; Dataset (Datensatz) = Zeiger auf Ordner/Datei mit Format; Parameter machen Datasets wiederverwendbar</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ls_blob_mabeehavenraw</w:t>
            </w:r>
            <w:r>
              <w:rPr>
                <w:sz w:val="19"/>
              </w:rPr>
              <w:t xml:space="preserve">, </w:t>
            </w:r>
            <w:r>
              <w:rPr>
                <w:rFonts w:ascii="Courier New" w:hAnsi="Courier New"/>
                <w:sz w:val="17"/>
              </w:rPr>
              <w:t>ls_adls_mabeehavenlakehouse</w:t>
            </w:r>
            <w:r>
              <w:rPr>
                <w:sz w:val="19"/>
              </w:rPr>
              <w:t xml:space="preserve"> (verwaltete Identität) 2) 6 Datasets, Format Binär bzw. CSV, teils mit Parameter </w:t>
            </w:r>
            <w:r>
              <w:rPr>
                <w:rFonts w:ascii="Courier New" w:hAnsi="Courier New"/>
                <w:sz w:val="17"/>
              </w:rPr>
              <w:t>file_name</w:t>
            </w:r>
          </w:p>
        </w:tc>
      </w:tr>
      <w:tr>
        <w:trPr/>
        <w:tc>
          <w:tcPr>
            <w:tcW w:type="dxa" w:w="2512"/>
          </w:tcPr>
          <w:p>
            <w:pPr>
              <w:spacing w:after="0"/>
            </w:pPr>
            <w:r>
              <w:rPr>
                <w:sz w:val="19"/>
              </w:rPr>
              <w:t>Zwischenergebnis</w:t>
            </w:r>
          </w:p>
        </w:tc>
        <w:tc>
          <w:tcPr>
            <w:tcW w:type="dxa" w:w="6899"/>
          </w:tcPr>
          <w:p>
            <w:pPr>
              <w:spacing w:after="0"/>
            </w:pPr>
            <w:r>
              <w:rPr>
                <w:sz w:val="19"/>
              </w:rPr>
              <w:t xml:space="preserve">Ausdruck </w:t>
            </w:r>
            <w:r>
              <w:rPr>
                <w:rFonts w:ascii="Courier New" w:hAnsi="Courier New"/>
                <w:sz w:val="17"/>
              </w:rPr>
              <w:t>@item()</w:t>
            </w:r>
            <w:r>
              <w:rPr>
                <w:sz w:val="19"/>
              </w:rPr>
              <w:t xml:space="preserve"> direkt im Dataset führt zum Fehler „FailToResolveParameters“; Parameter werden alphabetisch sortiert angezeigt und leicht vertauscht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parametrisierte Datasets (</w:t>
            </w:r>
            <w:r>
              <w:rPr>
                <w:rFonts w:ascii="Courier New" w:hAnsi="Courier New"/>
                <w:sz w:val="17"/>
              </w:rPr>
              <w:t>@dataset().file_name</w:t>
            </w:r>
            <w:r>
              <w:rPr>
                <w:sz w:val="19"/>
              </w:rPr>
              <w:t xml:space="preserve">, Wert kommt aus der Aktivität) · </w:t>
            </w:r>
            <w:r>
              <w:rPr>
                <w:b/>
                <w:sz w:val="19"/>
              </w:rPr>
              <w:t>B</w:t>
            </w:r>
            <w:r>
              <w:rPr>
                <w:sz w:val="19"/>
              </w:rPr>
              <w:t xml:space="preserve"> feste Datasets je Datei (einfach, aber jede neue Datei braucht ein neues Dataset)</w:t>
            </w:r>
          </w:p>
        </w:tc>
      </w:tr>
      <w:tr>
        <w:trPr/>
        <w:tc>
          <w:tcPr>
            <w:tcW w:type="dxa" w:w="2512"/>
          </w:tcPr>
          <w:p>
            <w:pPr>
              <w:spacing w:after="0"/>
            </w:pPr>
            <w:r>
              <w:rPr>
                <w:sz w:val="19"/>
              </w:rPr>
              <w:t>Entscheidung + Begründung</w:t>
            </w:r>
          </w:p>
        </w:tc>
        <w:tc>
          <w:tcPr>
            <w:tcW w:type="dxa" w:w="6899"/>
          </w:tcPr>
          <w:p>
            <w:pPr>
              <w:spacing w:after="0"/>
            </w:pPr>
            <w:r>
              <w:rPr>
                <w:sz w:val="19"/>
              </w:rPr>
              <w:t>A (24.09.2026): neue Sensoren oder Standorte ohne neue Datasets</w:t>
            </w:r>
          </w:p>
        </w:tc>
      </w:tr>
      <w:tr>
        <w:trPr/>
        <w:tc>
          <w:tcPr>
            <w:tcW w:type="dxa" w:w="2512"/>
          </w:tcPr>
          <w:p>
            <w:pPr>
              <w:spacing w:after="0"/>
            </w:pPr>
            <w:r>
              <w:rPr>
                <w:sz w:val="19"/>
              </w:rPr>
              <w:t>Endergebnis</w:t>
            </w:r>
          </w:p>
        </w:tc>
        <w:tc>
          <w:tcPr>
            <w:tcW w:type="dxa" w:w="6899"/>
          </w:tcPr>
          <w:p>
            <w:pPr>
              <w:spacing w:after="0"/>
            </w:pPr>
            <w:r>
              <w:rPr>
                <w:sz w:val="19"/>
              </w:rPr>
              <w:t>2 Linked Services, 6 Datasets (Liste Kap. 8.6)</w:t>
            </w:r>
          </w:p>
        </w:tc>
      </w:tr>
      <w:tr>
        <w:trPr/>
        <w:tc>
          <w:tcPr>
            <w:tcW w:type="dxa" w:w="2512"/>
          </w:tcPr>
          <w:p>
            <w:pPr>
              <w:spacing w:after="0"/>
            </w:pPr>
            <w:r>
              <w:rPr>
                <w:sz w:val="19"/>
              </w:rPr>
              <w:t>Hinweise / Gefahren</w:t>
            </w:r>
          </w:p>
        </w:tc>
        <w:tc>
          <w:tcPr>
            <w:tcW w:type="dxa" w:w="6899"/>
          </w:tcPr>
          <w:p>
            <w:pPr>
              <w:spacing w:after="0"/>
            </w:pPr>
            <w:r>
              <w:rPr>
                <w:sz w:val="19"/>
              </w:rPr>
              <w:t xml:space="preserve">Linked Service für den Data Lake als „ADLS Gen2“, nicht „Blob“ · im Dataset nur </w:t>
            </w:r>
            <w:r>
              <w:rPr>
                <w:rFonts w:ascii="Courier New" w:hAnsi="Courier New"/>
                <w:sz w:val="17"/>
              </w:rPr>
              <w:t>@dataset()</w:t>
            </w:r>
            <w:r>
              <w:rPr>
                <w:sz w:val="19"/>
              </w:rPr>
              <w:t xml:space="preserve">, </w:t>
            </w:r>
            <w:r>
              <w:rPr>
                <w:rFonts w:ascii="Courier New" w:hAnsi="Courier New"/>
                <w:sz w:val="17"/>
              </w:rPr>
              <w:t>@item()</w:t>
            </w:r>
            <w:r>
              <w:rPr>
                <w:sz w:val="19"/>
              </w:rPr>
              <w:t xml:space="preserve"> nur in der Aktivität · Parameter am Namen, nicht an der Position zuordnen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Schema: Verbindung einmal, Zeiger parametrisiert</w:t>
            </w:r>
          </w:p>
        </w:tc>
      </w:tr>
      <w:tr>
        <w:trPr/>
        <w:tc>
          <w:tcPr>
            <w:tcW w:type="dxa" w:w="2512"/>
          </w:tcPr>
          <w:p>
            <w:pPr>
              <w:spacing w:after="0"/>
            </w:pPr>
            <w:r>
              <w:rPr>
                <w:sz w:val="19"/>
              </w:rPr>
              <w:t>Verweise</w:t>
            </w:r>
          </w:p>
        </w:tc>
        <w:tc>
          <w:tcPr>
            <w:tcW w:type="dxa" w:w="6899"/>
          </w:tcPr>
          <w:p>
            <w:pPr>
              <w:spacing w:after="0"/>
            </w:pPr>
            <w:r>
              <w:rPr>
                <w:sz w:val="19"/>
              </w:rPr>
              <w:t>AN-ITS-001 Schritte 8–9 · Anhang A „Typische Fehler“</w:t>
            </w:r>
          </w:p>
        </w:tc>
      </w:tr>
      <w:tr>
        <w:trPr/>
        <w:tc>
          <w:tcPr>
            <w:tcW w:type="dxa" w:w="2512"/>
          </w:tcPr>
          <w:p>
            <w:pPr>
              <w:spacing w:after="0"/>
            </w:pPr>
            <w:r>
              <w:rPr>
                <w:sz w:val="19"/>
              </w:rPr>
              <w:t>Einfach erklärt</w:t>
            </w:r>
          </w:p>
        </w:tc>
        <w:tc>
          <w:tcPr>
            <w:tcW w:type="dxa" w:w="6899"/>
          </w:tcPr>
          <w:p>
            <w:pPr>
              <w:spacing w:after="0"/>
            </w:pPr>
            <w:r>
              <w:rPr>
                <w:sz w:val="19"/>
              </w:rPr>
              <w:t>Verknüpfte Dienste sind die Adressbuch-Einträge („wo ist das Lager?“), Datasets die Beschreibung der Pakete („welche Datei, welches Format?“). Ohne beide findet die Pipeline nichts.</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1.7 – Pipeline Rohdaten → Bronze, dynamisch</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kommen alle Rohdateien ohne Handarbeit nach Bronze?</w:t>
            </w:r>
          </w:p>
        </w:tc>
      </w:tr>
      <w:tr>
        <w:trPr/>
        <w:tc>
          <w:tcPr>
            <w:tcW w:type="dxa" w:w="2512"/>
          </w:tcPr>
          <w:p>
            <w:pPr>
              <w:spacing w:after="0"/>
            </w:pPr>
            <w:r>
              <w:rPr>
                <w:sz w:val="19"/>
              </w:rPr>
              <w:t>Eigene Erwartung</w:t>
            </w:r>
          </w:p>
        </w:tc>
        <w:tc>
          <w:tcPr>
            <w:tcW w:type="dxa" w:w="6899"/>
          </w:tcPr>
          <w:p>
            <w:pPr>
              <w:spacing w:after="0"/>
            </w:pPr>
            <w:r>
              <w:rPr>
                <w:sz w:val="19"/>
              </w:rPr>
              <w:t>Eine Kopieraktivität je Datei</w:t>
            </w:r>
          </w:p>
        </w:tc>
      </w:tr>
      <w:tr>
        <w:trPr/>
        <w:tc>
          <w:tcPr>
            <w:tcW w:type="dxa" w:w="2512"/>
          </w:tcPr>
          <w:p>
            <w:pPr>
              <w:spacing w:after="0"/>
            </w:pPr>
            <w:r>
              <w:rPr>
                <w:sz w:val="19"/>
              </w:rPr>
              <w:t>Erwartung laut Recherche</w:t>
            </w:r>
          </w:p>
        </w:tc>
        <w:tc>
          <w:tcPr>
            <w:tcW w:type="dxa" w:w="6899"/>
          </w:tcPr>
          <w:p>
            <w:pPr>
              <w:spacing w:after="0"/>
            </w:pPr>
            <w:r>
              <w:rPr>
                <w:sz w:val="19"/>
              </w:rPr>
              <w:t xml:space="preserve">Kursvorgabe: Get Metadata (Liste </w:t>
            </w:r>
            <w:r>
              <w:rPr>
                <w:rFonts w:ascii="Courier New" w:hAnsi="Courier New"/>
                <w:sz w:val="17"/>
              </w:rPr>
              <w:t>childItems</w:t>
            </w:r>
            <w:r>
              <w:rPr>
                <w:sz w:val="19"/>
              </w:rPr>
              <w:t>) + ForEach (Schleife) + Copy; Bronze kopiert binär 1:1</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pl_ingest_raw_to_bronze</w:t>
            </w:r>
            <w:r>
              <w:rPr>
                <w:sz w:val="19"/>
              </w:rPr>
              <w:t xml:space="preserve"> 2) Get Metadata auf </w:t>
            </w:r>
            <w:r>
              <w:rPr>
                <w:rFonts w:ascii="Courier New" w:hAnsi="Courier New"/>
                <w:sz w:val="17"/>
              </w:rPr>
              <w:t>source-data</w:t>
            </w:r>
            <w:r>
              <w:rPr>
                <w:sz w:val="19"/>
              </w:rPr>
              <w:t xml:space="preserve"> 3) ForEach über </w:t>
            </w:r>
            <w:r>
              <w:rPr>
                <w:rFonts w:ascii="Courier New" w:hAnsi="Courier New"/>
                <w:sz w:val="17"/>
              </w:rPr>
              <w:t>childItems</w:t>
            </w:r>
            <w:r>
              <w:rPr>
                <w:sz w:val="19"/>
              </w:rPr>
              <w:t xml:space="preserve"> 4) Copy binär mit </w:t>
            </w:r>
            <w:r>
              <w:rPr>
                <w:rFonts w:ascii="Courier New" w:hAnsi="Courier New"/>
                <w:sz w:val="17"/>
              </w:rPr>
              <w:t>@item().name</w:t>
            </w:r>
          </w:p>
        </w:tc>
      </w:tr>
      <w:tr>
        <w:trPr/>
        <w:tc>
          <w:tcPr>
            <w:tcW w:type="dxa" w:w="2512"/>
          </w:tcPr>
          <w:p>
            <w:pPr>
              <w:spacing w:after="0"/>
            </w:pPr>
            <w:r>
              <w:rPr>
                <w:sz w:val="19"/>
              </w:rPr>
              <w:t>Zwischenergebnis</w:t>
            </w:r>
          </w:p>
        </w:tc>
        <w:tc>
          <w:tcPr>
            <w:tcW w:type="dxa" w:w="6899"/>
          </w:tcPr>
          <w:p>
            <w:pPr>
              <w:spacing w:after="0"/>
            </w:pPr>
            <w:r>
              <w:rPr>
                <w:rFonts w:ascii="Courier New" w:hAnsi="Courier New"/>
                <w:sz w:val="17"/>
              </w:rPr>
              <w:t>@item().file_name</w:t>
            </w:r>
            <w:r>
              <w:rPr>
                <w:sz w:val="19"/>
              </w:rPr>
              <w:t xml:space="preserve"> statt </w:t>
            </w:r>
            <w:r>
              <w:rPr>
                <w:rFonts w:ascii="Courier New" w:hAnsi="Courier New"/>
                <w:sz w:val="17"/>
              </w:rPr>
              <w:t>@item().name</w:t>
            </w:r>
            <w:r>
              <w:rPr>
                <w:sz w:val="19"/>
              </w:rPr>
              <w:t xml:space="preserve"> und Senke = Quelle waren typische Fehler; „erfolgreich“ mit leerem Ordner → Senke/Pfad falsch</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dynamisch über Schleife · </w:t>
            </w:r>
            <w:r>
              <w:rPr>
                <w:b/>
                <w:sz w:val="19"/>
              </w:rPr>
              <w:t>B</w:t>
            </w:r>
            <w:r>
              <w:rPr>
                <w:sz w:val="19"/>
              </w:rPr>
              <w:t xml:space="preserve"> feste Kopie je Datei · </w:t>
            </w:r>
            <w:r>
              <w:rPr>
                <w:b/>
                <w:sz w:val="19"/>
              </w:rPr>
              <w:t>C</w:t>
            </w:r>
            <w:r>
              <w:rPr>
                <w:sz w:val="19"/>
              </w:rPr>
              <w:t xml:space="preserve"> Ordner-Kopie mit Platzhalter (schnell, aber weniger Kontrolle je Datei)</w:t>
            </w:r>
          </w:p>
        </w:tc>
      </w:tr>
      <w:tr>
        <w:trPr/>
        <w:tc>
          <w:tcPr>
            <w:tcW w:type="dxa" w:w="2512"/>
          </w:tcPr>
          <w:p>
            <w:pPr>
              <w:spacing w:after="0"/>
            </w:pPr>
            <w:r>
              <w:rPr>
                <w:sz w:val="19"/>
              </w:rPr>
              <w:t>Entscheidung + Begründung</w:t>
            </w:r>
          </w:p>
        </w:tc>
        <w:tc>
          <w:tcPr>
            <w:tcW w:type="dxa" w:w="6899"/>
          </w:tcPr>
          <w:p>
            <w:pPr>
              <w:spacing w:after="0"/>
            </w:pPr>
            <w:r>
              <w:rPr>
                <w:sz w:val="19"/>
              </w:rPr>
              <w:t>A (24.09.2026): neue Dateien werden automatisch mitverarbeitet</w:t>
            </w:r>
          </w:p>
        </w:tc>
      </w:tr>
      <w:tr>
        <w:trPr/>
        <w:tc>
          <w:tcPr>
            <w:tcW w:type="dxa" w:w="2512"/>
          </w:tcPr>
          <w:p>
            <w:pPr>
              <w:spacing w:after="0"/>
            </w:pPr>
            <w:r>
              <w:rPr>
                <w:sz w:val="19"/>
              </w:rPr>
              <w:t>Endergebnis</w:t>
            </w:r>
          </w:p>
        </w:tc>
        <w:tc>
          <w:tcPr>
            <w:tcW w:type="dxa" w:w="6899"/>
          </w:tcPr>
          <w:p>
            <w:pPr>
              <w:spacing w:after="0"/>
            </w:pPr>
            <w:r>
              <w:rPr>
                <w:sz w:val="19"/>
              </w:rPr>
              <w:t xml:space="preserve">4 CSV in </w:t>
            </w:r>
            <w:r>
              <w:rPr>
                <w:rFonts w:ascii="Courier New" w:hAnsi="Courier New"/>
                <w:sz w:val="17"/>
              </w:rPr>
              <w:t>bronze/new</w:t>
            </w:r>
            <w:r>
              <w:rPr>
                <w:sz w:val="19"/>
              </w:rPr>
              <w:t>, Testlauf erfolgreich</w:t>
            </w:r>
          </w:p>
        </w:tc>
      </w:tr>
      <w:tr>
        <w:trPr/>
        <w:tc>
          <w:tcPr>
            <w:tcW w:type="dxa" w:w="2512"/>
          </w:tcPr>
          <w:p>
            <w:pPr>
              <w:spacing w:after="0"/>
            </w:pPr>
            <w:r>
              <w:rPr>
                <w:sz w:val="19"/>
              </w:rPr>
              <w:t>Hinweise / Gefahren</w:t>
            </w:r>
          </w:p>
        </w:tc>
        <w:tc>
          <w:tcPr>
            <w:tcW w:type="dxa" w:w="6899"/>
          </w:tcPr>
          <w:p>
            <w:pPr>
              <w:spacing w:after="0"/>
            </w:pPr>
            <w:r>
              <w:rPr>
                <w:sz w:val="19"/>
              </w:rPr>
              <w:t>Nach Änderungen „Publish all“ und ↻ Refresh, sonst gilt der alte Stand · Debug-Lauf ≠ veröffentlichte Version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Neue Datenquellen = neue Datei im Eingang, keine Codeänderung</w:t>
            </w:r>
          </w:p>
        </w:tc>
      </w:tr>
      <w:tr>
        <w:trPr/>
        <w:tc>
          <w:tcPr>
            <w:tcW w:type="dxa" w:w="2512"/>
          </w:tcPr>
          <w:p>
            <w:pPr>
              <w:spacing w:after="0"/>
            </w:pPr>
            <w:r>
              <w:rPr>
                <w:sz w:val="19"/>
              </w:rPr>
              <w:t>Verweise</w:t>
            </w:r>
          </w:p>
        </w:tc>
        <w:tc>
          <w:tcPr>
            <w:tcW w:type="dxa" w:w="6899"/>
          </w:tcPr>
          <w:p>
            <w:pPr>
              <w:spacing w:after="0"/>
            </w:pPr>
            <w:r>
              <w:rPr>
                <w:sz w:val="19"/>
              </w:rPr>
              <w:t>AN-ITS-001 Schritte 10–11 · Idee I7</w:t>
            </w:r>
          </w:p>
        </w:tc>
      </w:tr>
      <w:tr>
        <w:trPr/>
        <w:tc>
          <w:tcPr>
            <w:tcW w:type="dxa" w:w="2512"/>
          </w:tcPr>
          <w:p>
            <w:pPr>
              <w:spacing w:after="0"/>
            </w:pPr>
            <w:r>
              <w:rPr>
                <w:sz w:val="19"/>
              </w:rPr>
              <w:t>Einfach erklärt</w:t>
            </w:r>
          </w:p>
        </w:tc>
        <w:tc>
          <w:tcPr>
            <w:tcW w:type="dxa" w:w="6899"/>
          </w:tcPr>
          <w:p>
            <w:pPr>
              <w:spacing w:after="0"/>
            </w:pPr>
            <w:r>
              <w:rPr>
                <w:sz w:val="19"/>
              </w:rPr>
              <w:t>Statt jede Datei einzeln zu holen, schaut die Pipeline nach, was da ist, und holt alles automatisch – auch Dateien, die morgen neu dazukommen.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1.8 – Bronze → Silver, Ordner je Sensor</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werden die Rohdaten für die Bereinigung bereitgestellt?</w:t>
            </w:r>
          </w:p>
        </w:tc>
      </w:tr>
      <w:tr>
        <w:trPr/>
        <w:tc>
          <w:tcPr>
            <w:tcW w:type="dxa" w:w="2512"/>
          </w:tcPr>
          <w:p>
            <w:pPr>
              <w:spacing w:after="0"/>
            </w:pPr>
            <w:r>
              <w:rPr>
                <w:sz w:val="19"/>
              </w:rPr>
              <w:t>Eigene Erwartung</w:t>
            </w:r>
          </w:p>
        </w:tc>
        <w:tc>
          <w:tcPr>
            <w:tcW w:type="dxa" w:w="6899"/>
          </w:tcPr>
          <w:p>
            <w:pPr>
              <w:spacing w:after="0"/>
            </w:pPr>
            <w:r>
              <w:rPr>
                <w:sz w:val="19"/>
              </w:rPr>
              <w:t>Dateien einfach kopieren</w:t>
            </w:r>
          </w:p>
        </w:tc>
      </w:tr>
      <w:tr>
        <w:trPr/>
        <w:tc>
          <w:tcPr>
            <w:tcW w:type="dxa" w:w="2512"/>
          </w:tcPr>
          <w:p>
            <w:pPr>
              <w:spacing w:after="0"/>
            </w:pPr>
            <w:r>
              <w:rPr>
                <w:sz w:val="19"/>
              </w:rPr>
              <w:t>Erwartung laut Recherche</w:t>
            </w:r>
          </w:p>
        </w:tc>
        <w:tc>
          <w:tcPr>
            <w:tcW w:type="dxa" w:w="6899"/>
          </w:tcPr>
          <w:p>
            <w:pPr>
              <w:spacing w:after="0"/>
            </w:pPr>
            <w:r>
              <w:rPr>
                <w:sz w:val="19"/>
              </w:rPr>
              <w:t>Silver liest den Inhalt als Tabelle (CSV-Format), nicht binär; Ordnernamen lassen sich aus dem Dateinamen bilden (</w:t>
            </w:r>
            <w:r>
              <w:rPr>
                <w:rFonts w:ascii="Courier New" w:hAnsi="Courier New"/>
                <w:sz w:val="17"/>
              </w:rPr>
              <w:t>@split</w:t>
            </w:r>
            <w:r>
              <w:rPr>
                <w:sz w:val="19"/>
              </w:rPr>
              <w:t>)</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pl_bronze_to_silver</w:t>
            </w:r>
            <w:r>
              <w:rPr>
                <w:sz w:val="19"/>
              </w:rPr>
              <w:t xml:space="preserve"> 2) Get Metadata auf </w:t>
            </w:r>
            <w:r>
              <w:rPr>
                <w:rFonts w:ascii="Courier New" w:hAnsi="Courier New"/>
                <w:sz w:val="17"/>
              </w:rPr>
              <w:t>bronze/new</w:t>
            </w:r>
            <w:r>
              <w:rPr>
                <w:sz w:val="19"/>
              </w:rPr>
              <w:t xml:space="preserve"> + ForEach 3) Copy CSV → CSV (erste Zeile als Überschrift) 4) Zielordner aus dem Dateinamen: Sensor = </w:t>
            </w:r>
            <w:r>
              <w:rPr>
                <w:rFonts w:ascii="Courier New" w:hAnsi="Courier New"/>
                <w:sz w:val="17"/>
              </w:rPr>
              <w:t>split(item().name,'_')[0]</w:t>
            </w:r>
            <w:r>
              <w:rPr>
                <w:sz w:val="19"/>
              </w:rPr>
              <w:t xml:space="preserve">, Stadt = Teil nach </w:t>
            </w:r>
            <w:r>
              <w:rPr>
                <w:rFonts w:ascii="Courier New" w:hAnsi="Courier New"/>
                <w:sz w:val="17"/>
              </w:rPr>
              <w:t>_</w:t>
            </w:r>
            <w:r>
              <w:rPr>
                <w:sz w:val="19"/>
              </w:rPr>
              <w:t xml:space="preserve"> ohne </w:t>
            </w:r>
            <w:r>
              <w:rPr>
                <w:rFonts w:ascii="Courier New" w:hAnsi="Courier New"/>
                <w:sz w:val="17"/>
              </w:rPr>
              <w:t>.csv</w:t>
            </w:r>
            <w:r>
              <w:rPr>
                <w:sz w:val="19"/>
              </w:rPr>
              <w:t xml:space="preserve"> (ab 25.09.: </w:t>
            </w:r>
            <w:r>
              <w:rPr>
                <w:rFonts w:ascii="Courier New" w:hAnsi="Courier New"/>
                <w:sz w:val="17"/>
              </w:rPr>
              <w:t>processing/&lt;stadt&gt;/&lt;sensor&gt;</w:t>
            </w:r>
            <w:r>
              <w:rPr>
                <w:sz w:val="19"/>
              </w:rPr>
              <w:t>)</w:t>
            </w:r>
          </w:p>
        </w:tc>
      </w:tr>
      <w:tr>
        <w:trPr/>
        <w:tc>
          <w:tcPr>
            <w:tcW w:type="dxa" w:w="2512"/>
          </w:tcPr>
          <w:p>
            <w:pPr>
              <w:spacing w:after="0"/>
            </w:pPr>
            <w:r>
              <w:rPr>
                <w:sz w:val="19"/>
              </w:rPr>
              <w:t>Zwischenergebnis</w:t>
            </w:r>
          </w:p>
        </w:tc>
        <w:tc>
          <w:tcPr>
            <w:tcW w:type="dxa" w:w="6899"/>
          </w:tcPr>
          <w:p>
            <w:pPr>
              <w:spacing w:after="0"/>
            </w:pPr>
            <w:r>
              <w:rPr>
                <w:sz w:val="19"/>
              </w:rPr>
              <w:t>Ordner muss man nicht vorher anlegen – die Pipeline erzeugt sie</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Ordner je Sensor aus dem Dateinamen · </w:t>
            </w:r>
            <w:r>
              <w:rPr>
                <w:b/>
                <w:sz w:val="19"/>
              </w:rPr>
              <w:t>B</w:t>
            </w:r>
            <w:r>
              <w:rPr>
                <w:sz w:val="19"/>
              </w:rPr>
              <w:t xml:space="preserve"> alles in einen Ordner (unübersichtlich, keine Standorte)</w:t>
            </w:r>
          </w:p>
        </w:tc>
      </w:tr>
      <w:tr>
        <w:trPr/>
        <w:tc>
          <w:tcPr>
            <w:tcW w:type="dxa" w:w="2512"/>
          </w:tcPr>
          <w:p>
            <w:pPr>
              <w:spacing w:after="0"/>
            </w:pPr>
            <w:r>
              <w:rPr>
                <w:sz w:val="19"/>
              </w:rPr>
              <w:t>Entscheidung + Begründung</w:t>
            </w:r>
          </w:p>
        </w:tc>
        <w:tc>
          <w:tcPr>
            <w:tcW w:type="dxa" w:w="6899"/>
          </w:tcPr>
          <w:p>
            <w:pPr>
              <w:spacing w:after="0"/>
            </w:pPr>
            <w:r>
              <w:rPr>
                <w:sz w:val="19"/>
              </w:rPr>
              <w:t xml:space="preserve">A (24.09.2026); am 25.09. erweitert auf </w:t>
            </w:r>
            <w:r>
              <w:rPr>
                <w:rFonts w:ascii="Courier New" w:hAnsi="Courier New"/>
                <w:sz w:val="17"/>
              </w:rPr>
              <w:t>&lt;stadt&gt;/&lt;sensor&gt;</w:t>
            </w:r>
            <w:r>
              <w:rPr>
                <w:sz w:val="19"/>
              </w:rPr>
              <w:t xml:space="preserve"> (Schritt 2.2)</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silver/…/&lt;sensor&gt;/</w:t>
            </w:r>
            <w:r>
              <w:rPr>
                <w:sz w:val="19"/>
              </w:rPr>
              <w:t xml:space="preserve"> je Sensor</w:t>
            </w:r>
          </w:p>
        </w:tc>
      </w:tr>
      <w:tr>
        <w:trPr/>
        <w:tc>
          <w:tcPr>
            <w:tcW w:type="dxa" w:w="2512"/>
          </w:tcPr>
          <w:p>
            <w:pPr>
              <w:spacing w:after="0"/>
            </w:pPr>
            <w:r>
              <w:rPr>
                <w:sz w:val="19"/>
              </w:rPr>
              <w:t>Hinweise / Gefahren</w:t>
            </w:r>
          </w:p>
        </w:tc>
        <w:tc>
          <w:tcPr>
            <w:tcW w:type="dxa" w:w="6899"/>
          </w:tcPr>
          <w:p>
            <w:pPr>
              <w:spacing w:after="0"/>
            </w:pPr>
            <w:r>
              <w:rPr>
                <w:sz w:val="19"/>
              </w:rPr>
              <w:t xml:space="preserve">Dateinamen müssen dem Muster </w:t>
            </w:r>
            <w:r>
              <w:rPr>
                <w:rFonts w:ascii="Courier New" w:hAnsi="Courier New"/>
                <w:sz w:val="17"/>
              </w:rPr>
              <w:t>&lt;sensor&gt;_&lt;stadt&gt;.csv</w:t>
            </w:r>
            <w:r>
              <w:rPr>
                <w:sz w:val="19"/>
              </w:rPr>
              <w:t xml:space="preserve"> folgen, sonst entstehen falsche Ordner</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Namensmuster der Lieferungen ist ein Vertrag – Abweichungen melden statt raten</w:t>
            </w:r>
          </w:p>
        </w:tc>
      </w:tr>
      <w:tr>
        <w:trPr/>
        <w:tc>
          <w:tcPr>
            <w:tcW w:type="dxa" w:w="2512"/>
          </w:tcPr>
          <w:p>
            <w:pPr>
              <w:spacing w:after="0"/>
            </w:pPr>
            <w:r>
              <w:rPr>
                <w:sz w:val="19"/>
              </w:rPr>
              <w:t>Verweise</w:t>
            </w:r>
          </w:p>
        </w:tc>
        <w:tc>
          <w:tcPr>
            <w:tcW w:type="dxa" w:w="6899"/>
          </w:tcPr>
          <w:p>
            <w:pPr>
              <w:spacing w:after="0"/>
            </w:pPr>
            <w:r>
              <w:rPr>
                <w:sz w:val="19"/>
              </w:rPr>
              <w:t>AN-ITS-001 Schritt 12</w:t>
            </w:r>
          </w:p>
        </w:tc>
      </w:tr>
      <w:tr>
        <w:trPr/>
        <w:tc>
          <w:tcPr>
            <w:tcW w:type="dxa" w:w="2512"/>
          </w:tcPr>
          <w:p>
            <w:pPr>
              <w:spacing w:after="0"/>
            </w:pPr>
            <w:r>
              <w:rPr>
                <w:sz w:val="19"/>
              </w:rPr>
              <w:t>Einfach erklärt</w:t>
            </w:r>
          </w:p>
        </w:tc>
        <w:tc>
          <w:tcPr>
            <w:tcW w:type="dxa" w:w="6899"/>
          </w:tcPr>
          <w:p>
            <w:pPr>
              <w:spacing w:after="0"/>
            </w:pPr>
            <w:r>
              <w:rPr>
                <w:sz w:val="19"/>
              </w:rPr>
              <w:t>Die Rohdaten werden nach Sensor sortiert bereitgelegt, damit die Bereinigung jeden Sensor einzeln bearbeiten kann.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1.9 – Archiv mit UTC-Zeitstempel</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bleibt jede Lieferung erhalten, ohne überschrieben zu werden?</w:t>
            </w:r>
          </w:p>
        </w:tc>
      </w:tr>
      <w:tr>
        <w:trPr/>
        <w:tc>
          <w:tcPr>
            <w:tcW w:type="dxa" w:w="2512"/>
          </w:tcPr>
          <w:p>
            <w:pPr>
              <w:spacing w:after="0"/>
            </w:pPr>
            <w:r>
              <w:rPr>
                <w:sz w:val="19"/>
              </w:rPr>
              <w:t>Eigene Erwartung</w:t>
            </w:r>
          </w:p>
        </w:tc>
        <w:tc>
          <w:tcPr>
            <w:tcW w:type="dxa" w:w="6899"/>
          </w:tcPr>
          <w:p>
            <w:pPr>
              <w:spacing w:after="0"/>
            </w:pPr>
            <w:r>
              <w:rPr>
                <w:sz w:val="19"/>
              </w:rPr>
              <w:t>Kopie in einen Archivordner</w:t>
            </w:r>
          </w:p>
        </w:tc>
      </w:tr>
      <w:tr>
        <w:trPr/>
        <w:tc>
          <w:tcPr>
            <w:tcW w:type="dxa" w:w="2512"/>
          </w:tcPr>
          <w:p>
            <w:pPr>
              <w:spacing w:after="0"/>
            </w:pPr>
            <w:r>
              <w:rPr>
                <w:sz w:val="19"/>
              </w:rPr>
              <w:t>Erwartung laut Recherche</w:t>
            </w:r>
          </w:p>
        </w:tc>
        <w:tc>
          <w:tcPr>
            <w:tcW w:type="dxa" w:w="6899"/>
          </w:tcPr>
          <w:p>
            <w:pPr>
              <w:spacing w:after="0"/>
            </w:pPr>
            <w:r>
              <w:rPr>
                <w:sz w:val="19"/>
              </w:rPr>
              <w:t xml:space="preserve">Kursvorgabe: Dateien mit Zeitstempel verschieben; Zeitformat mit </w:t>
            </w:r>
            <w:r>
              <w:rPr>
                <w:rFonts w:ascii="Courier New" w:hAnsi="Courier New"/>
                <w:sz w:val="17"/>
              </w:rPr>
              <w:t>HH</w:t>
            </w:r>
            <w:r>
              <w:rPr>
                <w:sz w:val="19"/>
              </w:rPr>
              <w:t xml:space="preserve"> (24 Stunden)</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pl_bronze_new_to_archive</w:t>
            </w:r>
            <w:r>
              <w:rPr>
                <w:sz w:val="19"/>
              </w:rPr>
              <w:t xml:space="preserve"> 2) Get Metadata auf </w:t>
            </w:r>
            <w:r>
              <w:rPr>
                <w:rFonts w:ascii="Courier New" w:hAnsi="Courier New"/>
                <w:sz w:val="17"/>
              </w:rPr>
              <w:t>bronze/new</w:t>
            </w:r>
            <w:r>
              <w:rPr>
                <w:sz w:val="19"/>
              </w:rPr>
              <w:t xml:space="preserve"> + ForEach 3) Copy binär Datei → Datei in </w:t>
            </w:r>
            <w:r>
              <w:rPr>
                <w:rFonts w:ascii="Courier New" w:hAnsi="Courier New"/>
                <w:sz w:val="17"/>
              </w:rPr>
              <w:t>bronze/archive/&lt;name&gt;_raw/</w:t>
            </w:r>
            <w:r>
              <w:rPr>
                <w:sz w:val="19"/>
              </w:rPr>
              <w:t xml:space="preserve"> mit Zieldateiname </w:t>
            </w:r>
            <w:r>
              <w:rPr>
                <w:rFonts w:ascii="Courier New" w:hAnsi="Courier New"/>
                <w:sz w:val="17"/>
              </w:rPr>
              <w:t>…_raw__JJJJ-MM-TT_HHmmss_UTC.csv</w:t>
            </w:r>
            <w:r>
              <w:rPr>
                <w:sz w:val="19"/>
              </w:rPr>
              <w:t xml:space="preserve"> 4) Option „Delete files after completion (Dateien nach Abschluss löschen)“ = verschieben</w:t>
            </w:r>
          </w:p>
        </w:tc>
      </w:tr>
      <w:tr>
        <w:trPr/>
        <w:tc>
          <w:tcPr>
            <w:tcW w:type="dxa" w:w="2512"/>
          </w:tcPr>
          <w:p>
            <w:pPr>
              <w:spacing w:after="0"/>
            </w:pPr>
            <w:r>
              <w:rPr>
                <w:sz w:val="19"/>
              </w:rPr>
              <w:t>Zwischenergebnis</w:t>
            </w:r>
          </w:p>
        </w:tc>
        <w:tc>
          <w:tcPr>
            <w:tcW w:type="dxa" w:w="6899"/>
          </w:tcPr>
          <w:p>
            <w:pPr>
              <w:spacing w:after="0"/>
            </w:pPr>
            <w:r>
              <w:rPr>
                <w:sz w:val="19"/>
              </w:rPr>
              <w:t xml:space="preserve">Nur kopieren → </w:t>
            </w:r>
            <w:r>
              <w:rPr>
                <w:rFonts w:ascii="Courier New" w:hAnsi="Courier New"/>
                <w:sz w:val="17"/>
              </w:rPr>
              <w:t>bronze/new</w:t>
            </w:r>
            <w:r>
              <w:rPr>
                <w:sz w:val="19"/>
              </w:rPr>
              <w:t xml:space="preserve"> wird nie leer; verschieben </w:t>
            </w:r>
            <w:r>
              <w:rPr>
                <w:b/>
                <w:sz w:val="19"/>
              </w:rPr>
              <w:t>vor</w:t>
            </w:r>
            <w:r>
              <w:rPr>
                <w:sz w:val="19"/>
              </w:rPr>
              <w:t xml:space="preserve"> Silver → Silver bleibt leer; </w:t>
            </w:r>
            <w:r>
              <w:rPr>
                <w:rFonts w:ascii="Courier New" w:hAnsi="Courier New"/>
                <w:sz w:val="17"/>
              </w:rPr>
              <w:t>hh</w:t>
            </w:r>
            <w:r>
              <w:rPr>
                <w:sz w:val="19"/>
              </w:rPr>
              <w:t xml:space="preserve"> ergibt 12-Stunden-Zeit</w:t>
            </w:r>
          </w:p>
        </w:tc>
      </w:tr>
      <w:tr>
        <w:trPr/>
        <w:tc>
          <w:tcPr>
            <w:tcW w:type="dxa" w:w="2512"/>
          </w:tcPr>
          <w:p>
            <w:pPr>
              <w:spacing w:after="0"/>
            </w:pPr>
            <w:r>
              <w:rPr>
                <w:sz w:val="19"/>
              </w:rPr>
              <w:t>Lösungswege</w:t>
            </w:r>
          </w:p>
        </w:tc>
        <w:tc>
          <w:tcPr>
            <w:tcW w:type="dxa" w:w="6899"/>
          </w:tcPr>
          <w:p>
            <w:pPr>
              <w:spacing w:after="0"/>
            </w:pPr>
            <w:r>
              <w:rPr>
                <w:sz w:val="19"/>
              </w:rPr>
              <w:t xml:space="preserve">Zeit: </w:t>
            </w:r>
            <w:r>
              <w:rPr>
                <w:b/>
                <w:sz w:val="19"/>
              </w:rPr>
              <w:t>A</w:t>
            </w:r>
            <w:r>
              <w:rPr>
                <w:sz w:val="19"/>
              </w:rPr>
              <w:t xml:space="preserve"> UTC · </w:t>
            </w:r>
            <w:r>
              <w:rPr>
                <w:b/>
                <w:sz w:val="19"/>
              </w:rPr>
              <w:t>B</w:t>
            </w:r>
            <w:r>
              <w:rPr>
                <w:sz w:val="19"/>
              </w:rPr>
              <w:t xml:space="preserve"> Ortszeit (bei der Zeitumstellung doppelte Uhrzeiten) — Reihenfolge: </w:t>
            </w:r>
            <w:r>
              <w:rPr>
                <w:b/>
                <w:sz w:val="19"/>
              </w:rPr>
              <w:t>A</w:t>
            </w:r>
            <w:r>
              <w:rPr>
                <w:sz w:val="19"/>
              </w:rPr>
              <w:t xml:space="preserve"> erst Silver, dann archivieren · </w:t>
            </w:r>
            <w:r>
              <w:rPr>
                <w:b/>
                <w:sz w:val="19"/>
              </w:rPr>
              <w:t>B</w:t>
            </w:r>
            <w:r>
              <w:rPr>
                <w:sz w:val="19"/>
              </w:rPr>
              <w:t xml:space="preserve"> erst archivieren</w:t>
            </w:r>
          </w:p>
        </w:tc>
      </w:tr>
      <w:tr>
        <w:trPr/>
        <w:tc>
          <w:tcPr>
            <w:tcW w:type="dxa" w:w="2512"/>
          </w:tcPr>
          <w:p>
            <w:pPr>
              <w:spacing w:after="0"/>
            </w:pPr>
            <w:r>
              <w:rPr>
                <w:sz w:val="19"/>
              </w:rPr>
              <w:t>Entscheidung + Begründung</w:t>
            </w:r>
          </w:p>
        </w:tc>
        <w:tc>
          <w:tcPr>
            <w:tcW w:type="dxa" w:w="6899"/>
          </w:tcPr>
          <w:p>
            <w:pPr>
              <w:spacing w:after="0"/>
            </w:pPr>
            <w:r>
              <w:rPr>
                <w:sz w:val="19"/>
              </w:rPr>
              <w:t xml:space="preserve">UTC mit Kennzeichen </w:t>
            </w:r>
            <w:r>
              <w:rPr>
                <w:rFonts w:ascii="Courier New" w:hAnsi="Courier New"/>
                <w:sz w:val="17"/>
              </w:rPr>
              <w:t>_UTC</w:t>
            </w:r>
            <w:r>
              <w:rPr>
                <w:sz w:val="19"/>
              </w:rPr>
              <w:t xml:space="preserve"> und Archiv nach Silver (24.09.2026): eindeutig sortierbar, keine Sommerzeit-Sprünge</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bronze/archive</w:t>
            </w:r>
            <w:r>
              <w:rPr>
                <w:sz w:val="19"/>
              </w:rPr>
              <w:t xml:space="preserve"> mit Zeitstempel; </w:t>
            </w:r>
            <w:r>
              <w:rPr>
                <w:rFonts w:ascii="Courier New" w:hAnsi="Courier New"/>
                <w:sz w:val="17"/>
              </w:rPr>
              <w:t>bronze/new</w:t>
            </w:r>
            <w:r>
              <w:rPr>
                <w:sz w:val="19"/>
              </w:rPr>
              <w:t xml:space="preserve"> nach dem Lauf leer</w:t>
            </w:r>
          </w:p>
        </w:tc>
      </w:tr>
      <w:tr>
        <w:trPr/>
        <w:tc>
          <w:tcPr>
            <w:tcW w:type="dxa" w:w="2512"/>
          </w:tcPr>
          <w:p>
            <w:pPr>
              <w:spacing w:after="0"/>
            </w:pPr>
            <w:r>
              <w:rPr>
                <w:sz w:val="19"/>
              </w:rPr>
              <w:t>Hinweise / Gefahren</w:t>
            </w:r>
          </w:p>
        </w:tc>
        <w:tc>
          <w:tcPr>
            <w:tcW w:type="dxa" w:w="6899"/>
          </w:tcPr>
          <w:p>
            <w:pPr>
              <w:spacing w:after="0"/>
            </w:pPr>
            <w:r>
              <w:rPr>
                <w:sz w:val="19"/>
              </w:rPr>
              <w:t>Reihenfolge ist entscheidend; in der Master-Pipeline (Schritt 4.1) kommt das Archiv zuletzt</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Jede Lieferung ist über den Zeitstempel wiederherstellbar (Grundlage für Trainingsdaten-Versionen)</w:t>
            </w:r>
          </w:p>
        </w:tc>
      </w:tr>
      <w:tr>
        <w:trPr/>
        <w:tc>
          <w:tcPr>
            <w:tcW w:type="dxa" w:w="2512"/>
          </w:tcPr>
          <w:p>
            <w:pPr>
              <w:spacing w:after="0"/>
            </w:pPr>
            <w:r>
              <w:rPr>
                <w:sz w:val="19"/>
              </w:rPr>
              <w:t>Verweise</w:t>
            </w:r>
          </w:p>
        </w:tc>
        <w:tc>
          <w:tcPr>
            <w:tcW w:type="dxa" w:w="6899"/>
          </w:tcPr>
          <w:p>
            <w:pPr>
              <w:spacing w:after="0"/>
            </w:pPr>
            <w:r>
              <w:rPr>
                <w:sz w:val="19"/>
              </w:rPr>
              <w:t>AN-ITS-001 Schritte 11, 13 · Idee I8 · Projektplan Kap. 6</w:t>
            </w:r>
          </w:p>
        </w:tc>
      </w:tr>
      <w:tr>
        <w:trPr/>
        <w:tc>
          <w:tcPr>
            <w:tcW w:type="dxa" w:w="2512"/>
          </w:tcPr>
          <w:p>
            <w:pPr>
              <w:spacing w:after="0"/>
            </w:pPr>
            <w:r>
              <w:rPr>
                <w:sz w:val="19"/>
              </w:rPr>
              <w:t>Einfach erklärt</w:t>
            </w:r>
          </w:p>
        </w:tc>
        <w:tc>
          <w:tcPr>
            <w:tcW w:type="dxa" w:w="6899"/>
          </w:tcPr>
          <w:p>
            <w:pPr>
              <w:spacing w:after="0"/>
            </w:pPr>
            <w:r>
              <w:rPr>
                <w:sz w:val="19"/>
              </w:rPr>
              <w:t>Jede Lieferung bekommt beim Archivieren einen Zeitstempel im Namen – wie ein Eingangsstempel auf Post. So wird nie etwas überschrieben, und man kann jederzeit nachsehen, was wann kam.</w:t>
            </w:r>
          </w:p>
        </w:tc>
      </w:tr>
    </w:tbl>
    <w:p>
      <w:pPr>
        <w:spacing w:after="0" w:line="20" w:lineRule="exact"/>
      </w:pPr>
    </w:p>
    <w:p>
      <w:pPr>
        <w:pStyle w:val="Heading2"/>
      </w:pPr>
      <w:r>
        <w:t>2.2 M2 – Datenverständnis und Bereinigung (25.09.2026)</w:t>
      </w:r>
    </w:p>
    <w:p>
      <w:pPr>
        <w:spacing w:after="0" w:line="20" w:lineRule="exact"/>
      </w:pPr>
    </w:p>
    <w:p>
      <w:r>
        <w:t xml:space="preserve">Ziel: Rohdaten verstehen, Bereinigungsregeln begründen, verlässliche Silver-Daten erzeugen. </w:t>
      </w:r>
      <w:r>
        <w:rPr>
          <w:b/>
        </w:rPr>
        <w:t>Grundsatz: markieren statt löschen.</w:t>
      </w:r>
      <w:r>
        <w:t xml:space="preserve"> Umsetzung: AN-ITS-002 Schritte 1–6, Notebooks N1 und N2.</w:t>
      </w: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2.1 – Datenprofil der Rohdaten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Was steht in den Dateien, und welche Probleme haben sie?</w:t>
            </w:r>
          </w:p>
        </w:tc>
      </w:tr>
      <w:tr>
        <w:trPr/>
        <w:tc>
          <w:tcPr>
            <w:tcW w:type="dxa" w:w="2512"/>
          </w:tcPr>
          <w:p>
            <w:pPr>
              <w:spacing w:after="0"/>
            </w:pPr>
            <w:r>
              <w:rPr>
                <w:sz w:val="19"/>
              </w:rPr>
              <w:t>Eigene Erwartung</w:t>
            </w:r>
          </w:p>
        </w:tc>
        <w:tc>
          <w:tcPr>
            <w:tcW w:type="dxa" w:w="6899"/>
          </w:tcPr>
          <w:p>
            <w:pPr>
              <w:spacing w:after="0"/>
            </w:pPr>
            <w:r>
              <w:rPr>
                <w:sz w:val="19"/>
              </w:rPr>
              <w:t>Saubere Messreihen mit einzelnen fehlenden Werten</w:t>
            </w:r>
          </w:p>
        </w:tc>
      </w:tr>
      <w:tr>
        <w:trPr/>
        <w:tc>
          <w:tcPr>
            <w:tcW w:type="dxa" w:w="2512"/>
          </w:tcPr>
          <w:p>
            <w:pPr>
              <w:spacing w:after="0"/>
            </w:pPr>
            <w:r>
              <w:rPr>
                <w:sz w:val="19"/>
              </w:rPr>
              <w:t>Erwartung laut Recherche</w:t>
            </w:r>
          </w:p>
        </w:tc>
        <w:tc>
          <w:tcPr>
            <w:tcW w:type="dxa" w:w="6899"/>
          </w:tcPr>
          <w:p>
            <w:pPr>
              <w:spacing w:after="0"/>
            </w:pPr>
            <w:r>
              <w:rPr>
                <w:sz w:val="19"/>
              </w:rPr>
              <w:t>Vorgehen nach CRISP-DM (Standardprozess für Datenanalyse): erst Datenverständnis, dann Aufbereitung. Datenquelle Kaggle „Beehive Metrics“ (HOBOS – HOneyBee Online Studies, Würzburg und Schwartau)</w:t>
            </w:r>
          </w:p>
        </w:tc>
      </w:tr>
      <w:tr>
        <w:trPr/>
        <w:tc>
          <w:tcPr>
            <w:tcW w:type="dxa" w:w="2512"/>
          </w:tcPr>
          <w:p>
            <w:pPr>
              <w:spacing w:after="0"/>
            </w:pPr>
            <w:r>
              <w:rPr>
                <w:sz w:val="19"/>
              </w:rPr>
              <w:t>Zwischenschritte</w:t>
            </w:r>
          </w:p>
        </w:tc>
        <w:tc>
          <w:tcPr>
            <w:tcW w:type="dxa" w:w="6899"/>
          </w:tcPr>
          <w:p>
            <w:pPr>
              <w:spacing w:after="0"/>
            </w:pPr>
            <w:r>
              <w:rPr>
                <w:sz w:val="19"/>
              </w:rPr>
              <w:t>1) Zeilen, Spalten, Datentypen 2) Wertebereiche 3) fehlende Werte 4) Zeitabstände</w:t>
            </w:r>
          </w:p>
        </w:tc>
      </w:tr>
      <w:tr>
        <w:trPr/>
        <w:tc>
          <w:tcPr>
            <w:tcW w:type="dxa" w:w="2512"/>
          </w:tcPr>
          <w:p>
            <w:pPr>
              <w:spacing w:after="0"/>
            </w:pPr>
            <w:r>
              <w:rPr>
                <w:sz w:val="19"/>
              </w:rPr>
              <w:t>Zwischenergebnis</w:t>
            </w:r>
          </w:p>
        </w:tc>
        <w:tc>
          <w:tcPr>
            <w:tcW w:type="dxa" w:w="6899"/>
          </w:tcPr>
          <w:p>
            <w:pPr>
              <w:spacing w:after="0"/>
            </w:pPr>
            <w:r>
              <w:rPr>
                <w:rFonts w:ascii="Courier New" w:hAnsi="Courier New"/>
                <w:sz w:val="17"/>
              </w:rPr>
              <w:t>timestamp</w:t>
            </w:r>
            <w:r>
              <w:rPr>
                <w:sz w:val="19"/>
              </w:rPr>
              <w:t xml:space="preserve"> ist Text · weight min. −172 g, humidity bis −100 % · flow hat doppelt so viele Zeilen wie erwartet (zwei Messreihen untereinander) · fehlende Werte weight 12, humidity 12, temperature 2.032</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Profil per Skript (wiederholbar) · </w:t>
            </w:r>
            <w:r>
              <w:rPr>
                <w:b/>
                <w:sz w:val="19"/>
              </w:rPr>
              <w:t>B</w:t>
            </w:r>
            <w:r>
              <w:rPr>
                <w:sz w:val="19"/>
              </w:rPr>
              <w:t xml:space="preserve"> Sichtprüfung in Excel (bei 2,5 Mio. Zeilen nicht möglich)</w:t>
            </w:r>
          </w:p>
        </w:tc>
      </w:tr>
      <w:tr>
        <w:trPr/>
        <w:tc>
          <w:tcPr>
            <w:tcW w:type="dxa" w:w="2512"/>
          </w:tcPr>
          <w:p>
            <w:pPr>
              <w:spacing w:after="0"/>
            </w:pPr>
            <w:r>
              <w:rPr>
                <w:sz w:val="19"/>
              </w:rPr>
              <w:t>Entscheidung + Begründung</w:t>
            </w:r>
          </w:p>
        </w:tc>
        <w:tc>
          <w:tcPr>
            <w:tcW w:type="dxa" w:w="6899"/>
          </w:tcPr>
          <w:p>
            <w:pPr>
              <w:spacing w:after="0"/>
            </w:pPr>
            <w:r>
              <w:rPr>
                <w:sz w:val="19"/>
              </w:rPr>
              <w:t>A (25.09.2026)</w:t>
            </w:r>
          </w:p>
        </w:tc>
      </w:tr>
      <w:tr>
        <w:trPr/>
        <w:tc>
          <w:tcPr>
            <w:tcW w:type="dxa" w:w="2512"/>
          </w:tcPr>
          <w:p>
            <w:pPr>
              <w:spacing w:after="0"/>
            </w:pPr>
            <w:r>
              <w:rPr>
                <w:sz w:val="19"/>
              </w:rPr>
              <w:t>Endergebnis</w:t>
            </w:r>
          </w:p>
        </w:tc>
        <w:tc>
          <w:tcPr>
            <w:tcW w:type="dxa" w:w="6899"/>
          </w:tcPr>
          <w:p>
            <w:pPr>
              <w:spacing w:after="0"/>
            </w:pPr>
            <w:r>
              <w:rPr>
                <w:sz w:val="19"/>
              </w:rPr>
              <w:t>Regeln R1–R8 (Kap. 8.2); Datenbasis Kap. 8.1</w:t>
            </w:r>
          </w:p>
        </w:tc>
      </w:tr>
      <w:tr>
        <w:trPr/>
        <w:tc>
          <w:tcPr>
            <w:tcW w:type="dxa" w:w="2512"/>
          </w:tcPr>
          <w:p>
            <w:pPr>
              <w:spacing w:after="0"/>
            </w:pPr>
            <w:r>
              <w:rPr>
                <w:sz w:val="19"/>
              </w:rPr>
              <w:t>Hinweise / Gefahren</w:t>
            </w:r>
          </w:p>
        </w:tc>
        <w:tc>
          <w:tcPr>
            <w:tcW w:type="dxa" w:w="6899"/>
          </w:tcPr>
          <w:p>
            <w:pPr>
              <w:spacing w:after="0"/>
            </w:pPr>
            <w:r>
              <w:rPr>
                <w:b/>
                <w:sz w:val="19"/>
              </w:rPr>
              <w:t>Lizenz laut Kaggle „Unbekannt“</w:t>
            </w:r>
            <w:r>
              <w:rPr>
                <w:sz w:val="19"/>
              </w:rPr>
              <w:t xml:space="preserve"> → Rohdaten nicht veröffentlichen (CSV sind aus Git ausgeschlossen) · </w:t>
            </w:r>
            <w:r>
              <w:rPr>
                <w:b/>
                <w:sz w:val="19"/>
              </w:rPr>
              <w:t>Befund E10:</w:t>
            </w:r>
            <w:r>
              <w:rPr>
                <w:sz w:val="19"/>
              </w:rPr>
              <w:t xml:space="preserve"> Beschreibung nennt Gewicht in kg, die Schwartau-Dateien enthalten Gramm (ca. 48.600 = 48,6 kg) – Einheit immer an den Werten prüfen · Vergleich mit dem Kaggle-Original (30.09.2026): Kursdaten sind inhaltlich gleich, nur auf 2 Nachkommastellen gerundet (max. Abweichung 0,005)</w:t>
            </w:r>
          </w:p>
        </w:tc>
      </w:tr>
      <w:tr>
        <w:trPr/>
        <w:tc>
          <w:tcPr>
            <w:tcW w:type="dxa" w:w="2512"/>
          </w:tcPr>
          <w:p>
            <w:pPr>
              <w:spacing w:after="0"/>
            </w:pPr>
            <w:r>
              <w:rPr>
                <w:sz w:val="19"/>
              </w:rPr>
              <w:t>Klärung (Stand Abschluss)</w:t>
            </w:r>
          </w:p>
        </w:tc>
        <w:tc>
          <w:tcPr>
            <w:tcW w:type="dxa" w:w="6899"/>
          </w:tcPr>
          <w:p>
            <w:pPr>
              <w:spacing w:after="0"/>
            </w:pPr>
            <w:r>
              <w:rPr>
                <w:sz w:val="19"/>
              </w:rPr>
              <w:t xml:space="preserve">F2 Nutzungsrechte bei HOBOS (https://www.hobos.de) anfragen → </w:t>
            </w:r>
            <w:r>
              <w:rPr>
                <w:b/>
                <w:sz w:val="19"/>
              </w:rPr>
              <w:t>Stand 05.10.2026:</w:t>
            </w:r>
            <w:r>
              <w:rPr>
                <w:sz w:val="19"/>
              </w:rPr>
              <w:t xml:space="preserve"> entfällt – Rohdaten werden nicht veröffentlicht (Entscheidung Geschäftsführung 05.10.2026)</w:t>
            </w:r>
          </w:p>
        </w:tc>
      </w:tr>
      <w:tr>
        <w:trPr/>
        <w:tc>
          <w:tcPr>
            <w:tcW w:type="dxa" w:w="2512"/>
          </w:tcPr>
          <w:p>
            <w:pPr>
              <w:spacing w:after="0"/>
            </w:pPr>
            <w:r>
              <w:rPr>
                <w:sz w:val="19"/>
              </w:rPr>
              <w:t>Für Agenten / ML</w:t>
            </w:r>
          </w:p>
        </w:tc>
        <w:tc>
          <w:tcPr>
            <w:tcW w:type="dxa" w:w="6899"/>
          </w:tcPr>
          <w:p>
            <w:pPr>
              <w:spacing w:after="0"/>
            </w:pPr>
            <w:r>
              <w:rPr>
                <w:sz w:val="19"/>
              </w:rPr>
              <w:t>Ein Datenprofil ist der erste Schritt jeder neuen Datenquelle</w:t>
            </w:r>
          </w:p>
        </w:tc>
      </w:tr>
      <w:tr>
        <w:trPr/>
        <w:tc>
          <w:tcPr>
            <w:tcW w:type="dxa" w:w="2512"/>
          </w:tcPr>
          <w:p>
            <w:pPr>
              <w:spacing w:after="0"/>
            </w:pPr>
            <w:r>
              <w:rPr>
                <w:sz w:val="19"/>
              </w:rPr>
              <w:t>Verweise</w:t>
            </w:r>
          </w:p>
        </w:tc>
        <w:tc>
          <w:tcPr>
            <w:tcW w:type="dxa" w:w="6899"/>
          </w:tcPr>
          <w:p>
            <w:pPr>
              <w:spacing w:after="0"/>
            </w:pPr>
            <w:r>
              <w:rPr>
                <w:sz w:val="19"/>
              </w:rPr>
              <w:t xml:space="preserve">Bericht BE-ITS-003 Datenprofil (Privat) · Ideen I9, I49 · Kaggle-Beschreibung (Screenshots </w:t>
            </w:r>
            <w:r>
              <w:rPr>
                <w:rFonts w:ascii="Courier New" w:hAnsi="Courier New"/>
                <w:sz w:val="17"/>
              </w:rPr>
              <w:t>Privat/_lokal/kaggle_2026-09-30/</w:t>
            </w:r>
            <w:r>
              <w:rPr>
                <w:sz w:val="19"/>
              </w:rPr>
              <w:t>)</w:t>
            </w:r>
          </w:p>
        </w:tc>
      </w:tr>
      <w:tr>
        <w:trPr/>
        <w:tc>
          <w:tcPr>
            <w:tcW w:type="dxa" w:w="2512"/>
          </w:tcPr>
          <w:p>
            <w:pPr>
              <w:spacing w:after="0"/>
            </w:pPr>
            <w:r>
              <w:rPr>
                <w:sz w:val="19"/>
              </w:rPr>
              <w:t>Einfach erklärt</w:t>
            </w:r>
          </w:p>
        </w:tc>
        <w:tc>
          <w:tcPr>
            <w:tcW w:type="dxa" w:w="6899"/>
          </w:tcPr>
          <w:p>
            <w:pPr>
              <w:spacing w:after="0"/>
            </w:pPr>
            <w:r>
              <w:rPr>
                <w:sz w:val="19"/>
              </w:rPr>
              <w:t>Bevor man Daten verwendet, schaut man sie genau an: Was steht drin, was fehlt, was ist offensichtlich falsch? Daraus entstehen die Regeln, nach denen später bereinigt wird.</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2.2 – Silver aufteilen: processing und cleaned</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Wo liegt die unbereinigte Arbeitskopie, wo das Ergebnis – und wie greift man auf einen guten Stand zurück?</w:t>
            </w:r>
          </w:p>
        </w:tc>
      </w:tr>
      <w:tr>
        <w:trPr/>
        <w:tc>
          <w:tcPr>
            <w:tcW w:type="dxa" w:w="2512"/>
          </w:tcPr>
          <w:p>
            <w:pPr>
              <w:spacing w:after="0"/>
            </w:pPr>
            <w:r>
              <w:rPr>
                <w:sz w:val="19"/>
              </w:rPr>
              <w:t>Eigene Erwartung</w:t>
            </w:r>
          </w:p>
        </w:tc>
        <w:tc>
          <w:tcPr>
            <w:tcW w:type="dxa" w:w="6899"/>
          </w:tcPr>
          <w:p>
            <w:pPr>
              <w:spacing w:after="0"/>
            </w:pPr>
            <w:r>
              <w:rPr>
                <w:sz w:val="19"/>
              </w:rPr>
              <w:t>Bereinigte Datei überschreibt die alte</w:t>
            </w:r>
          </w:p>
        </w:tc>
      </w:tr>
      <w:tr>
        <w:trPr/>
        <w:tc>
          <w:tcPr>
            <w:tcW w:type="dxa" w:w="2512"/>
          </w:tcPr>
          <w:p>
            <w:pPr>
              <w:spacing w:after="0"/>
            </w:pPr>
            <w:r>
              <w:rPr>
                <w:sz w:val="19"/>
              </w:rPr>
              <w:t>Erwartung laut Recherche</w:t>
            </w:r>
          </w:p>
        </w:tc>
        <w:tc>
          <w:tcPr>
            <w:tcW w:type="dxa" w:w="6899"/>
          </w:tcPr>
          <w:p>
            <w:pPr>
              <w:spacing w:after="0"/>
            </w:pPr>
            <w:r>
              <w:rPr>
                <w:sz w:val="19"/>
              </w:rPr>
              <w:t xml:space="preserve">Kursvorgabe: </w:t>
            </w:r>
            <w:r>
              <w:rPr>
                <w:rFonts w:ascii="Courier New" w:hAnsi="Courier New"/>
                <w:sz w:val="17"/>
              </w:rPr>
              <w:t>silver/processing</w:t>
            </w:r>
            <w:r>
              <w:rPr>
                <w:sz w:val="19"/>
              </w:rPr>
              <w:t xml:space="preserve"> (Arbeitskopie) und </w:t>
            </w:r>
            <w:r>
              <w:rPr>
                <w:rFonts w:ascii="Courier New" w:hAnsi="Courier New"/>
                <w:sz w:val="17"/>
              </w:rPr>
              <w:t>silver/cleaned</w:t>
            </w:r>
            <w:r>
              <w:rPr>
                <w:sz w:val="19"/>
              </w:rPr>
              <w:t xml:space="preserve"> (bereinigt)</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processing/&lt;stadt&gt;/&lt;sensor&gt;/</w:t>
            </w:r>
            <w:r>
              <w:rPr>
                <w:sz w:val="19"/>
              </w:rPr>
              <w:t xml:space="preserve"> ohne Zeitstempel 2) </w:t>
            </w:r>
            <w:r>
              <w:rPr>
                <w:rFonts w:ascii="Courier New" w:hAnsi="Courier New"/>
                <w:sz w:val="17"/>
              </w:rPr>
              <w:t>cleaned/&lt;stadt&gt;/&lt;sensor&gt;/</w:t>
            </w:r>
            <w:r>
              <w:rPr>
                <w:sz w:val="19"/>
              </w:rPr>
              <w:t xml:space="preserve"> mit UTC-Zeitstempel 3) Notebooks lesen </w:t>
            </w:r>
            <w:r>
              <w:rPr>
                <w:rFonts w:ascii="Courier New" w:hAnsi="Courier New"/>
                <w:sz w:val="17"/>
              </w:rPr>
              <w:t>processing</w:t>
            </w:r>
            <w:r>
              <w:rPr>
                <w:sz w:val="19"/>
              </w:rPr>
              <w:t xml:space="preserve"> nur</w:t>
            </w:r>
          </w:p>
        </w:tc>
      </w:tr>
      <w:tr>
        <w:trPr/>
        <w:tc>
          <w:tcPr>
            <w:tcW w:type="dxa" w:w="2512"/>
          </w:tcPr>
          <w:p>
            <w:pPr>
              <w:spacing w:after="0"/>
            </w:pPr>
            <w:r>
              <w:rPr>
                <w:sz w:val="19"/>
              </w:rPr>
              <w:t>Zwischenergebnis</w:t>
            </w:r>
          </w:p>
        </w:tc>
        <w:tc>
          <w:tcPr>
            <w:tcW w:type="dxa" w:w="6899"/>
          </w:tcPr>
          <w:p>
            <w:pPr>
              <w:spacing w:after="0"/>
            </w:pPr>
            <w:r>
              <w:rPr>
                <w:sz w:val="19"/>
              </w:rPr>
              <w:t xml:space="preserve">Frage aus dem Unterricht: „Wäre es bei einer falschen Bereinigung nicht besser, den letzten Stand zu nehmen?“ → Versionen in </w:t>
            </w:r>
            <w:r>
              <w:rPr>
                <w:rFonts w:ascii="Courier New" w:hAnsi="Courier New"/>
                <w:sz w:val="17"/>
              </w:rPr>
              <w:t>cleaned</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Vorgabe: unbereinigte Kopie in </w:t>
            </w:r>
            <w:r>
              <w:rPr>
                <w:rFonts w:ascii="Courier New" w:hAnsi="Courier New"/>
                <w:sz w:val="17"/>
              </w:rPr>
              <w:t>silver/processing</w:t>
            </w:r>
            <w:r>
              <w:rPr>
                <w:sz w:val="19"/>
              </w:rPr>
              <w:t xml:space="preserve"> · </w:t>
            </w:r>
            <w:r>
              <w:rPr>
                <w:b/>
                <w:sz w:val="19"/>
              </w:rPr>
              <w:t>B</w:t>
            </w:r>
            <w:r>
              <w:rPr>
                <w:sz w:val="19"/>
              </w:rPr>
              <w:t xml:space="preserve"> nach Medaillon-Definition: unbereinigte Daten bleiben in Bronze, Notebooks lesen direkt aus Bronze</w:t>
            </w:r>
          </w:p>
        </w:tc>
      </w:tr>
      <w:tr>
        <w:trPr/>
        <w:tc>
          <w:tcPr>
            <w:tcW w:type="dxa" w:w="2512"/>
          </w:tcPr>
          <w:p>
            <w:pPr>
              <w:spacing w:after="0"/>
            </w:pPr>
            <w:r>
              <w:rPr>
                <w:sz w:val="19"/>
              </w:rPr>
              <w:t>Entscheidung + Begründung</w:t>
            </w:r>
          </w:p>
        </w:tc>
        <w:tc>
          <w:tcPr>
            <w:tcW w:type="dxa" w:w="6899"/>
          </w:tcPr>
          <w:p>
            <w:pPr>
              <w:spacing w:after="0"/>
            </w:pPr>
            <w:r>
              <w:rPr>
                <w:sz w:val="19"/>
              </w:rPr>
              <w:t xml:space="preserve">A (25.09.2026): vorgabekonform; Abweichung zur Definition dokumentiert (Rückfrage an die Kursleitung erledigt 01.10.: Kurs nutzt </w:t>
            </w:r>
            <w:r>
              <w:rPr>
                <w:rFonts w:ascii="Courier New" w:hAnsi="Courier New"/>
                <w:sz w:val="17"/>
              </w:rPr>
              <w:t>silver/processing</w:t>
            </w:r>
            <w:r>
              <w:rPr>
                <w:sz w:val="19"/>
              </w:rPr>
              <w:t>; für den Betrieb Empfehlung Bronze, FP-1)en</w:t>
            </w:r>
          </w:p>
        </w:tc>
      </w:tr>
      <w:tr>
        <w:trPr/>
        <w:tc>
          <w:tcPr>
            <w:tcW w:type="dxa" w:w="2512"/>
          </w:tcPr>
          <w:p>
            <w:pPr>
              <w:spacing w:after="0"/>
            </w:pPr>
            <w:r>
              <w:rPr>
                <w:sz w:val="19"/>
              </w:rPr>
              <w:t>Endergebnis</w:t>
            </w:r>
          </w:p>
        </w:tc>
        <w:tc>
          <w:tcPr>
            <w:tcW w:type="dxa" w:w="6899"/>
          </w:tcPr>
          <w:p>
            <w:pPr>
              <w:spacing w:after="0"/>
            </w:pPr>
            <w:r>
              <w:rPr>
                <w:sz w:val="19"/>
              </w:rPr>
              <w:t>Ordner je Stadt und Sensor; Rückgriff auf jede frühere bereinigte Version</w:t>
            </w:r>
          </w:p>
        </w:tc>
      </w:tr>
      <w:tr>
        <w:trPr/>
        <w:tc>
          <w:tcPr>
            <w:tcW w:type="dxa" w:w="2512"/>
          </w:tcPr>
          <w:p>
            <w:pPr>
              <w:spacing w:after="0"/>
            </w:pPr>
            <w:r>
              <w:rPr>
                <w:sz w:val="19"/>
              </w:rPr>
              <w:t>Hinweise / Gefahren</w:t>
            </w:r>
          </w:p>
        </w:tc>
        <w:tc>
          <w:tcPr>
            <w:tcW w:type="dxa" w:w="6899"/>
          </w:tcPr>
          <w:p>
            <w:pPr>
              <w:spacing w:after="0"/>
            </w:pPr>
            <w:r>
              <w:rPr>
                <w:rFonts w:ascii="Courier New" w:hAnsi="Courier New"/>
                <w:sz w:val="17"/>
              </w:rPr>
              <w:t>processing</w:t>
            </w:r>
            <w:r>
              <w:rPr>
                <w:sz w:val="19"/>
              </w:rPr>
              <w:t xml:space="preserve"> wird je Lauf überschrieben – nie als Ablage nutzen</w:t>
            </w:r>
          </w:p>
        </w:tc>
      </w:tr>
      <w:tr>
        <w:trPr/>
        <w:tc>
          <w:tcPr>
            <w:tcW w:type="dxa" w:w="2512"/>
          </w:tcPr>
          <w:p>
            <w:pPr>
              <w:spacing w:after="0"/>
            </w:pPr>
            <w:r>
              <w:rPr>
                <w:sz w:val="19"/>
              </w:rPr>
              <w:t>Klärung (Stand Abschluss)</w:t>
            </w:r>
          </w:p>
        </w:tc>
        <w:tc>
          <w:tcPr>
            <w:tcW w:type="dxa" w:w="6899"/>
          </w:tcPr>
          <w:p>
            <w:pPr>
              <w:spacing w:after="0"/>
            </w:pPr>
            <w:r>
              <w:rPr>
                <w:sz w:val="19"/>
              </w:rPr>
              <w:t xml:space="preserve">F4 processing in Silver oder Bronze? → </w:t>
            </w:r>
            <w:r>
              <w:rPr>
                <w:b/>
                <w:sz w:val="19"/>
              </w:rPr>
              <w:t>Stand 05.10.2026:</w:t>
            </w:r>
            <w:r>
              <w:rPr>
                <w:sz w:val="19"/>
              </w:rPr>
              <w:t xml:space="preserve"> erledigt 01.10. (Kurs-Vorgabe umgesetzt; Bronze-Variante → FP-1)</w:t>
            </w:r>
          </w:p>
        </w:tc>
      </w:tr>
      <w:tr>
        <w:trPr/>
        <w:tc>
          <w:tcPr>
            <w:tcW w:type="dxa" w:w="2512"/>
          </w:tcPr>
          <w:p>
            <w:pPr>
              <w:spacing w:after="0"/>
            </w:pPr>
            <w:r>
              <w:rPr>
                <w:sz w:val="19"/>
              </w:rPr>
              <w:t>Für Agenten / ML</w:t>
            </w:r>
          </w:p>
        </w:tc>
        <w:tc>
          <w:tcPr>
            <w:tcW w:type="dxa" w:w="6899"/>
          </w:tcPr>
          <w:p>
            <w:pPr>
              <w:spacing w:after="0"/>
            </w:pPr>
            <w:r>
              <w:rPr>
                <w:sz w:val="19"/>
              </w:rPr>
              <w:t>Modelle werden immer mit einer benannten cleaned-Version trainiert (Nachvollziehbarkeit)</w:t>
            </w:r>
          </w:p>
        </w:tc>
      </w:tr>
      <w:tr>
        <w:trPr/>
        <w:tc>
          <w:tcPr>
            <w:tcW w:type="dxa" w:w="2512"/>
          </w:tcPr>
          <w:p>
            <w:pPr>
              <w:spacing w:after="0"/>
            </w:pPr>
            <w:r>
              <w:rPr>
                <w:sz w:val="19"/>
              </w:rPr>
              <w:t>Verweise</w:t>
            </w:r>
          </w:p>
        </w:tc>
        <w:tc>
          <w:tcPr>
            <w:tcW w:type="dxa" w:w="6899"/>
          </w:tcPr>
          <w:p>
            <w:pPr>
              <w:spacing w:after="0"/>
            </w:pPr>
            <w:r>
              <w:rPr>
                <w:sz w:val="19"/>
              </w:rPr>
              <w:t>AN-ITS-001 Schritt 14 · AN-ITS-002 „Welche Ordner haben einen Zeitstempel?“ · Idee I13</w:t>
            </w:r>
          </w:p>
        </w:tc>
      </w:tr>
      <w:tr>
        <w:trPr/>
        <w:tc>
          <w:tcPr>
            <w:tcW w:type="dxa" w:w="2512"/>
          </w:tcPr>
          <w:p>
            <w:pPr>
              <w:spacing w:after="0"/>
            </w:pPr>
            <w:r>
              <w:rPr>
                <w:sz w:val="19"/>
              </w:rPr>
              <w:t>Einfach erklärt</w:t>
            </w:r>
          </w:p>
        </w:tc>
        <w:tc>
          <w:tcPr>
            <w:tcW w:type="dxa" w:w="6899"/>
          </w:tcPr>
          <w:p>
            <w:pPr>
              <w:spacing w:after="0"/>
            </w:pPr>
            <w:r>
              <w:rPr>
                <w:sz w:val="19"/>
              </w:rPr>
              <w:t>Zwei Ablagen: Im Arbeitskorb (processing) liegt die Kopie, an der gearbeitet wird; in der Ablage „bereinigt“ (cleaned) jede fertige Fassung mit Datum. Geht etwas schief, nimmt man die letzte gute Fassung.</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2.3 – Arbeitsumgebung lokal: VS Code und Conda</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Wo wird die Bereinigung entwickelt?</w:t>
            </w:r>
          </w:p>
        </w:tc>
      </w:tr>
      <w:tr>
        <w:trPr/>
        <w:tc>
          <w:tcPr>
            <w:tcW w:type="dxa" w:w="2512"/>
          </w:tcPr>
          <w:p>
            <w:pPr>
              <w:spacing w:after="0"/>
            </w:pPr>
            <w:r>
              <w:rPr>
                <w:sz w:val="19"/>
              </w:rPr>
              <w:t>Eigene Erwartung</w:t>
            </w:r>
          </w:p>
        </w:tc>
        <w:tc>
          <w:tcPr>
            <w:tcW w:type="dxa" w:w="6899"/>
          </w:tcPr>
          <w:p>
            <w:pPr>
              <w:spacing w:after="0"/>
            </w:pPr>
            <w:r>
              <w:rPr>
                <w:sz w:val="19"/>
              </w:rPr>
              <w:t>Direkt in Azure</w:t>
            </w:r>
          </w:p>
        </w:tc>
      </w:tr>
      <w:tr>
        <w:trPr/>
        <w:tc>
          <w:tcPr>
            <w:tcW w:type="dxa" w:w="2512"/>
          </w:tcPr>
          <w:p>
            <w:pPr>
              <w:spacing w:after="0"/>
            </w:pPr>
            <w:r>
              <w:rPr>
                <w:sz w:val="19"/>
              </w:rPr>
              <w:t>Erwartung laut Recherche</w:t>
            </w:r>
          </w:p>
        </w:tc>
        <w:tc>
          <w:tcPr>
            <w:tcW w:type="dxa" w:w="6899"/>
          </w:tcPr>
          <w:p>
            <w:pPr>
              <w:spacing w:after="0"/>
            </w:pPr>
            <w:r>
              <w:rPr>
                <w:sz w:val="19"/>
              </w:rPr>
              <w:t>Kursvorgabe: lokal entwickeln, dann in die Cloud übertragen; eigene Umgebung je Projekt mit festen Versionen</w:t>
            </w:r>
          </w:p>
        </w:tc>
      </w:tr>
      <w:tr>
        <w:trPr/>
        <w:tc>
          <w:tcPr>
            <w:tcW w:type="dxa" w:w="2512"/>
          </w:tcPr>
          <w:p>
            <w:pPr>
              <w:spacing w:after="0"/>
            </w:pPr>
            <w:r>
              <w:rPr>
                <w:sz w:val="19"/>
              </w:rPr>
              <w:t>Zwischenschritte</w:t>
            </w:r>
          </w:p>
        </w:tc>
        <w:tc>
          <w:tcPr>
            <w:tcW w:type="dxa" w:w="6899"/>
          </w:tcPr>
          <w:p>
            <w:pPr>
              <w:spacing w:after="0"/>
            </w:pPr>
            <w:r>
              <w:rPr>
                <w:sz w:val="19"/>
              </w:rPr>
              <w:t xml:space="preserve">1) Projektordner in VS Code öffnen und vertrauen 2) </w:t>
            </w:r>
            <w:r>
              <w:rPr>
                <w:rFonts w:ascii="Courier New" w:hAnsi="Courier New"/>
                <w:sz w:val="17"/>
              </w:rPr>
              <w:t>conda create -n beehaven python=3.12 pandas pyarrow matplotlib jupyter ipykernel -y</w:t>
            </w:r>
            <w:r>
              <w:rPr>
                <w:sz w:val="19"/>
              </w:rPr>
              <w:t xml:space="preserve"> 3) Notebook anlegen, Kernel </w:t>
            </w:r>
            <w:r>
              <w:rPr>
                <w:rFonts w:ascii="Courier New" w:hAnsi="Courier New"/>
                <w:sz w:val="17"/>
              </w:rPr>
              <w:t>beehaven</w:t>
            </w:r>
          </w:p>
        </w:tc>
      </w:tr>
      <w:tr>
        <w:trPr/>
        <w:tc>
          <w:tcPr>
            <w:tcW w:type="dxa" w:w="2512"/>
          </w:tcPr>
          <w:p>
            <w:pPr>
              <w:spacing w:after="0"/>
            </w:pPr>
            <w:r>
              <w:rPr>
                <w:sz w:val="19"/>
              </w:rPr>
              <w:t>Zwischenergebnis</w:t>
            </w:r>
          </w:p>
        </w:tc>
        <w:tc>
          <w:tcPr>
            <w:tcW w:type="dxa" w:w="6899"/>
          </w:tcPr>
          <w:p>
            <w:pPr>
              <w:spacing w:after="0"/>
            </w:pPr>
            <w:r>
              <w:rPr>
                <w:sz w:val="19"/>
              </w:rPr>
              <w:t>„Restricted Mode (eingeschränkter Modus)“ verhindert Code-Ausführung bis zum Vertrauen; verschobene Ordner führen zu „cwd does not exist“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lokal (kostenlos, schnell) · </w:t>
            </w:r>
            <w:r>
              <w:rPr>
                <w:b/>
                <w:sz w:val="19"/>
              </w:rPr>
              <w:t>B</w:t>
            </w:r>
            <w:r>
              <w:rPr>
                <w:sz w:val="19"/>
              </w:rPr>
              <w:t xml:space="preserve"> Google Colab (kein lokaler Speicher, Daten in fremder Cloud) · </w:t>
            </w:r>
            <w:r>
              <w:rPr>
                <w:b/>
                <w:sz w:val="19"/>
              </w:rPr>
              <w:t>C</w:t>
            </w:r>
            <w:r>
              <w:rPr>
                <w:sz w:val="19"/>
              </w:rPr>
              <w:t xml:space="preserve"> direkt in Azure Synapse (kostet je Lauf)</w:t>
            </w:r>
          </w:p>
        </w:tc>
      </w:tr>
      <w:tr>
        <w:trPr/>
        <w:tc>
          <w:tcPr>
            <w:tcW w:type="dxa" w:w="2512"/>
          </w:tcPr>
          <w:p>
            <w:pPr>
              <w:spacing w:after="0"/>
            </w:pPr>
            <w:r>
              <w:rPr>
                <w:sz w:val="19"/>
              </w:rPr>
              <w:t>Entscheidung + Begründung</w:t>
            </w:r>
          </w:p>
        </w:tc>
        <w:tc>
          <w:tcPr>
            <w:tcW w:type="dxa" w:w="6899"/>
          </w:tcPr>
          <w:p>
            <w:pPr>
              <w:spacing w:after="0"/>
            </w:pPr>
            <w:r>
              <w:rPr>
                <w:sz w:val="19"/>
              </w:rPr>
              <w:t>A (25.09.2026): spart Guthaben, schnelle Tests; Python 3.12, weil alle Datenbibliotheken dafür stabil sind</w:t>
            </w:r>
          </w:p>
        </w:tc>
      </w:tr>
      <w:tr>
        <w:trPr/>
        <w:tc>
          <w:tcPr>
            <w:tcW w:type="dxa" w:w="2512"/>
          </w:tcPr>
          <w:p>
            <w:pPr>
              <w:spacing w:after="0"/>
            </w:pPr>
            <w:r>
              <w:rPr>
                <w:sz w:val="19"/>
              </w:rPr>
              <w:t>Endergebnis</w:t>
            </w:r>
          </w:p>
        </w:tc>
        <w:tc>
          <w:tcPr>
            <w:tcW w:type="dxa" w:w="6899"/>
          </w:tcPr>
          <w:p>
            <w:pPr>
              <w:spacing w:after="0"/>
            </w:pPr>
            <w:r>
              <w:rPr>
                <w:sz w:val="19"/>
              </w:rPr>
              <w:t xml:space="preserve">Umgebung </w:t>
            </w:r>
            <w:r>
              <w:rPr>
                <w:rFonts w:ascii="Courier New" w:hAnsi="Courier New"/>
                <w:sz w:val="17"/>
              </w:rPr>
              <w:t>beehaven</w:t>
            </w:r>
            <w:r>
              <w:rPr>
                <w:sz w:val="19"/>
              </w:rPr>
              <w:t xml:space="preserve">; Notebooks in </w:t>
            </w:r>
            <w:r>
              <w:rPr>
                <w:rFonts w:ascii="Courier New" w:hAnsi="Courier New"/>
                <w:sz w:val="17"/>
              </w:rPr>
              <w:t>03_notebooks_ITS-Data/</w:t>
            </w:r>
          </w:p>
        </w:tc>
      </w:tr>
      <w:tr>
        <w:trPr/>
        <w:tc>
          <w:tcPr>
            <w:tcW w:type="dxa" w:w="2512"/>
          </w:tcPr>
          <w:p>
            <w:pPr>
              <w:spacing w:after="0"/>
            </w:pPr>
            <w:r>
              <w:rPr>
                <w:sz w:val="19"/>
              </w:rPr>
              <w:t>Hinweise / Gefahren</w:t>
            </w:r>
          </w:p>
        </w:tc>
        <w:tc>
          <w:tcPr>
            <w:tcW w:type="dxa" w:w="6899"/>
          </w:tcPr>
          <w:p>
            <w:pPr>
              <w:spacing w:after="0"/>
            </w:pPr>
            <w:r>
              <w:rPr>
                <w:sz w:val="19"/>
              </w:rPr>
              <w:t>Code nicht in Markdown-Zellen einfügen · vorherige Zellen ausführen, sonst NameError · regelmäßig speichern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Umgebung exportierbar (</w:t>
            </w:r>
            <w:r>
              <w:rPr>
                <w:rFonts w:ascii="Courier New" w:hAnsi="Courier New"/>
                <w:sz w:val="17"/>
              </w:rPr>
              <w:t>conda env export</w:t>
            </w:r>
            <w:r>
              <w:rPr>
                <w:sz w:val="19"/>
              </w:rPr>
              <w:t>) – gleiche Versionen für Training und Betrieb</w:t>
            </w:r>
          </w:p>
        </w:tc>
      </w:tr>
      <w:tr>
        <w:trPr/>
        <w:tc>
          <w:tcPr>
            <w:tcW w:type="dxa" w:w="2512"/>
          </w:tcPr>
          <w:p>
            <w:pPr>
              <w:spacing w:after="0"/>
            </w:pPr>
            <w:r>
              <w:rPr>
                <w:sz w:val="19"/>
              </w:rPr>
              <w:t>Verweise</w:t>
            </w:r>
          </w:p>
        </w:tc>
        <w:tc>
          <w:tcPr>
            <w:tcW w:type="dxa" w:w="6899"/>
          </w:tcPr>
          <w:p>
            <w:pPr>
              <w:spacing w:after="0"/>
            </w:pPr>
            <w:r>
              <w:rPr>
                <w:sz w:val="19"/>
              </w:rPr>
              <w:t xml:space="preserve">AN-ITS-002 Schritte 1–3 · Befehlsmatrix Terminal (Projektvorlage </w:t>
            </w:r>
            <w:r>
              <w:rPr>
                <w:rFonts w:ascii="Courier New" w:hAnsi="Courier New"/>
                <w:sz w:val="17"/>
              </w:rPr>
              <w:t>06_vorlagen/Beispiele_Befehlsmatrix/</w:t>
            </w:r>
            <w:r>
              <w:rPr>
                <w:sz w:val="19"/>
              </w:rPr>
              <w:t>) · Idee I10</w:t>
            </w:r>
          </w:p>
        </w:tc>
      </w:tr>
      <w:tr>
        <w:trPr/>
        <w:tc>
          <w:tcPr>
            <w:tcW w:type="dxa" w:w="2512"/>
          </w:tcPr>
          <w:p>
            <w:pPr>
              <w:spacing w:after="0"/>
            </w:pPr>
            <w:r>
              <w:rPr>
                <w:sz w:val="19"/>
              </w:rPr>
              <w:t>Einfach erklärt</w:t>
            </w:r>
          </w:p>
        </w:tc>
        <w:tc>
          <w:tcPr>
            <w:tcW w:type="dxa" w:w="6899"/>
          </w:tcPr>
          <w:p>
            <w:pPr>
              <w:spacing w:after="0"/>
            </w:pPr>
            <w:r>
              <w:rPr>
                <w:sz w:val="19"/>
              </w:rPr>
              <w:t>Die Bereinigung wird erst auf dem eigenen Rechner entwickelt und getestet – das kostet nichts. Erst wenn alles stimmt, läuft es in der Cloud, wo jede Minute Geld kostet.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2.4 – Zeitstempel eindeutig machen (UTC)</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Gibt es doppelte Zeitstempel? Passen die vier Dateien zeitlich zusammen?</w:t>
            </w:r>
          </w:p>
        </w:tc>
      </w:tr>
      <w:tr>
        <w:trPr/>
        <w:tc>
          <w:tcPr>
            <w:tcW w:type="dxa" w:w="2512"/>
          </w:tcPr>
          <w:p>
            <w:pPr>
              <w:spacing w:after="0"/>
            </w:pPr>
            <w:r>
              <w:rPr>
                <w:sz w:val="19"/>
              </w:rPr>
              <w:t>Eigene Erwartung</w:t>
            </w:r>
          </w:p>
        </w:tc>
        <w:tc>
          <w:tcPr>
            <w:tcW w:type="dxa" w:w="6899"/>
          </w:tcPr>
          <w:p>
            <w:pPr>
              <w:spacing w:after="0"/>
            </w:pPr>
            <w:r>
              <w:rPr>
                <w:sz w:val="19"/>
              </w:rPr>
              <w:t>Wenige echte Duplikate, die man löschen kann</w:t>
            </w:r>
          </w:p>
        </w:tc>
      </w:tr>
      <w:tr>
        <w:trPr/>
        <w:tc>
          <w:tcPr>
            <w:tcW w:type="dxa" w:w="2512"/>
          </w:tcPr>
          <w:p>
            <w:pPr>
              <w:spacing w:after="0"/>
            </w:pPr>
            <w:r>
              <w:rPr>
                <w:sz w:val="19"/>
              </w:rPr>
              <w:t>Erwartung laut Recherche</w:t>
            </w:r>
          </w:p>
        </w:tc>
        <w:tc>
          <w:tcPr>
            <w:tcW w:type="dxa" w:w="6899"/>
          </w:tcPr>
          <w:p>
            <w:pPr>
              <w:spacing w:after="0"/>
            </w:pPr>
            <w:r>
              <w:rPr>
                <w:sz w:val="19"/>
              </w:rPr>
              <w:t xml:space="preserve">Im Oktober gibt es 02:00–03:00 Uhr doppelt (Ende der Sommerzeit); pandas löst das mit </w:t>
            </w:r>
            <w:r>
              <w:rPr>
                <w:rFonts w:ascii="Courier New" w:hAnsi="Courier New"/>
                <w:sz w:val="17"/>
              </w:rPr>
              <w:t>tz_localize(ambiguous=…)</w:t>
            </w:r>
            <w:r>
              <w:rPr>
                <w:sz w:val="19"/>
              </w:rPr>
              <w:t xml:space="preserve"> (pandas-Dokumentation)</w:t>
            </w:r>
          </w:p>
        </w:tc>
      </w:tr>
      <w:tr>
        <w:trPr/>
        <w:tc>
          <w:tcPr>
            <w:tcW w:type="dxa" w:w="2512"/>
          </w:tcPr>
          <w:p>
            <w:pPr>
              <w:spacing w:after="0"/>
            </w:pPr>
            <w:r>
              <w:rPr>
                <w:sz w:val="19"/>
              </w:rPr>
              <w:t>Zwischenschritte</w:t>
            </w:r>
          </w:p>
        </w:tc>
        <w:tc>
          <w:tcPr>
            <w:tcW w:type="dxa" w:w="6899"/>
          </w:tcPr>
          <w:p>
            <w:pPr>
              <w:spacing w:after="0"/>
            </w:pPr>
            <w:r>
              <w:rPr>
                <w:sz w:val="19"/>
              </w:rPr>
              <w:t>1) Text in Datum umwandeln (R1) 2) Duplikate zählen: 24 bei temperature 3) Ortszeit Europe/Berlin festlegen 4) nach UTC umrechnen (R2) 5) Duplikate erneut zählen: 0</w:t>
            </w:r>
          </w:p>
        </w:tc>
      </w:tr>
      <w:tr>
        <w:trPr/>
        <w:tc>
          <w:tcPr>
            <w:tcW w:type="dxa" w:w="2512"/>
          </w:tcPr>
          <w:p>
            <w:pPr>
              <w:spacing w:after="0"/>
            </w:pPr>
            <w:r>
              <w:rPr>
                <w:sz w:val="19"/>
              </w:rPr>
              <w:t>Zwischenergebnis</w:t>
            </w:r>
          </w:p>
        </w:tc>
        <w:tc>
          <w:tcPr>
            <w:tcW w:type="dxa" w:w="6899"/>
          </w:tcPr>
          <w:p>
            <w:pPr>
              <w:spacing w:after="0"/>
            </w:pPr>
            <w:r>
              <w:rPr>
                <w:sz w:val="19"/>
              </w:rPr>
              <w:t xml:space="preserve">Automatik </w:t>
            </w:r>
            <w:r>
              <w:rPr>
                <w:rFonts w:ascii="Courier New" w:hAnsi="Courier New"/>
                <w:sz w:val="17"/>
              </w:rPr>
              <w:t>ambiguous="infer"</w:t>
            </w:r>
            <w:r>
              <w:rPr>
                <w:sz w:val="19"/>
              </w:rPr>
              <w:t xml:space="preserve"> scheitert am Einzelwert 29.10.2017 02:00 bei humidity/weight (nur zwei Messungen am Tag)</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Duplikate zuerst löschen (Reihenfolge der Kursvorlage) – echte Messungen gehen verloren · </w:t>
            </w:r>
            <w:r>
              <w:rPr>
                <w:b/>
                <w:sz w:val="19"/>
              </w:rPr>
              <w:t>B</w:t>
            </w:r>
            <w:r>
              <w:rPr>
                <w:sz w:val="19"/>
              </w:rPr>
              <w:t xml:space="preserve"> erst UTC, dann Duplikate prüfen · </w:t>
            </w:r>
            <w:r>
              <w:rPr>
                <w:b/>
                <w:sz w:val="19"/>
              </w:rPr>
              <w:t>C</w:t>
            </w:r>
            <w:r>
              <w:rPr>
                <w:sz w:val="19"/>
              </w:rPr>
              <w:t xml:space="preserve"> Ortszeit behalten und doppelte Stunden mitteln – einfach, verfälscht aber Werte</w:t>
            </w:r>
          </w:p>
        </w:tc>
      </w:tr>
      <w:tr>
        <w:trPr/>
        <w:tc>
          <w:tcPr>
            <w:tcW w:type="dxa" w:w="2512"/>
          </w:tcPr>
          <w:p>
            <w:pPr>
              <w:spacing w:after="0"/>
            </w:pPr>
            <w:r>
              <w:rPr>
                <w:sz w:val="19"/>
              </w:rPr>
              <w:t>Entscheidung + Begründung</w:t>
            </w:r>
          </w:p>
        </w:tc>
        <w:tc>
          <w:tcPr>
            <w:tcW w:type="dxa" w:w="6899"/>
          </w:tcPr>
          <w:p>
            <w:pPr>
              <w:spacing w:after="0"/>
            </w:pPr>
            <w:r>
              <w:rPr>
                <w:sz w:val="19"/>
              </w:rPr>
              <w:t>B (25.09.2026, Projektleitung): nur so lässt sich erkennen, was wirklich doppelt ist; eigene Regel „1. Vorkommen einer Uhrzeit = Sommerzeit, 2. = Winterzeit“, je Messreihe</w:t>
            </w:r>
          </w:p>
        </w:tc>
      </w:tr>
      <w:tr>
        <w:trPr/>
        <w:tc>
          <w:tcPr>
            <w:tcW w:type="dxa" w:w="2512"/>
          </w:tcPr>
          <w:p>
            <w:pPr>
              <w:spacing w:after="0"/>
            </w:pPr>
            <w:r>
              <w:rPr>
                <w:sz w:val="19"/>
              </w:rPr>
              <w:t>Endergebnis</w:t>
            </w:r>
          </w:p>
        </w:tc>
        <w:tc>
          <w:tcPr>
            <w:tcW w:type="dxa" w:w="6899"/>
          </w:tcPr>
          <w:p>
            <w:pPr>
              <w:spacing w:after="0"/>
            </w:pPr>
            <w:r>
              <w:rPr>
                <w:sz w:val="19"/>
              </w:rPr>
              <w:t>E1–E4: keine doppelten Zeiten, keine Rücksprünge; humidity/weight messen nach UTC immer 00:00/12:00 (Beleg für deutsche Ortszeit mit Sommerzeit)</w:t>
            </w:r>
          </w:p>
        </w:tc>
      </w:tr>
      <w:tr>
        <w:trPr/>
        <w:tc>
          <w:tcPr>
            <w:tcW w:type="dxa" w:w="2512"/>
          </w:tcPr>
          <w:p>
            <w:pPr>
              <w:spacing w:after="0"/>
            </w:pPr>
            <w:r>
              <w:rPr>
                <w:sz w:val="19"/>
              </w:rPr>
              <w:t>Hinweise / Gefahren</w:t>
            </w:r>
          </w:p>
        </w:tc>
        <w:tc>
          <w:tcPr>
            <w:tcW w:type="dxa" w:w="6899"/>
          </w:tcPr>
          <w:p>
            <w:pPr>
              <w:spacing w:after="0"/>
            </w:pPr>
            <w:r>
              <w:rPr>
                <w:sz w:val="19"/>
              </w:rPr>
              <w:t xml:space="preserve">Die Kursreihenfolge hätte hier echte Daten gelöscht · bei anderen Standorten Zeitzone aus </w:t>
            </w:r>
            <w:r>
              <w:rPr>
                <w:rFonts w:ascii="Courier New" w:hAnsi="Courier New"/>
                <w:sz w:val="17"/>
              </w:rPr>
              <w:t>standorte.csv</w:t>
            </w:r>
            <w:r>
              <w:rPr>
                <w:sz w:val="19"/>
              </w:rPr>
              <w:t xml:space="preserve"> nehmen · für Tageszeit-Analysen Ortszeit bzw. Sonnenstand verwenden, nicht UTC · </w:t>
            </w:r>
            <w:r>
              <w:rPr>
                <w:b/>
                <w:sz w:val="19"/>
              </w:rPr>
              <w:t>Abweichung Kurs-Notebook 04:</w:t>
            </w:r>
            <w:r>
              <w:rPr>
                <w:sz w:val="19"/>
              </w:rPr>
              <w:t xml:space="preserve"> dort wird flow als UTC behandelt (bei uns Ortszeit, siehe R2 – sonst wäre flow im Sommer 2 Std., im Winter 1 Std. gegen Wetter und Temperatur verschoben) und </w:t>
            </w:r>
            <w:r>
              <w:rPr>
                <w:rFonts w:ascii="Courier New" w:hAnsi="Courier New"/>
                <w:sz w:val="17"/>
              </w:rPr>
              <w:t>ambiguous=True</w:t>
            </w:r>
            <w:r>
              <w:rPr>
                <w:sz w:val="19"/>
              </w:rPr>
              <w:t xml:space="preserve"> ordnet alle doppelten Oktober-Zeiten der Sommerzeit zu, danach werden echte Messungen als Duplikate gelöscht. Eigene Regel bleibt (Entscheidung 30.09.2026)</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Zeit immer in UTC speichern; Merkmale wie Stunde oder Tag/Nacht daraus ableiten. Regel „erst Zeitzone, dann Duplikate“ ist übertragbar</w:t>
            </w:r>
          </w:p>
        </w:tc>
      </w:tr>
      <w:tr>
        <w:trPr/>
        <w:tc>
          <w:tcPr>
            <w:tcW w:type="dxa" w:w="2512"/>
          </w:tcPr>
          <w:p>
            <w:pPr>
              <w:spacing w:after="0"/>
            </w:pPr>
            <w:r>
              <w:rPr>
                <w:sz w:val="19"/>
              </w:rPr>
              <w:t>Verweise</w:t>
            </w:r>
          </w:p>
        </w:tc>
        <w:tc>
          <w:tcPr>
            <w:tcW w:type="dxa" w:w="6899"/>
          </w:tcPr>
          <w:p>
            <w:pPr>
              <w:spacing w:after="0"/>
            </w:pPr>
            <w:r>
              <w:rPr>
                <w:sz w:val="19"/>
              </w:rPr>
              <w:t>N1 Kap. 4–5 · AN-ITS-002 Schritt 4 · Befunde E1–E4 · Idee I12, I45</w:t>
            </w:r>
          </w:p>
        </w:tc>
      </w:tr>
      <w:tr>
        <w:trPr/>
        <w:tc>
          <w:tcPr>
            <w:tcW w:type="dxa" w:w="2512"/>
          </w:tcPr>
          <w:p>
            <w:pPr>
              <w:spacing w:after="0"/>
            </w:pPr>
            <w:r>
              <w:rPr>
                <w:sz w:val="19"/>
              </w:rPr>
              <w:t>Einfach erklärt</w:t>
            </w:r>
          </w:p>
        </w:tc>
        <w:tc>
          <w:tcPr>
            <w:tcW w:type="dxa" w:w="6899"/>
          </w:tcPr>
          <w:p>
            <w:pPr>
              <w:spacing w:after="0"/>
            </w:pPr>
            <w:r>
              <w:rPr>
                <w:sz w:val="19"/>
              </w:rPr>
              <w:t xml:space="preserve">Deutschland stellt zweimal im Jahr die Uhr um. Im Oktober gibt es die Stunde 02:00–02:59 </w:t>
            </w:r>
            <w:r>
              <w:rPr>
                <w:b/>
                <w:sz w:val="19"/>
              </w:rPr>
              <w:t>zweimal</w:t>
            </w:r>
            <w:r>
              <w:rPr>
                <w:sz w:val="19"/>
              </w:rPr>
              <w:t xml:space="preserve">, im März </w:t>
            </w:r>
            <w:r>
              <w:rPr>
                <w:b/>
                <w:sz w:val="19"/>
              </w:rPr>
              <w:t>gar nicht</w:t>
            </w:r>
            <w:r>
              <w:rPr>
                <w:sz w:val="19"/>
              </w:rPr>
              <w:t>. Eine Messung „29.10.2017 02:30“ ist deshalb nicht eindeutig. UTC ist die weltweite Einheitszeit ohne Umstellung – jede Minute gibt es genau einmal. Deshalb rechnen wir alle Zeiten nach UTC um; so passen alle Sensoren und das Wetter zeitlich zusammen.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2.5 – Duplikate und fehlende Werte</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Sind gleiche Zeilen Fehler? Wie wird mit fehlenden Werten umgegangen?</w:t>
            </w:r>
          </w:p>
        </w:tc>
      </w:tr>
      <w:tr>
        <w:trPr/>
        <w:tc>
          <w:tcPr>
            <w:tcW w:type="dxa" w:w="2512"/>
          </w:tcPr>
          <w:p>
            <w:pPr>
              <w:spacing w:after="0"/>
            </w:pPr>
            <w:r>
              <w:rPr>
                <w:sz w:val="19"/>
              </w:rPr>
              <w:t>Eigene Erwartung</w:t>
            </w:r>
          </w:p>
        </w:tc>
        <w:tc>
          <w:tcPr>
            <w:tcW w:type="dxa" w:w="6899"/>
          </w:tcPr>
          <w:p>
            <w:pPr>
              <w:spacing w:after="0"/>
            </w:pPr>
            <w:r>
              <w:rPr>
                <w:sz w:val="19"/>
              </w:rPr>
              <w:t>Gleiche Zeilen löschen, Lücken mit Mittelwert füllen</w:t>
            </w:r>
          </w:p>
        </w:tc>
      </w:tr>
      <w:tr>
        <w:trPr/>
        <w:tc>
          <w:tcPr>
            <w:tcW w:type="dxa" w:w="2512"/>
          </w:tcPr>
          <w:p>
            <w:pPr>
              <w:spacing w:after="0"/>
            </w:pPr>
            <w:r>
              <w:rPr>
                <w:sz w:val="19"/>
              </w:rPr>
              <w:t>Erwartung laut Recherche</w:t>
            </w:r>
          </w:p>
        </w:tc>
        <w:tc>
          <w:tcPr>
            <w:tcW w:type="dxa" w:w="6899"/>
          </w:tcPr>
          <w:p>
            <w:pPr>
              <w:spacing w:after="0"/>
            </w:pPr>
            <w:r>
              <w:rPr>
                <w:sz w:val="19"/>
              </w:rPr>
              <w:t>Auffüllen (Imputation) erzeugt Werte, die nie gemessen wurden; Entscheidung hängt vom Analysezweck ab</w:t>
            </w:r>
          </w:p>
        </w:tc>
      </w:tr>
      <w:tr>
        <w:trPr/>
        <w:tc>
          <w:tcPr>
            <w:tcW w:type="dxa" w:w="2512"/>
          </w:tcPr>
          <w:p>
            <w:pPr>
              <w:spacing w:after="0"/>
            </w:pPr>
            <w:r>
              <w:rPr>
                <w:sz w:val="19"/>
              </w:rPr>
              <w:t>Zwischenschritte</w:t>
            </w:r>
          </w:p>
        </w:tc>
        <w:tc>
          <w:tcPr>
            <w:tcW w:type="dxa" w:w="6899"/>
          </w:tcPr>
          <w:p>
            <w:pPr>
              <w:spacing w:after="0"/>
            </w:pPr>
            <w:r>
              <w:rPr>
                <w:sz w:val="19"/>
              </w:rPr>
              <w:t>1) komplett gleiche Zeilen zählen: flow 697.348 2) prüfen, ob gleiche Zeit + gleicher Wert (echte Duplikate) oder nur gleicher Wert 3) fehlende Werte je Datei zählen</w:t>
            </w:r>
          </w:p>
        </w:tc>
      </w:tr>
      <w:tr>
        <w:trPr/>
        <w:tc>
          <w:tcPr>
            <w:tcW w:type="dxa" w:w="2512"/>
          </w:tcPr>
          <w:p>
            <w:pPr>
              <w:spacing w:after="0"/>
            </w:pPr>
            <w:r>
              <w:rPr>
                <w:sz w:val="19"/>
              </w:rPr>
              <w:t>Zwischenergebnis</w:t>
            </w:r>
          </w:p>
        </w:tc>
        <w:tc>
          <w:tcPr>
            <w:tcW w:type="dxa" w:w="6899"/>
          </w:tcPr>
          <w:p>
            <w:pPr>
              <w:spacing w:after="0"/>
            </w:pPr>
            <w:r>
              <w:rPr>
                <w:sz w:val="19"/>
              </w:rPr>
              <w:t>Die gleichen flow-Zeilen sind Minuten mit Wert 0 (keine Flugbewegung) – echte Messungen</w:t>
            </w:r>
          </w:p>
        </w:tc>
      </w:tr>
      <w:tr>
        <w:trPr/>
        <w:tc>
          <w:tcPr>
            <w:tcW w:type="dxa" w:w="2512"/>
          </w:tcPr>
          <w:p>
            <w:pPr>
              <w:spacing w:after="0"/>
            </w:pPr>
            <w:r>
              <w:rPr>
                <w:sz w:val="19"/>
              </w:rPr>
              <w:t>Lösungswege</w:t>
            </w:r>
          </w:p>
        </w:tc>
        <w:tc>
          <w:tcPr>
            <w:tcW w:type="dxa" w:w="6899"/>
          </w:tcPr>
          <w:p>
            <w:pPr>
              <w:spacing w:after="0"/>
            </w:pPr>
            <w:r>
              <w:rPr>
                <w:sz w:val="19"/>
              </w:rPr>
              <w:t xml:space="preserve">Duplikate: </w:t>
            </w:r>
            <w:r>
              <w:rPr>
                <w:b/>
                <w:sz w:val="19"/>
              </w:rPr>
              <w:t>A</w:t>
            </w:r>
            <w:r>
              <w:rPr>
                <w:sz w:val="19"/>
              </w:rPr>
              <w:t xml:space="preserve"> behalten (R4) · </w:t>
            </w:r>
            <w:r>
              <w:rPr>
                <w:b/>
                <w:sz w:val="19"/>
              </w:rPr>
              <w:t>B</w:t>
            </w:r>
            <w:r>
              <w:rPr>
                <w:sz w:val="19"/>
              </w:rPr>
              <w:t xml:space="preserve"> löschen (vernichtet Nullwerte). Fehlende Werte: </w:t>
            </w:r>
            <w:r>
              <w:rPr>
                <w:b/>
                <w:sz w:val="19"/>
              </w:rPr>
              <w:t>A</w:t>
            </w:r>
            <w:r>
              <w:rPr>
                <w:sz w:val="19"/>
              </w:rPr>
              <w:t xml:space="preserve"> nur zählen (R3) · </w:t>
            </w:r>
            <w:r>
              <w:rPr>
                <w:b/>
                <w:sz w:val="19"/>
              </w:rPr>
              <w:t>B</w:t>
            </w:r>
            <w:r>
              <w:rPr>
                <w:sz w:val="19"/>
              </w:rPr>
              <w:t xml:space="preserve"> auffüllen · </w:t>
            </w:r>
            <w:r>
              <w:rPr>
                <w:b/>
                <w:sz w:val="19"/>
              </w:rPr>
              <w:t>C</w:t>
            </w:r>
            <w:r>
              <w:rPr>
                <w:sz w:val="19"/>
              </w:rPr>
              <w:t xml:space="preserve"> Zeilen löschen</w:t>
            </w:r>
          </w:p>
        </w:tc>
      </w:tr>
      <w:tr>
        <w:trPr/>
        <w:tc>
          <w:tcPr>
            <w:tcW w:type="dxa" w:w="2512"/>
          </w:tcPr>
          <w:p>
            <w:pPr>
              <w:spacing w:after="0"/>
            </w:pPr>
            <w:r>
              <w:rPr>
                <w:sz w:val="19"/>
              </w:rPr>
              <w:t>Entscheidung + Begründung</w:t>
            </w:r>
          </w:p>
        </w:tc>
        <w:tc>
          <w:tcPr>
            <w:tcW w:type="dxa" w:w="6899"/>
          </w:tcPr>
          <w:p>
            <w:pPr>
              <w:spacing w:after="0"/>
            </w:pPr>
            <w:r>
              <w:rPr>
                <w:sz w:val="19"/>
              </w:rPr>
              <w:t>R4 behalten, R3 nur zählen (25.09.2026): erfundene Werte täuschen Ergebnisse vor; Umgang entscheidet die Analyse</w:t>
            </w:r>
          </w:p>
        </w:tc>
      </w:tr>
      <w:tr>
        <w:trPr/>
        <w:tc>
          <w:tcPr>
            <w:tcW w:type="dxa" w:w="2512"/>
          </w:tcPr>
          <w:p>
            <w:pPr>
              <w:spacing w:after="0"/>
            </w:pPr>
            <w:r>
              <w:rPr>
                <w:sz w:val="19"/>
              </w:rPr>
              <w:t>Endergebnis</w:t>
            </w:r>
          </w:p>
        </w:tc>
        <w:tc>
          <w:tcPr>
            <w:tcW w:type="dxa" w:w="6899"/>
          </w:tcPr>
          <w:p>
            <w:pPr>
              <w:spacing w:after="0"/>
            </w:pPr>
            <w:r>
              <w:rPr>
                <w:sz w:val="19"/>
              </w:rPr>
              <w:t>keine Zeile gelöscht; fehlende Werte dokumentiert</w:t>
            </w:r>
          </w:p>
        </w:tc>
      </w:tr>
      <w:tr>
        <w:trPr/>
        <w:tc>
          <w:tcPr>
            <w:tcW w:type="dxa" w:w="2512"/>
          </w:tcPr>
          <w:p>
            <w:pPr>
              <w:spacing w:after="0"/>
            </w:pPr>
            <w:r>
              <w:rPr>
                <w:sz w:val="19"/>
              </w:rPr>
              <w:t>Hinweise / Gefahren</w:t>
            </w:r>
          </w:p>
        </w:tc>
        <w:tc>
          <w:tcPr>
            <w:tcW w:type="dxa" w:w="6899"/>
          </w:tcPr>
          <w:p>
            <w:pPr>
              <w:spacing w:after="0"/>
            </w:pPr>
            <w:r>
              <w:rPr>
                <w:rFonts w:ascii="Courier New" w:hAnsi="Courier New"/>
                <w:sz w:val="17"/>
              </w:rPr>
              <w:t>drop_duplicates()</w:t>
            </w:r>
            <w:r>
              <w:rPr>
                <w:sz w:val="19"/>
              </w:rPr>
              <w:t xml:space="preserve"> ohne Prüfung hätte 28 % der flow-Daten gelöscht</w:t>
            </w:r>
          </w:p>
        </w:tc>
      </w:tr>
      <w:tr>
        <w:trPr/>
        <w:tc>
          <w:tcPr>
            <w:tcW w:type="dxa" w:w="2512"/>
          </w:tcPr>
          <w:p>
            <w:pPr>
              <w:spacing w:after="0"/>
            </w:pPr>
            <w:r>
              <w:rPr>
                <w:sz w:val="19"/>
              </w:rPr>
              <w:t>Klärung (Stand Abschluss)</w:t>
            </w:r>
          </w:p>
        </w:tc>
        <w:tc>
          <w:tcPr>
            <w:tcW w:type="dxa" w:w="6899"/>
          </w:tcPr>
          <w:p>
            <w:pPr>
              <w:spacing w:after="0"/>
            </w:pPr>
            <w:r>
              <w:rPr>
                <w:sz w:val="19"/>
              </w:rPr>
              <w:t xml:space="preserve">Lücken später visualisieren (Schritt 3.1) → </w:t>
            </w:r>
            <w:r>
              <w:rPr>
                <w:b/>
                <w:sz w:val="19"/>
              </w:rPr>
              <w:t>Stand 05.10.2026:</w:t>
            </w:r>
            <w:r>
              <w:rPr>
                <w:sz w:val="19"/>
              </w:rPr>
              <w:t xml:space="preserve"> erledigt (3.1)</w:t>
            </w:r>
          </w:p>
        </w:tc>
      </w:tr>
      <w:tr>
        <w:trPr/>
        <w:tc>
          <w:tcPr>
            <w:tcW w:type="dxa" w:w="2512"/>
          </w:tcPr>
          <w:p>
            <w:pPr>
              <w:spacing w:after="0"/>
            </w:pPr>
            <w:r>
              <w:rPr>
                <w:sz w:val="19"/>
              </w:rPr>
              <w:t>Für Agenten / ML</w:t>
            </w:r>
          </w:p>
        </w:tc>
        <w:tc>
          <w:tcPr>
            <w:tcW w:type="dxa" w:w="6899"/>
          </w:tcPr>
          <w:p>
            <w:pPr>
              <w:spacing w:after="0"/>
            </w:pPr>
            <w:r>
              <w:rPr>
                <w:sz w:val="19"/>
              </w:rPr>
              <w:t>Fehlende Werte als eigene Information behandeln (Kennzeichen), nicht stillschweigend füllen</w:t>
            </w:r>
          </w:p>
        </w:tc>
      </w:tr>
      <w:tr>
        <w:trPr/>
        <w:tc>
          <w:tcPr>
            <w:tcW w:type="dxa" w:w="2512"/>
          </w:tcPr>
          <w:p>
            <w:pPr>
              <w:spacing w:after="0"/>
            </w:pPr>
            <w:r>
              <w:rPr>
                <w:sz w:val="19"/>
              </w:rPr>
              <w:t>Verweise</w:t>
            </w:r>
          </w:p>
        </w:tc>
        <w:tc>
          <w:tcPr>
            <w:tcW w:type="dxa" w:w="6899"/>
          </w:tcPr>
          <w:p>
            <w:pPr>
              <w:spacing w:after="0"/>
            </w:pPr>
            <w:r>
              <w:rPr>
                <w:sz w:val="19"/>
              </w:rPr>
              <w:t>N1 Kap. 5–6 · R3, R4</w:t>
            </w:r>
          </w:p>
        </w:tc>
      </w:tr>
      <w:tr>
        <w:trPr/>
        <w:tc>
          <w:tcPr>
            <w:tcW w:type="dxa" w:w="2512"/>
          </w:tcPr>
          <w:p>
            <w:pPr>
              <w:spacing w:after="0"/>
            </w:pPr>
            <w:r>
              <w:rPr>
                <w:sz w:val="19"/>
              </w:rPr>
              <w:t>Einfach erklärt</w:t>
            </w:r>
          </w:p>
        </w:tc>
        <w:tc>
          <w:tcPr>
            <w:tcW w:type="dxa" w:w="6899"/>
          </w:tcPr>
          <w:p>
            <w:pPr>
              <w:spacing w:after="0"/>
            </w:pPr>
            <w:r>
              <w:rPr>
                <w:sz w:val="19"/>
              </w:rPr>
              <w:t>Gleiche Zeilen sind hier keine Fehler: Wenn in vielen Minuten keine Biene fliegt, steht dort jedes Mal 0. Fehlende Werte werden nur gezählt und nicht erfunden – eine erfundene Zahl wäre eine falsche Messung.</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2.6 – Zwischenstand speichern (Parquet)</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wird das N1-Ergebnis an N2 übergeben?</w:t>
            </w:r>
          </w:p>
        </w:tc>
      </w:tr>
      <w:tr>
        <w:trPr/>
        <w:tc>
          <w:tcPr>
            <w:tcW w:type="dxa" w:w="2512"/>
          </w:tcPr>
          <w:p>
            <w:pPr>
              <w:spacing w:after="0"/>
            </w:pPr>
            <w:r>
              <w:rPr>
                <w:sz w:val="19"/>
              </w:rPr>
              <w:t>Eigene Erwartung</w:t>
            </w:r>
          </w:p>
        </w:tc>
        <w:tc>
          <w:tcPr>
            <w:tcW w:type="dxa" w:w="6899"/>
          </w:tcPr>
          <w:p>
            <w:pPr>
              <w:spacing w:after="0"/>
            </w:pPr>
            <w:r>
              <w:rPr>
                <w:sz w:val="19"/>
              </w:rPr>
              <w:t>Als CSV</w:t>
            </w:r>
          </w:p>
        </w:tc>
      </w:tr>
      <w:tr>
        <w:trPr/>
        <w:tc>
          <w:tcPr>
            <w:tcW w:type="dxa" w:w="2512"/>
          </w:tcPr>
          <w:p>
            <w:pPr>
              <w:spacing w:after="0"/>
            </w:pPr>
            <w:r>
              <w:rPr>
                <w:sz w:val="19"/>
              </w:rPr>
              <w:t>Erwartung laut Recherche</w:t>
            </w:r>
          </w:p>
        </w:tc>
        <w:tc>
          <w:tcPr>
            <w:tcW w:type="dxa" w:w="6899"/>
          </w:tcPr>
          <w:p>
            <w:pPr>
              <w:spacing w:after="0"/>
            </w:pPr>
            <w:r>
              <w:rPr>
                <w:sz w:val="19"/>
              </w:rPr>
              <w:t>Parquet behält Datentypen (z. B. UTC-Zeit), komprimiert und ist schneller</w:t>
            </w:r>
          </w:p>
        </w:tc>
      </w:tr>
      <w:tr>
        <w:trPr/>
        <w:tc>
          <w:tcPr>
            <w:tcW w:type="dxa" w:w="2512"/>
          </w:tcPr>
          <w:p>
            <w:pPr>
              <w:spacing w:after="0"/>
            </w:pPr>
            <w:r>
              <w:rPr>
                <w:sz w:val="19"/>
              </w:rPr>
              <w:t>Zwischenschritte</w:t>
            </w:r>
          </w:p>
        </w:tc>
        <w:tc>
          <w:tcPr>
            <w:tcW w:type="dxa" w:w="6899"/>
          </w:tcPr>
          <w:p>
            <w:pPr>
              <w:spacing w:after="0"/>
            </w:pPr>
            <w:r>
              <w:rPr>
                <w:sz w:val="19"/>
              </w:rPr>
              <w:t xml:space="preserve">1) Ordner </w:t>
            </w:r>
            <w:r>
              <w:rPr>
                <w:rFonts w:ascii="Courier New" w:hAnsi="Courier New"/>
                <w:sz w:val="17"/>
              </w:rPr>
              <w:t>zwischenstand</w:t>
            </w:r>
            <w:r>
              <w:rPr>
                <w:sz w:val="19"/>
              </w:rPr>
              <w:t xml:space="preserve"> 2) je Sensor Parquet speichern</w:t>
            </w:r>
          </w:p>
        </w:tc>
      </w:tr>
      <w:tr>
        <w:trPr/>
        <w:tc>
          <w:tcPr>
            <w:tcW w:type="dxa" w:w="2512"/>
          </w:tcPr>
          <w:p>
            <w:pPr>
              <w:spacing w:after="0"/>
            </w:pPr>
            <w:r>
              <w:rPr>
                <w:sz w:val="19"/>
              </w:rPr>
              <w:t>Zwischenergebnis</w:t>
            </w:r>
          </w:p>
        </w:tc>
        <w:tc>
          <w:tcPr>
            <w:tcW w:type="dxa" w:w="6899"/>
          </w:tcPr>
          <w:p>
            <w:pPr>
              <w:spacing w:after="0"/>
            </w:pPr>
            <w:r>
              <w:rPr>
                <w:sz w:val="19"/>
              </w:rPr>
              <w:t>flow als Parquet 28,2 MB; CSV würde Zeiten wieder zu Text machen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Parquet · </w:t>
            </w:r>
            <w:r>
              <w:rPr>
                <w:b/>
                <w:sz w:val="19"/>
              </w:rPr>
              <w:t>B</w:t>
            </w:r>
            <w:r>
              <w:rPr>
                <w:sz w:val="19"/>
              </w:rPr>
              <w:t xml:space="preserve"> CSV (lesbar, aber Typen gehen verloren) · </w:t>
            </w:r>
            <w:r>
              <w:rPr>
                <w:b/>
                <w:sz w:val="19"/>
              </w:rPr>
              <w:t>C</w:t>
            </w:r>
            <w:r>
              <w:rPr>
                <w:sz w:val="19"/>
              </w:rPr>
              <w:t xml:space="preserve"> alles in einem Notebook ohne Zwischenstand</w:t>
            </w:r>
          </w:p>
        </w:tc>
      </w:tr>
      <w:tr>
        <w:trPr/>
        <w:tc>
          <w:tcPr>
            <w:tcW w:type="dxa" w:w="2512"/>
          </w:tcPr>
          <w:p>
            <w:pPr>
              <w:spacing w:after="0"/>
            </w:pPr>
            <w:r>
              <w:rPr>
                <w:sz w:val="19"/>
              </w:rPr>
              <w:t>Entscheidung + Begründung</w:t>
            </w:r>
          </w:p>
        </w:tc>
        <w:tc>
          <w:tcPr>
            <w:tcW w:type="dxa" w:w="6899"/>
          </w:tcPr>
          <w:p>
            <w:pPr>
              <w:spacing w:after="0"/>
            </w:pPr>
            <w:r>
              <w:rPr>
                <w:sz w:val="19"/>
              </w:rPr>
              <w:t>A (25.09.2026); getrennte Notebooks, weil bei Regeländerung nur N2 neu laufen muss</w:t>
            </w:r>
          </w:p>
        </w:tc>
      </w:tr>
      <w:tr>
        <w:trPr/>
        <w:tc>
          <w:tcPr>
            <w:tcW w:type="dxa" w:w="2512"/>
          </w:tcPr>
          <w:p>
            <w:pPr>
              <w:spacing w:after="0"/>
            </w:pPr>
            <w:r>
              <w:rPr>
                <w:sz w:val="19"/>
              </w:rPr>
              <w:t>Endergebnis</w:t>
            </w:r>
          </w:p>
        </w:tc>
        <w:tc>
          <w:tcPr>
            <w:tcW w:type="dxa" w:w="6899"/>
          </w:tcPr>
          <w:p>
            <w:pPr>
              <w:spacing w:after="0"/>
            </w:pPr>
            <w:r>
              <w:rPr>
                <w:sz w:val="19"/>
              </w:rPr>
              <w:t>Zwischenstand je Sensor; Datenmengen Befund E7</w:t>
            </w:r>
          </w:p>
        </w:tc>
      </w:tr>
      <w:tr>
        <w:trPr/>
        <w:tc>
          <w:tcPr>
            <w:tcW w:type="dxa" w:w="2512"/>
          </w:tcPr>
          <w:p>
            <w:pPr>
              <w:spacing w:after="0"/>
            </w:pPr>
            <w:r>
              <w:rPr>
                <w:sz w:val="19"/>
              </w:rPr>
              <w:t>Hinweise / Gefahren</w:t>
            </w:r>
          </w:p>
        </w:tc>
        <w:tc>
          <w:tcPr>
            <w:tcW w:type="dxa" w:w="6899"/>
          </w:tcPr>
          <w:p>
            <w:pPr>
              <w:spacing w:after="0"/>
            </w:pPr>
            <w:r>
              <w:rPr>
                <w:sz w:val="19"/>
              </w:rPr>
              <w:t>Zwischenstand ist ein Durchgangsordner, keine Ablage</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Übergabe zwischen Schritten in typisierten Formaten</w:t>
            </w:r>
          </w:p>
        </w:tc>
      </w:tr>
      <w:tr>
        <w:trPr/>
        <w:tc>
          <w:tcPr>
            <w:tcW w:type="dxa" w:w="2512"/>
          </w:tcPr>
          <w:p>
            <w:pPr>
              <w:spacing w:after="0"/>
            </w:pPr>
            <w:r>
              <w:rPr>
                <w:sz w:val="19"/>
              </w:rPr>
              <w:t>Verweise</w:t>
            </w:r>
          </w:p>
        </w:tc>
        <w:tc>
          <w:tcPr>
            <w:tcW w:type="dxa" w:w="6899"/>
          </w:tcPr>
          <w:p>
            <w:pPr>
              <w:spacing w:after="0"/>
            </w:pPr>
            <w:r>
              <w:rPr>
                <w:sz w:val="19"/>
              </w:rPr>
              <w:t>N1 Kap. 7 · E7</w:t>
            </w:r>
          </w:p>
        </w:tc>
      </w:tr>
      <w:tr>
        <w:trPr/>
        <w:tc>
          <w:tcPr>
            <w:tcW w:type="dxa" w:w="2512"/>
          </w:tcPr>
          <w:p>
            <w:pPr>
              <w:spacing w:after="0"/>
            </w:pPr>
            <w:r>
              <w:rPr>
                <w:sz w:val="19"/>
              </w:rPr>
              <w:t>Einfach erklärt</w:t>
            </w:r>
          </w:p>
        </w:tc>
        <w:tc>
          <w:tcPr>
            <w:tcW w:type="dxa" w:w="6899"/>
          </w:tcPr>
          <w:p>
            <w:pPr>
              <w:spacing w:after="0"/>
            </w:pPr>
            <w:r>
              <w:rPr>
                <w:sz w:val="19"/>
              </w:rPr>
              <w:t>Das Zwischenergebnis wird in einem Format gespeichert (Parquet), das Datum und Zahl als Datum und Zahl behält und kleiner ist als eine CSV-Datei – wie ein ordentlich beschrifteter Umzugskarton.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2.7 – Fachliche Plausibilität: Gewicht, Feuchte, Temperatur</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Welche Werte sind physikalisch oder fachlich unmöglich?</w:t>
            </w:r>
          </w:p>
        </w:tc>
      </w:tr>
      <w:tr>
        <w:trPr/>
        <w:tc>
          <w:tcPr>
            <w:tcW w:type="dxa" w:w="2512"/>
          </w:tcPr>
          <w:p>
            <w:pPr>
              <w:spacing w:after="0"/>
            </w:pPr>
            <w:r>
              <w:rPr>
                <w:sz w:val="19"/>
              </w:rPr>
              <w:t>Eigene Erwartung</w:t>
            </w:r>
          </w:p>
        </w:tc>
        <w:tc>
          <w:tcPr>
            <w:tcW w:type="dxa" w:w="6899"/>
          </w:tcPr>
          <w:p>
            <w:pPr>
              <w:spacing w:after="0"/>
            </w:pPr>
            <w:r>
              <w:rPr>
                <w:sz w:val="19"/>
              </w:rPr>
              <w:t>Stock mit Beute 30–90 kg; Luftfeuchte 0–100 %; Frost im Stock unwahrscheinlich</w:t>
            </w:r>
          </w:p>
        </w:tc>
      </w:tr>
      <w:tr>
        <w:trPr/>
        <w:tc>
          <w:tcPr>
            <w:tcW w:type="dxa" w:w="2512"/>
          </w:tcPr>
          <w:p>
            <w:pPr>
              <w:spacing w:after="0"/>
            </w:pPr>
            <w:r>
              <w:rPr>
                <w:sz w:val="19"/>
              </w:rPr>
              <w:t>Erwartung laut Recherche</w:t>
            </w:r>
          </w:p>
        </w:tc>
        <w:tc>
          <w:tcPr>
            <w:tcW w:type="dxa" w:w="6899"/>
          </w:tcPr>
          <w:p>
            <w:pPr>
              <w:spacing w:after="0"/>
            </w:pPr>
            <w:r>
              <w:rPr>
                <w:sz w:val="19"/>
              </w:rPr>
              <w:t>Wintertraube innen ca. 20–30 °C, Rand ca. 12 °C; Brutnest im Sommer 33–36 °C [T1–T3]</w:t>
            </w:r>
          </w:p>
        </w:tc>
      </w:tr>
      <w:tr>
        <w:trPr/>
        <w:tc>
          <w:tcPr>
            <w:tcW w:type="dxa" w:w="2512"/>
          </w:tcPr>
          <w:p>
            <w:pPr>
              <w:spacing w:after="0"/>
            </w:pPr>
            <w:r>
              <w:rPr>
                <w:sz w:val="19"/>
              </w:rPr>
              <w:t>Zwischenschritte</w:t>
            </w:r>
          </w:p>
        </w:tc>
        <w:tc>
          <w:tcPr>
            <w:tcW w:type="dxa" w:w="6899"/>
          </w:tcPr>
          <w:p>
            <w:pPr>
              <w:spacing w:after="0"/>
            </w:pPr>
            <w:r>
              <w:rPr>
                <w:sz w:val="19"/>
              </w:rPr>
              <w:t>1) weight &lt; 20 kg (R5) 2) humidity &lt; 0 % (R6) 3) temperature &lt; 0 °C prüfen (R7)</w:t>
            </w:r>
          </w:p>
        </w:tc>
      </w:tr>
      <w:tr>
        <w:trPr/>
        <w:tc>
          <w:tcPr>
            <w:tcW w:type="dxa" w:w="2512"/>
          </w:tcPr>
          <w:p>
            <w:pPr>
              <w:spacing w:after="0"/>
            </w:pPr>
            <w:r>
              <w:rPr>
                <w:sz w:val="19"/>
              </w:rPr>
              <w:t>Zwischenergebnis</w:t>
            </w:r>
          </w:p>
        </w:tc>
        <w:tc>
          <w:tcPr>
            <w:tcW w:type="dxa" w:w="6899"/>
          </w:tcPr>
          <w:p>
            <w:pPr>
              <w:spacing w:after="0"/>
            </w:pPr>
            <w:r>
              <w:rPr>
                <w:sz w:val="19"/>
              </w:rPr>
              <w:t>weight: 102 Werte &lt; 20 kg, alle im Zeitraum 28.04.–02.07.2018 (Schritt 5.1) · humidity: 31 Werte bis −100 % (Fehlercode) · temperature: 4.033 Werte &lt; 0 °C, im Sommer konstant 34–35 °C</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ungültig markieren (Wert leer, Grund in </w:t>
            </w:r>
            <w:r>
              <w:rPr>
                <w:rFonts w:ascii="Courier New" w:hAnsi="Courier New"/>
                <w:sz w:val="17"/>
              </w:rPr>
              <w:t>qualitaet</w:t>
            </w:r>
            <w:r>
              <w:rPr>
                <w:sz w:val="19"/>
              </w:rPr>
              <w:t xml:space="preserve">) · </w:t>
            </w:r>
            <w:r>
              <w:rPr>
                <w:b/>
                <w:sz w:val="19"/>
              </w:rPr>
              <w:t>B</w:t>
            </w:r>
            <w:r>
              <w:rPr>
                <w:sz w:val="19"/>
              </w:rPr>
              <w:t xml:space="preserve"> Zeilen löschen · </w:t>
            </w:r>
            <w:r>
              <w:rPr>
                <w:b/>
                <w:sz w:val="19"/>
              </w:rPr>
              <w:t>C</w:t>
            </w:r>
            <w:r>
              <w:rPr>
                <w:sz w:val="19"/>
              </w:rPr>
              <w:t xml:space="preserve"> auf Grenzwert setzen</w:t>
            </w:r>
          </w:p>
        </w:tc>
      </w:tr>
      <w:tr>
        <w:trPr/>
        <w:tc>
          <w:tcPr>
            <w:tcW w:type="dxa" w:w="2512"/>
          </w:tcPr>
          <w:p>
            <w:pPr>
              <w:spacing w:after="0"/>
            </w:pPr>
            <w:r>
              <w:rPr>
                <w:sz w:val="19"/>
              </w:rPr>
              <w:t>Entscheidung + Begründung</w:t>
            </w:r>
          </w:p>
        </w:tc>
        <w:tc>
          <w:tcPr>
            <w:tcW w:type="dxa" w:w="6899"/>
          </w:tcPr>
          <w:p>
            <w:pPr>
              <w:spacing w:after="0"/>
            </w:pPr>
            <w:r>
              <w:rPr>
                <w:sz w:val="19"/>
              </w:rPr>
              <w:t xml:space="preserve">A für R5/R6 (25.09.2026): nachvollziehbar, Regeln später änderbar; R7 Frost </w:t>
            </w:r>
            <w:r>
              <w:rPr>
                <w:b/>
                <w:sz w:val="19"/>
              </w:rPr>
              <w:t>behalten</w:t>
            </w:r>
            <w:r>
              <w:rPr>
                <w:sz w:val="19"/>
              </w:rPr>
              <w:t xml:space="preserve"> – außerhalb der Wintertraube kühlt der Stock stark ab (Rand ca. 12 °C [T3]); ein Sensor dort kann Frost messen, Löschen vernichtet echte Daten</w:t>
            </w:r>
          </w:p>
        </w:tc>
      </w:tr>
      <w:tr>
        <w:trPr/>
        <w:tc>
          <w:tcPr>
            <w:tcW w:type="dxa" w:w="2512"/>
          </w:tcPr>
          <w:p>
            <w:pPr>
              <w:spacing w:after="0"/>
            </w:pPr>
            <w:r>
              <w:rPr>
                <w:sz w:val="19"/>
              </w:rPr>
              <w:t>Endergebnis</w:t>
            </w:r>
          </w:p>
        </w:tc>
        <w:tc>
          <w:tcPr>
            <w:tcW w:type="dxa" w:w="6899"/>
          </w:tcPr>
          <w:p>
            <w:pPr>
              <w:spacing w:after="0"/>
            </w:pPr>
            <w:r>
              <w:rPr>
                <w:sz w:val="19"/>
              </w:rPr>
              <w:t>weight 1.647 ok · humidity 1.718 ok · temperature 251.398 ok (Stand nach N2, vor Schritt 5.1)</w:t>
            </w:r>
          </w:p>
        </w:tc>
      </w:tr>
      <w:tr>
        <w:trPr/>
        <w:tc>
          <w:tcPr>
            <w:tcW w:type="dxa" w:w="2512"/>
          </w:tcPr>
          <w:p>
            <w:pPr>
              <w:spacing w:after="0"/>
            </w:pPr>
            <w:r>
              <w:rPr>
                <w:sz w:val="19"/>
              </w:rPr>
              <w:t>Hinweise / Gefahren</w:t>
            </w:r>
          </w:p>
        </w:tc>
        <w:tc>
          <w:tcPr>
            <w:tcW w:type="dxa" w:w="6899"/>
          </w:tcPr>
          <w:p>
            <w:pPr>
              <w:spacing w:after="0"/>
            </w:pPr>
            <w:r>
              <w:rPr>
                <w:sz w:val="19"/>
              </w:rPr>
              <w:t xml:space="preserve">Befund E6: Temperatursensor misst </w:t>
            </w:r>
            <w:r>
              <w:rPr>
                <w:b/>
                <w:sz w:val="19"/>
              </w:rPr>
              <w:t>im</w:t>
            </w:r>
            <w:r>
              <w:rPr>
                <w:sz w:val="19"/>
              </w:rPr>
              <w:t xml:space="preserve"> Stock – für Wetterfragen ist er ungeeignet (→ Schritt 3.4)</w:t>
            </w:r>
          </w:p>
        </w:tc>
      </w:tr>
      <w:tr>
        <w:trPr/>
        <w:tc>
          <w:tcPr>
            <w:tcW w:type="dxa" w:w="2512"/>
          </w:tcPr>
          <w:p>
            <w:pPr>
              <w:spacing w:after="0"/>
            </w:pPr>
            <w:r>
              <w:rPr>
                <w:sz w:val="19"/>
              </w:rPr>
              <w:t>Klärung (Stand Abschluss)</w:t>
            </w:r>
          </w:p>
        </w:tc>
        <w:tc>
          <w:tcPr>
            <w:tcW w:type="dxa" w:w="6899"/>
          </w:tcPr>
          <w:p>
            <w:pPr>
              <w:spacing w:after="0"/>
            </w:pPr>
            <w:r>
              <w:rPr>
                <w:sz w:val="19"/>
              </w:rPr>
              <w:t xml:space="preserve">Gewicht-Grenze bei gestörtem Zeitraum (→ Schritt 5.1) → </w:t>
            </w:r>
            <w:r>
              <w:rPr>
                <w:b/>
                <w:sz w:val="19"/>
              </w:rPr>
              <w:t>Stand 05.10.2026:</w:t>
            </w:r>
            <w:r>
              <w:rPr>
                <w:sz w:val="19"/>
              </w:rPr>
              <w:t xml:space="preserve"> erledigt (R5a, 5.1)</w:t>
            </w:r>
          </w:p>
        </w:tc>
      </w:tr>
      <w:tr>
        <w:trPr/>
        <w:tc>
          <w:tcPr>
            <w:tcW w:type="dxa" w:w="2512"/>
          </w:tcPr>
          <w:p>
            <w:pPr>
              <w:spacing w:after="0"/>
            </w:pPr>
            <w:r>
              <w:rPr>
                <w:sz w:val="19"/>
              </w:rPr>
              <w:t>Für Agenten / ML</w:t>
            </w:r>
          </w:p>
        </w:tc>
        <w:tc>
          <w:tcPr>
            <w:tcW w:type="dxa" w:w="6899"/>
          </w:tcPr>
          <w:p>
            <w:pPr>
              <w:spacing w:after="0"/>
            </w:pPr>
            <w:r>
              <w:rPr>
                <w:sz w:val="19"/>
              </w:rPr>
              <w:t>Plausibilitätsgrenzen je Sensor als Konfiguration, nicht im Code verstecken</w:t>
            </w:r>
          </w:p>
        </w:tc>
      </w:tr>
      <w:tr>
        <w:trPr/>
        <w:tc>
          <w:tcPr>
            <w:tcW w:type="dxa" w:w="2512"/>
          </w:tcPr>
          <w:p>
            <w:pPr>
              <w:spacing w:after="0"/>
            </w:pPr>
            <w:r>
              <w:rPr>
                <w:sz w:val="19"/>
              </w:rPr>
              <w:t>Verweise</w:t>
            </w:r>
          </w:p>
        </w:tc>
        <w:tc>
          <w:tcPr>
            <w:tcW w:type="dxa" w:w="6899"/>
          </w:tcPr>
          <w:p>
            <w:pPr>
              <w:spacing w:after="0"/>
            </w:pPr>
            <w:r>
              <w:rPr>
                <w:sz w:val="19"/>
              </w:rPr>
              <w:t>N2 Kap. 3–5 · R5–R7, E6</w:t>
            </w:r>
          </w:p>
        </w:tc>
      </w:tr>
      <w:tr>
        <w:trPr/>
        <w:tc>
          <w:tcPr>
            <w:tcW w:type="dxa" w:w="2512"/>
          </w:tcPr>
          <w:p>
            <w:pPr>
              <w:spacing w:after="0"/>
            </w:pPr>
            <w:r>
              <w:rPr>
                <w:sz w:val="19"/>
              </w:rPr>
              <w:t>Einfach erklärt</w:t>
            </w:r>
          </w:p>
        </w:tc>
        <w:tc>
          <w:tcPr>
            <w:tcW w:type="dxa" w:w="6899"/>
          </w:tcPr>
          <w:p>
            <w:pPr>
              <w:spacing w:after="0"/>
            </w:pPr>
            <w:r>
              <w:rPr>
                <w:sz w:val="19"/>
              </w:rPr>
              <w:t>Manche Werte können nicht stimmen: ein Bienenstock mit 0 kg oder eine Luftfeuchte von −100 %. Solche Werte werden als ungültig markiert, aber nicht gelöscht – man kann später nachvollziehen, warum.</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2.8 – flow in Ausflug und Einflug trennen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Warum hat flow doppelt so viele Zeilen und Werte von −631 bis 7.999?</w:t>
            </w:r>
          </w:p>
        </w:tc>
      </w:tr>
      <w:tr>
        <w:trPr/>
        <w:tc>
          <w:tcPr>
            <w:tcW w:type="dxa" w:w="2512"/>
          </w:tcPr>
          <w:p>
            <w:pPr>
              <w:spacing w:after="0"/>
            </w:pPr>
            <w:r>
              <w:rPr>
                <w:sz w:val="19"/>
              </w:rPr>
              <w:t>Eigene Erwartung</w:t>
            </w:r>
          </w:p>
        </w:tc>
        <w:tc>
          <w:tcPr>
            <w:tcW w:type="dxa" w:w="6899"/>
          </w:tcPr>
          <w:p>
            <w:pPr>
              <w:spacing w:after="0"/>
            </w:pPr>
            <w:r>
              <w:rPr>
                <w:sz w:val="19"/>
              </w:rPr>
              <w:t>Eine Messreihe</w:t>
            </w:r>
          </w:p>
        </w:tc>
      </w:tr>
      <w:tr>
        <w:trPr/>
        <w:tc>
          <w:tcPr>
            <w:tcW w:type="dxa" w:w="2512"/>
          </w:tcPr>
          <w:p>
            <w:pPr>
              <w:spacing w:after="0"/>
            </w:pPr>
            <w:r>
              <w:rPr>
                <w:sz w:val="19"/>
              </w:rPr>
              <w:t>Erwartung laut Recherche</w:t>
            </w:r>
          </w:p>
        </w:tc>
        <w:tc>
          <w:tcPr>
            <w:tcW w:type="dxa" w:w="6899"/>
          </w:tcPr>
          <w:p>
            <w:pPr>
              <w:spacing w:after="0"/>
            </w:pPr>
            <w:r>
              <w:rPr>
                <w:sz w:val="19"/>
              </w:rPr>
              <w:t>Datensatz-Beschreibung (Kaggle/HOBOS): „Eine positive Zahl steht für die Anzahl der Ankünfte, eine negative für die Anzahl der Abflüge“; beide Werte haben denselben Zeitstempel</w:t>
            </w:r>
          </w:p>
        </w:tc>
      </w:tr>
      <w:tr>
        <w:trPr/>
        <w:tc>
          <w:tcPr>
            <w:tcW w:type="dxa" w:w="2512"/>
          </w:tcPr>
          <w:p>
            <w:pPr>
              <w:spacing w:after="0"/>
            </w:pPr>
            <w:r>
              <w:rPr>
                <w:sz w:val="19"/>
              </w:rPr>
              <w:t>Zwischenschritte</w:t>
            </w:r>
          </w:p>
        </w:tc>
        <w:tc>
          <w:tcPr>
            <w:tcW w:type="dxa" w:w="6899"/>
          </w:tcPr>
          <w:p>
            <w:pPr>
              <w:spacing w:after="0"/>
            </w:pPr>
            <w:r>
              <w:rPr>
                <w:sz w:val="19"/>
              </w:rPr>
              <w:t>1) Zeitsprung zurück finden (Zeile 1.256.918) 2) Reihe 0 (−631…0) und Reihe 1 (0…7.999) trennen 3) über die UTC-Zeit nebeneinanderstellen</w:t>
            </w:r>
          </w:p>
        </w:tc>
      </w:tr>
      <w:tr>
        <w:trPr/>
        <w:tc>
          <w:tcPr>
            <w:tcW w:type="dxa" w:w="2512"/>
          </w:tcPr>
          <w:p>
            <w:pPr>
              <w:spacing w:after="0"/>
            </w:pPr>
            <w:r>
              <w:rPr>
                <w:sz w:val="19"/>
              </w:rPr>
              <w:t>Zwischenergebnis</w:t>
            </w:r>
          </w:p>
        </w:tc>
        <w:tc>
          <w:tcPr>
            <w:tcW w:type="dxa" w:w="6899"/>
          </w:tcPr>
          <w:p>
            <w:pPr>
              <w:spacing w:after="0"/>
            </w:pPr>
            <w:r>
              <w:rPr>
                <w:sz w:val="19"/>
              </w:rPr>
              <w:t>Beide Reihen haben 1.256.918 Minuten; alle mit beiden Werten. Kursleitung teilt in der Mitte (</w:t>
            </w:r>
            <w:r>
              <w:rPr>
                <w:rFonts w:ascii="Courier New" w:hAnsi="Courier New"/>
                <w:sz w:val="17"/>
              </w:rPr>
              <w:t>len // 2</w:t>
            </w:r>
            <w:r>
              <w:rPr>
                <w:sz w:val="19"/>
              </w:rPr>
              <w:t>) – gleiches Ergebnis</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Trennung am Zeitsprung (robust, auch bei ungleich langen Reihen) · </w:t>
            </w:r>
            <w:r>
              <w:rPr>
                <w:b/>
                <w:sz w:val="19"/>
              </w:rPr>
              <w:t>B</w:t>
            </w:r>
            <w:r>
              <w:rPr>
                <w:sz w:val="19"/>
              </w:rPr>
              <w:t xml:space="preserve"> Teilung in der Mitte (einfach, setzt gleiche Länge voraus)</w:t>
            </w:r>
          </w:p>
        </w:tc>
      </w:tr>
      <w:tr>
        <w:trPr/>
        <w:tc>
          <w:tcPr>
            <w:tcW w:type="dxa" w:w="2512"/>
          </w:tcPr>
          <w:p>
            <w:pPr>
              <w:spacing w:after="0"/>
            </w:pPr>
            <w:r>
              <w:rPr>
                <w:sz w:val="19"/>
              </w:rPr>
              <w:t>Entscheidung + Begründung</w:t>
            </w:r>
          </w:p>
        </w:tc>
        <w:tc>
          <w:tcPr>
            <w:tcW w:type="dxa" w:w="6899"/>
          </w:tcPr>
          <w:p>
            <w:pPr>
              <w:spacing w:after="0"/>
            </w:pPr>
            <w:r>
              <w:rPr>
                <w:sz w:val="19"/>
              </w:rPr>
              <w:t>A (25.09.2026); Weg B als Gegenprobe (P2)</w:t>
            </w:r>
          </w:p>
        </w:tc>
      </w:tr>
      <w:tr>
        <w:trPr/>
        <w:tc>
          <w:tcPr>
            <w:tcW w:type="dxa" w:w="2512"/>
          </w:tcPr>
          <w:p>
            <w:pPr>
              <w:spacing w:after="0"/>
            </w:pPr>
            <w:r>
              <w:rPr>
                <w:sz w:val="19"/>
              </w:rPr>
              <w:t>Endergebnis</w:t>
            </w:r>
          </w:p>
        </w:tc>
        <w:tc>
          <w:tcPr>
            <w:tcW w:type="dxa" w:w="6899"/>
          </w:tcPr>
          <w:p>
            <w:pPr>
              <w:spacing w:after="0"/>
            </w:pPr>
            <w:r>
              <w:rPr>
                <w:sz w:val="19"/>
              </w:rPr>
              <w:t xml:space="preserve">Spalten </w:t>
            </w:r>
            <w:r>
              <w:rPr>
                <w:rFonts w:ascii="Courier New" w:hAnsi="Courier New"/>
                <w:sz w:val="17"/>
              </w:rPr>
              <w:t>flow_aus</w:t>
            </w:r>
            <w:r>
              <w:rPr>
                <w:sz w:val="19"/>
              </w:rPr>
              <w:t xml:space="preserve"> (Reihe 0) und </w:t>
            </w:r>
            <w:r>
              <w:rPr>
                <w:rFonts w:ascii="Courier New" w:hAnsi="Courier New"/>
                <w:sz w:val="17"/>
              </w:rPr>
              <w:t>flow_ein</w:t>
            </w:r>
            <w:r>
              <w:rPr>
                <w:sz w:val="19"/>
              </w:rPr>
              <w:t xml:space="preserve"> (Reihe 1)</w:t>
            </w:r>
          </w:p>
        </w:tc>
      </w:tr>
      <w:tr>
        <w:trPr/>
        <w:tc>
          <w:tcPr>
            <w:tcW w:type="dxa" w:w="2512"/>
          </w:tcPr>
          <w:p>
            <w:pPr>
              <w:spacing w:after="0"/>
            </w:pPr>
            <w:r>
              <w:rPr>
                <w:sz w:val="19"/>
              </w:rPr>
              <w:t>Hinweise / Gefahren</w:t>
            </w:r>
          </w:p>
        </w:tc>
        <w:tc>
          <w:tcPr>
            <w:tcW w:type="dxa" w:w="6899"/>
          </w:tcPr>
          <w:p>
            <w:pPr>
              <w:spacing w:after="0"/>
            </w:pPr>
            <w:r>
              <w:rPr>
                <w:b/>
                <w:sz w:val="19"/>
              </w:rPr>
              <w:t>Zuordnung belegt (30.09.2026):</w:t>
            </w:r>
            <w:r>
              <w:rPr>
                <w:sz w:val="19"/>
              </w:rPr>
              <w:t xml:space="preserve"> negativ = Abflug (</w:t>
            </w:r>
            <w:r>
              <w:rPr>
                <w:rFonts w:ascii="Courier New" w:hAnsi="Courier New"/>
                <w:sz w:val="17"/>
              </w:rPr>
              <w:t>flow_aus</w:t>
            </w:r>
            <w:r>
              <w:rPr>
                <w:sz w:val="19"/>
              </w:rPr>
              <w:t>), positiv = Ankunft (</w:t>
            </w:r>
            <w:r>
              <w:rPr>
                <w:rFonts w:ascii="Courier New" w:hAnsi="Courier New"/>
                <w:sz w:val="17"/>
              </w:rPr>
              <w:t>flow_ein</w:t>
            </w:r>
            <w:r>
              <w:rPr>
                <w:sz w:val="19"/>
              </w:rPr>
              <w:t xml:space="preserve">). </w:t>
            </w:r>
            <w:r>
              <w:rPr>
                <w:b/>
                <w:sz w:val="19"/>
              </w:rPr>
              <w:t>Abweichung Kurs-Notebook 04:</w:t>
            </w:r>
            <w:r>
              <w:rPr>
                <w:sz w:val="19"/>
              </w:rPr>
              <w:t xml:space="preserve"> dort negativ = </w:t>
            </w:r>
            <w:r>
              <w:rPr>
                <w:rFonts w:ascii="Courier New" w:hAnsi="Courier New"/>
                <w:sz w:val="17"/>
              </w:rPr>
              <w:t>flow_in</w:t>
            </w:r>
            <w:r>
              <w:rPr>
                <w:sz w:val="19"/>
              </w:rPr>
              <w:t xml:space="preserve"> – nach der Datensatz-Beschreibung umgekehrt. Würzburg liegt nicht sauber in zwei Reihen untereinander → für mehrere Standorte nach Vorzeichen trennen (Schritt 5.9)</w:t>
            </w:r>
          </w:p>
        </w:tc>
      </w:tr>
      <w:tr>
        <w:trPr/>
        <w:tc>
          <w:tcPr>
            <w:tcW w:type="dxa" w:w="2512"/>
          </w:tcPr>
          <w:p>
            <w:pPr>
              <w:spacing w:after="0"/>
            </w:pPr>
            <w:r>
              <w:rPr>
                <w:sz w:val="19"/>
              </w:rPr>
              <w:t>Klärung (Stand Abschluss)</w:t>
            </w:r>
          </w:p>
        </w:tc>
        <w:tc>
          <w:tcPr>
            <w:tcW w:type="dxa" w:w="6899"/>
          </w:tcPr>
          <w:p>
            <w:pPr>
              <w:spacing w:after="0"/>
            </w:pPr>
            <w:r>
              <w:rPr>
                <w:sz w:val="19"/>
              </w:rPr>
              <w:t>– (F1 erledigt)</w:t>
            </w:r>
          </w:p>
        </w:tc>
      </w:tr>
      <w:tr>
        <w:trPr/>
        <w:tc>
          <w:tcPr>
            <w:tcW w:type="dxa" w:w="2512"/>
          </w:tcPr>
          <w:p>
            <w:pPr>
              <w:spacing w:after="0"/>
            </w:pPr>
            <w:r>
              <w:rPr>
                <w:sz w:val="19"/>
              </w:rPr>
              <w:t>Für Agenten / ML</w:t>
            </w:r>
          </w:p>
        </w:tc>
        <w:tc>
          <w:tcPr>
            <w:tcW w:type="dxa" w:w="6899"/>
          </w:tcPr>
          <w:p>
            <w:pPr>
              <w:spacing w:after="0"/>
            </w:pPr>
            <w:r>
              <w:rPr>
                <w:sz w:val="19"/>
              </w:rPr>
              <w:t>Annahmen kennzeichnen und mit der Quellbeschreibung belegen, bevor Merkmale darauf aufbauen</w:t>
            </w:r>
          </w:p>
        </w:tc>
      </w:tr>
      <w:tr>
        <w:trPr/>
        <w:tc>
          <w:tcPr>
            <w:tcW w:type="dxa" w:w="2512"/>
          </w:tcPr>
          <w:p>
            <w:pPr>
              <w:spacing w:after="0"/>
            </w:pPr>
            <w:r>
              <w:rPr>
                <w:sz w:val="19"/>
              </w:rPr>
              <w:t>Verweise</w:t>
            </w:r>
          </w:p>
        </w:tc>
        <w:tc>
          <w:tcPr>
            <w:tcW w:type="dxa" w:w="6899"/>
          </w:tcPr>
          <w:p>
            <w:pPr>
              <w:spacing w:after="0"/>
            </w:pPr>
            <w:r>
              <w:rPr>
                <w:sz w:val="19"/>
              </w:rPr>
              <w:t>N2 Kap. 6 · R8, P2 · Idee I49, I52</w:t>
            </w:r>
          </w:p>
        </w:tc>
      </w:tr>
      <w:tr>
        <w:trPr/>
        <w:tc>
          <w:tcPr>
            <w:tcW w:type="dxa" w:w="2512"/>
          </w:tcPr>
          <w:p>
            <w:pPr>
              <w:spacing w:after="0"/>
            </w:pPr>
            <w:r>
              <w:rPr>
                <w:sz w:val="19"/>
              </w:rPr>
              <w:t>Einfach erklärt</w:t>
            </w:r>
          </w:p>
        </w:tc>
        <w:tc>
          <w:tcPr>
            <w:tcW w:type="dxa" w:w="6899"/>
          </w:tcPr>
          <w:p>
            <w:pPr>
              <w:spacing w:after="0"/>
            </w:pPr>
            <w:r>
              <w:rPr>
                <w:sz w:val="19"/>
              </w:rPr>
              <w:t xml:space="preserve">Am Flugloch zählt ein Sensor jede Minute, wie viele Bienen rein- und rausfliegen. Ein </w:t>
            </w:r>
            <w:r>
              <w:rPr>
                <w:b/>
                <w:sz w:val="19"/>
              </w:rPr>
              <w:t>Plus</w:t>
            </w:r>
            <w:r>
              <w:rPr>
                <w:sz w:val="19"/>
              </w:rPr>
              <w:t xml:space="preserve"> heißt „Bienen kommen heim“, ein </w:t>
            </w:r>
            <w:r>
              <w:rPr>
                <w:b/>
                <w:sz w:val="19"/>
              </w:rPr>
              <w:t>Minus</w:t>
            </w:r>
            <w:r>
              <w:rPr>
                <w:sz w:val="19"/>
              </w:rPr>
              <w:t xml:space="preserve"> „Bienen fliegen aus“. Beide Zahlen standen in der Datei untereinander statt nebeneinander – deshalb werden sie in zwei Spalten getrennt.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2.9 – Bereinigte Daten speichern (silver/cleaned)</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In welchem Format und mit welchem Namen landen die bereinigten Daten?</w:t>
            </w:r>
          </w:p>
        </w:tc>
      </w:tr>
      <w:tr>
        <w:trPr/>
        <w:tc>
          <w:tcPr>
            <w:tcW w:type="dxa" w:w="2512"/>
          </w:tcPr>
          <w:p>
            <w:pPr>
              <w:spacing w:after="0"/>
            </w:pPr>
            <w:r>
              <w:rPr>
                <w:sz w:val="19"/>
              </w:rPr>
              <w:t>Eigene Erwartung</w:t>
            </w:r>
          </w:p>
        </w:tc>
        <w:tc>
          <w:tcPr>
            <w:tcW w:type="dxa" w:w="6899"/>
          </w:tcPr>
          <w:p>
            <w:pPr>
              <w:spacing w:after="0"/>
            </w:pPr>
            <w:r>
              <w:rPr>
                <w:sz w:val="19"/>
              </w:rPr>
              <w:t>Kleiner als die Rohdaten</w:t>
            </w:r>
          </w:p>
        </w:tc>
      </w:tr>
      <w:tr>
        <w:trPr/>
        <w:tc>
          <w:tcPr>
            <w:tcW w:type="dxa" w:w="2512"/>
          </w:tcPr>
          <w:p>
            <w:pPr>
              <w:spacing w:after="0"/>
            </w:pPr>
            <w:r>
              <w:rPr>
                <w:sz w:val="19"/>
              </w:rPr>
              <w:t>Erwartung laut Recherche</w:t>
            </w:r>
          </w:p>
        </w:tc>
        <w:tc>
          <w:tcPr>
            <w:tcW w:type="dxa" w:w="6899"/>
          </w:tcPr>
          <w:p>
            <w:pPr>
              <w:spacing w:after="0"/>
            </w:pPr>
            <w:r>
              <w:rPr>
                <w:sz w:val="19"/>
              </w:rPr>
              <w:t>Zusätzliche Spalten (Qualität, UTC) vergrößern CSV</w:t>
            </w:r>
          </w:p>
        </w:tc>
      </w:tr>
      <w:tr>
        <w:trPr/>
        <w:tc>
          <w:tcPr>
            <w:tcW w:type="dxa" w:w="2512"/>
          </w:tcPr>
          <w:p>
            <w:pPr>
              <w:spacing w:after="0"/>
            </w:pPr>
            <w:r>
              <w:rPr>
                <w:sz w:val="19"/>
              </w:rPr>
              <w:t>Zwischenschritte</w:t>
            </w:r>
          </w:p>
        </w:tc>
        <w:tc>
          <w:tcPr>
            <w:tcW w:type="dxa" w:w="6899"/>
          </w:tcPr>
          <w:p>
            <w:pPr>
              <w:spacing w:after="0"/>
            </w:pPr>
            <w:r>
              <w:rPr>
                <w:sz w:val="19"/>
              </w:rPr>
              <w:t>1) Zeitstempel UTC erzeugen 2) je Stadt/Sensor speichern 3) Zeilenzahl vorher/nachher prüfen</w:t>
            </w:r>
          </w:p>
        </w:tc>
      </w:tr>
      <w:tr>
        <w:trPr/>
        <w:tc>
          <w:tcPr>
            <w:tcW w:type="dxa" w:w="2512"/>
          </w:tcPr>
          <w:p>
            <w:pPr>
              <w:spacing w:after="0"/>
            </w:pPr>
            <w:r>
              <w:rPr>
                <w:sz w:val="19"/>
              </w:rPr>
              <w:t>Zwischenergebnis</w:t>
            </w:r>
          </w:p>
        </w:tc>
        <w:tc>
          <w:tcPr>
            <w:tcW w:type="dxa" w:w="6899"/>
          </w:tcPr>
          <w:p>
            <w:pPr>
              <w:spacing w:after="0"/>
            </w:pPr>
            <w:r>
              <w:rPr>
                <w:sz w:val="19"/>
              </w:rPr>
              <w:t>Frage aus dem Unterricht: „Warum ist die bereinigte CSV größer?“ → Silver 82 MB (CSV) gegenüber 64 MB Rohdaten, weil mehr Spalten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CSV (lesbar, wie Vorgabe) · </w:t>
            </w:r>
            <w:r>
              <w:rPr>
                <w:b/>
                <w:sz w:val="19"/>
              </w:rPr>
              <w:t>B</w:t>
            </w:r>
            <w:r>
              <w:rPr>
                <w:sz w:val="19"/>
              </w:rPr>
              <w:t xml:space="preserve"> Parquet (kleiner, Typen bleiben – siehe Schritt 5.2)</w:t>
            </w:r>
          </w:p>
        </w:tc>
      </w:tr>
      <w:tr>
        <w:trPr/>
        <w:tc>
          <w:tcPr>
            <w:tcW w:type="dxa" w:w="2512"/>
          </w:tcPr>
          <w:p>
            <w:pPr>
              <w:spacing w:after="0"/>
            </w:pPr>
            <w:r>
              <w:rPr>
                <w:sz w:val="19"/>
              </w:rPr>
              <w:t>Entscheidung + Begründung</w:t>
            </w:r>
          </w:p>
        </w:tc>
        <w:tc>
          <w:tcPr>
            <w:tcW w:type="dxa" w:w="6899"/>
          </w:tcPr>
          <w:p>
            <w:pPr>
              <w:spacing w:after="0"/>
            </w:pPr>
            <w:r>
              <w:rPr>
                <w:sz w:val="19"/>
              </w:rPr>
              <w:t>A vorerst (25.09.2026); Umstellung für den Azure-Betrieb nach Z1 vorgesehen</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silver/cleaned/schwartau/&lt;sensor&gt;/&lt;sensor&gt;_schwartau_cleaned__&lt;UTC&gt;.csv</w:t>
            </w:r>
            <w:r>
              <w:rPr>
                <w:sz w:val="19"/>
              </w:rPr>
              <w:t>; Kontrollwerte erfüllt</w:t>
            </w:r>
          </w:p>
        </w:tc>
      </w:tr>
      <w:tr>
        <w:trPr/>
        <w:tc>
          <w:tcPr>
            <w:tcW w:type="dxa" w:w="2512"/>
          </w:tcPr>
          <w:p>
            <w:pPr>
              <w:spacing w:after="0"/>
            </w:pPr>
            <w:r>
              <w:rPr>
                <w:sz w:val="19"/>
              </w:rPr>
              <w:t>Hinweise / Gefahren</w:t>
            </w:r>
          </w:p>
        </w:tc>
        <w:tc>
          <w:tcPr>
            <w:tcW w:type="dxa" w:w="6899"/>
          </w:tcPr>
          <w:p>
            <w:pPr>
              <w:spacing w:after="0"/>
            </w:pPr>
            <w:r>
              <w:rPr>
                <w:sz w:val="19"/>
              </w:rPr>
              <w:t xml:space="preserve">Nie in </w:t>
            </w:r>
            <w:r>
              <w:rPr>
                <w:rFonts w:ascii="Courier New" w:hAnsi="Courier New"/>
                <w:sz w:val="17"/>
              </w:rPr>
              <w:t>processing</w:t>
            </w:r>
            <w:r>
              <w:rPr>
                <w:sz w:val="19"/>
              </w:rPr>
              <w:t xml:space="preserve"> schreiben</w:t>
            </w:r>
          </w:p>
        </w:tc>
      </w:tr>
      <w:tr>
        <w:trPr/>
        <w:tc>
          <w:tcPr>
            <w:tcW w:type="dxa" w:w="2512"/>
          </w:tcPr>
          <w:p>
            <w:pPr>
              <w:spacing w:after="0"/>
            </w:pPr>
            <w:r>
              <w:rPr>
                <w:sz w:val="19"/>
              </w:rPr>
              <w:t>Klärung (Stand Abschluss)</w:t>
            </w:r>
          </w:p>
        </w:tc>
        <w:tc>
          <w:tcPr>
            <w:tcW w:type="dxa" w:w="6899"/>
          </w:tcPr>
          <w:p>
            <w:pPr>
              <w:spacing w:after="0"/>
            </w:pPr>
            <w:r>
              <w:rPr>
                <w:sz w:val="19"/>
              </w:rPr>
              <w:t xml:space="preserve">Kosten je Stufe mit Preisrechner beziffern (E7) → </w:t>
            </w:r>
            <w:r>
              <w:rPr>
                <w:b/>
                <w:sz w:val="19"/>
              </w:rPr>
              <w:t>Stand 05.10.2026:</w:t>
            </w:r>
            <w:r>
              <w:rPr>
                <w:sz w:val="19"/>
              </w:rPr>
              <w:t xml:space="preserve"> erledigt (Ist-Kosten 1,02 €, Kap. 8.8)</w:t>
            </w:r>
          </w:p>
        </w:tc>
      </w:tr>
      <w:tr>
        <w:trPr/>
        <w:tc>
          <w:tcPr>
            <w:tcW w:type="dxa" w:w="2512"/>
          </w:tcPr>
          <w:p>
            <w:pPr>
              <w:spacing w:after="0"/>
            </w:pPr>
            <w:r>
              <w:rPr>
                <w:sz w:val="19"/>
              </w:rPr>
              <w:t>Für Agenten / ML</w:t>
            </w:r>
          </w:p>
        </w:tc>
        <w:tc>
          <w:tcPr>
            <w:tcW w:type="dxa" w:w="6899"/>
          </w:tcPr>
          <w:p>
            <w:pPr>
              <w:spacing w:after="0"/>
            </w:pPr>
            <w:r>
              <w:rPr>
                <w:sz w:val="19"/>
              </w:rPr>
              <w:t>Dateiname enthält Version (UTC) – Trainingsdaten eindeutig referenzierbar</w:t>
            </w:r>
          </w:p>
        </w:tc>
      </w:tr>
      <w:tr>
        <w:trPr/>
        <w:tc>
          <w:tcPr>
            <w:tcW w:type="dxa" w:w="2512"/>
          </w:tcPr>
          <w:p>
            <w:pPr>
              <w:spacing w:after="0"/>
            </w:pPr>
            <w:r>
              <w:rPr>
                <w:sz w:val="19"/>
              </w:rPr>
              <w:t>Verweise</w:t>
            </w:r>
          </w:p>
        </w:tc>
        <w:tc>
          <w:tcPr>
            <w:tcW w:type="dxa" w:w="6899"/>
          </w:tcPr>
          <w:p>
            <w:pPr>
              <w:spacing w:after="0"/>
            </w:pPr>
            <w:r>
              <w:rPr>
                <w:sz w:val="19"/>
              </w:rPr>
              <w:t>N2 Kap. 7 · E7</w:t>
            </w:r>
          </w:p>
        </w:tc>
      </w:tr>
      <w:tr>
        <w:trPr/>
        <w:tc>
          <w:tcPr>
            <w:tcW w:type="dxa" w:w="2512"/>
          </w:tcPr>
          <w:p>
            <w:pPr>
              <w:spacing w:after="0"/>
            </w:pPr>
            <w:r>
              <w:rPr>
                <w:sz w:val="19"/>
              </w:rPr>
              <w:t>Einfach erklärt</w:t>
            </w:r>
          </w:p>
        </w:tc>
        <w:tc>
          <w:tcPr>
            <w:tcW w:type="dxa" w:w="6899"/>
          </w:tcPr>
          <w:p>
            <w:pPr>
              <w:spacing w:after="0"/>
            </w:pPr>
            <w:r>
              <w:rPr>
                <w:sz w:val="19"/>
              </w:rPr>
              <w:t>Die bereinigten Daten bekommen einen festen Platz und einen Namen mit Zeitstempel. So ist jede Bereinigung ein eigener, nachvollziehbarer Stand.</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2.10 – Erste Analyse und Gold-Vorschau (F1–F3)</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Was sagen die Daten? Welche Kennzahlen gehören nach Gold?</w:t>
            </w:r>
          </w:p>
        </w:tc>
      </w:tr>
      <w:tr>
        <w:trPr/>
        <w:tc>
          <w:tcPr>
            <w:tcW w:type="dxa" w:w="2512"/>
          </w:tcPr>
          <w:p>
            <w:pPr>
              <w:spacing w:after="0"/>
            </w:pPr>
            <w:r>
              <w:rPr>
                <w:sz w:val="19"/>
              </w:rPr>
              <w:t>Eigene Erwartung</w:t>
            </w:r>
          </w:p>
        </w:tc>
        <w:tc>
          <w:tcPr>
            <w:tcW w:type="dxa" w:w="6899"/>
          </w:tcPr>
          <w:p>
            <w:pPr>
              <w:spacing w:after="0"/>
            </w:pPr>
            <w:r>
              <w:rPr>
                <w:sz w:val="19"/>
              </w:rPr>
              <w:t>F1 Zunahme im Sommer, Abfall bei Ernte · F2 Flug Mai–August · F3 positiver Zusammenhang Temperatur/Flug</w:t>
            </w:r>
          </w:p>
        </w:tc>
      </w:tr>
      <w:tr>
        <w:trPr/>
        <w:tc>
          <w:tcPr>
            <w:tcW w:type="dxa" w:w="2512"/>
          </w:tcPr>
          <w:p>
            <w:pPr>
              <w:spacing w:after="0"/>
            </w:pPr>
            <w:r>
              <w:rPr>
                <w:sz w:val="19"/>
              </w:rPr>
              <w:t>Erwartung laut Recherche</w:t>
            </w:r>
          </w:p>
        </w:tc>
        <w:tc>
          <w:tcPr>
            <w:tcW w:type="dxa" w:w="6899"/>
          </w:tcPr>
          <w:p>
            <w:pPr>
              <w:spacing w:after="0"/>
            </w:pPr>
            <w:r>
              <w:rPr>
                <w:sz w:val="19"/>
              </w:rPr>
              <w:t>Spitzentage 4–10 kg Zunahme [R1]; Winterverbrauch einige hundert Gramm bis mehrere kg je Monat [R2]; Flug bei 10–40 °C, am wirksamsten 20–30 °C [R3]; Temperatur + Strahlung erklären 78 % der Flugaktivität [R4]</w:t>
            </w:r>
          </w:p>
        </w:tc>
      </w:tr>
      <w:tr>
        <w:trPr/>
        <w:tc>
          <w:tcPr>
            <w:tcW w:type="dxa" w:w="2512"/>
          </w:tcPr>
          <w:p>
            <w:pPr>
              <w:spacing w:after="0"/>
            </w:pPr>
            <w:r>
              <w:rPr>
                <w:sz w:val="19"/>
              </w:rPr>
              <w:t>Zwischenschritte</w:t>
            </w:r>
          </w:p>
        </w:tc>
        <w:tc>
          <w:tcPr>
            <w:tcW w:type="dxa" w:w="6899"/>
          </w:tcPr>
          <w:p>
            <w:pPr>
              <w:spacing w:after="0"/>
            </w:pPr>
            <w:r>
              <w:rPr>
                <w:sz w:val="19"/>
              </w:rPr>
              <w:t>1) Tageswerte je Sensor 2) Grafiken F1–F3 3) Korrelation nach Pearson</w:t>
            </w:r>
          </w:p>
        </w:tc>
      </w:tr>
      <w:tr>
        <w:trPr/>
        <w:tc>
          <w:tcPr>
            <w:tcW w:type="dxa" w:w="2512"/>
          </w:tcPr>
          <w:p>
            <w:pPr>
              <w:spacing w:after="0"/>
            </w:pPr>
            <w:r>
              <w:rPr>
                <w:sz w:val="19"/>
              </w:rPr>
              <w:t>Zwischenergebnis</w:t>
            </w:r>
          </w:p>
        </w:tc>
        <w:tc>
          <w:tcPr>
            <w:tcW w:type="dxa" w:w="6899"/>
          </w:tcPr>
          <w:p>
            <w:pPr>
              <w:spacing w:after="0"/>
            </w:pPr>
            <w:r>
              <w:rPr>
                <w:sz w:val="19"/>
              </w:rPr>
              <w:t>Stocktemperatur r = 0,64 mit Einflug, aber fast konstant 35 °C im Sommer → sie zeigt die Brutsaison, nicht das Wetter (E6)</w:t>
            </w:r>
          </w:p>
        </w:tc>
      </w:tr>
      <w:tr>
        <w:trPr/>
        <w:tc>
          <w:tcPr>
            <w:tcW w:type="dxa" w:w="2512"/>
          </w:tcPr>
          <w:p>
            <w:pPr>
              <w:spacing w:after="0"/>
            </w:pPr>
            <w:r>
              <w:rPr>
                <w:sz w:val="19"/>
              </w:rPr>
              <w:t>Lösungswege</w:t>
            </w:r>
          </w:p>
        </w:tc>
        <w:tc>
          <w:tcPr>
            <w:tcW w:type="dxa" w:w="6899"/>
          </w:tcPr>
          <w:p>
            <w:pPr>
              <w:spacing w:after="0"/>
            </w:pPr>
            <w:r>
              <w:rPr>
                <w:sz w:val="19"/>
              </w:rPr>
              <w:t xml:space="preserve">Temperatur für F3: </w:t>
            </w:r>
            <w:r>
              <w:rPr>
                <w:b/>
                <w:sz w:val="19"/>
              </w:rPr>
              <w:t>A</w:t>
            </w:r>
            <w:r>
              <w:rPr>
                <w:sz w:val="19"/>
              </w:rPr>
              <w:t xml:space="preserve"> Stocktemperatur (vorhanden) · </w:t>
            </w:r>
            <w:r>
              <w:rPr>
                <w:b/>
                <w:sz w:val="19"/>
              </w:rPr>
              <w:t>B</w:t>
            </w:r>
            <w:r>
              <w:rPr>
                <w:sz w:val="19"/>
              </w:rPr>
              <w:t xml:space="preserve"> Außentemperatur aus Wetterdaten (zusätzliche Quelle)</w:t>
            </w:r>
          </w:p>
        </w:tc>
      </w:tr>
      <w:tr>
        <w:trPr/>
        <w:tc>
          <w:tcPr>
            <w:tcW w:type="dxa" w:w="2512"/>
          </w:tcPr>
          <w:p>
            <w:pPr>
              <w:spacing w:after="0"/>
            </w:pPr>
            <w:r>
              <w:rPr>
                <w:sz w:val="19"/>
              </w:rPr>
              <w:t>Entscheidung + Begründung</w:t>
            </w:r>
          </w:p>
        </w:tc>
        <w:tc>
          <w:tcPr>
            <w:tcW w:type="dxa" w:w="6899"/>
          </w:tcPr>
          <w:p>
            <w:pPr>
              <w:spacing w:after="0"/>
            </w:pPr>
            <w:r>
              <w:rPr>
                <w:sz w:val="19"/>
              </w:rPr>
              <w:t>B (Folgeentscheidung 28.09.2026) → Wetterdaten ergänzen (Schritt 3.4)</w:t>
            </w:r>
          </w:p>
        </w:tc>
      </w:tr>
      <w:tr>
        <w:trPr/>
        <w:tc>
          <w:tcPr>
            <w:tcW w:type="dxa" w:w="2512"/>
          </w:tcPr>
          <w:p>
            <w:pPr>
              <w:spacing w:after="0"/>
            </w:pPr>
            <w:r>
              <w:rPr>
                <w:sz w:val="19"/>
              </w:rPr>
              <w:t>Endergebnis</w:t>
            </w:r>
          </w:p>
        </w:tc>
        <w:tc>
          <w:tcPr>
            <w:tcW w:type="dxa" w:w="6899"/>
          </w:tcPr>
          <w:p>
            <w:pPr>
              <w:spacing w:after="0"/>
            </w:pPr>
            <w:r>
              <w:rPr>
                <w:sz w:val="19"/>
              </w:rPr>
              <w:t>F1 typisch ca. 60 kg, Höchstwert 91 kg (30.06.2017), Ernte vermutlich 26./27.07.2017 (−32 kg), Winterverbrauch 7–12 kg · F2 Mai–August, Höhepunkt Juni · F3 Außentemperatur r = 0,68 (nach N3)</w:t>
            </w:r>
          </w:p>
        </w:tc>
      </w:tr>
      <w:tr>
        <w:trPr/>
        <w:tc>
          <w:tcPr>
            <w:tcW w:type="dxa" w:w="2512"/>
          </w:tcPr>
          <w:p>
            <w:pPr>
              <w:spacing w:after="0"/>
            </w:pPr>
            <w:r>
              <w:rPr>
                <w:sz w:val="19"/>
              </w:rPr>
              <w:t>Hinweise / Gefahren</w:t>
            </w:r>
          </w:p>
        </w:tc>
        <w:tc>
          <w:tcPr>
            <w:tcW w:type="dxa" w:w="6899"/>
          </w:tcPr>
          <w:p>
            <w:pPr>
              <w:spacing w:after="0"/>
            </w:pPr>
            <w:r>
              <w:rPr>
                <w:sz w:val="19"/>
              </w:rPr>
              <w:t>Korrelation ist keine Ursache (Tageslänge, Jahreszeit, Tracht wirken mit)</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Stocktemperatur ist ein Merkmal für den Zustand des Volkes, nicht für das Wetter</w:t>
            </w:r>
          </w:p>
        </w:tc>
      </w:tr>
      <w:tr>
        <w:trPr/>
        <w:tc>
          <w:tcPr>
            <w:tcW w:type="dxa" w:w="2512"/>
          </w:tcPr>
          <w:p>
            <w:pPr>
              <w:spacing w:after="0"/>
            </w:pPr>
            <w:r>
              <w:rPr>
                <w:sz w:val="19"/>
              </w:rPr>
              <w:t>Verweise</w:t>
            </w:r>
          </w:p>
        </w:tc>
        <w:tc>
          <w:tcPr>
            <w:tcW w:type="dxa" w:w="6899"/>
          </w:tcPr>
          <w:p>
            <w:pPr>
              <w:spacing w:after="0"/>
            </w:pPr>
            <w:r>
              <w:rPr>
                <w:sz w:val="19"/>
              </w:rPr>
              <w:t xml:space="preserve">N4 Kap. 4–6 · </w:t>
            </w:r>
            <w:hyperlink r:id="rId14">
              <w:r>
                <w:rPr>
                  <w:color w:val="0563C1"/>
                  <w:u w:val="single"/>
                </w:rPr>
                <w:t xml:space="preserve">04_images/schwartau/f1_gewicht_verlauf.png</w:t>
              </w:r>
            </w:hyperlink>
            <w:r>
              <w:rPr>
                <w:sz w:val="19"/>
              </w:rPr>
              <w:t xml:space="preserve"> · </w:t>
            </w:r>
            <w:hyperlink r:id="rId15">
              <w:r>
                <w:rPr>
                  <w:color w:val="0563C1"/>
                  <w:u w:val="single"/>
                </w:rPr>
                <w:t xml:space="preserve">04_images/schwartau/f2_flugaktivitaet_monat.png</w:t>
              </w:r>
            </w:hyperlink>
            <w:r>
              <w:rPr>
                <w:sz w:val="19"/>
              </w:rPr>
              <w:t xml:space="preserve"> · </w:t>
            </w:r>
            <w:hyperlink r:id="rId16">
              <w:r>
                <w:rPr>
                  <w:color w:val="0563C1"/>
                  <w:u w:val="single"/>
                </w:rPr>
                <w:t xml:space="preserve">04_images/schwartau/f3_temperatur_einflug.png</w:t>
              </w:r>
            </w:hyperlink>
          </w:p>
        </w:tc>
      </w:tr>
      <w:tr>
        <w:trPr/>
        <w:tc>
          <w:tcPr>
            <w:tcW w:type="dxa" w:w="2512"/>
          </w:tcPr>
          <w:p>
            <w:pPr>
              <w:spacing w:after="0"/>
            </w:pPr>
            <w:r>
              <w:rPr>
                <w:sz w:val="19"/>
              </w:rPr>
              <w:t>Einfach erklärt</w:t>
            </w:r>
          </w:p>
        </w:tc>
        <w:tc>
          <w:tcPr>
            <w:tcW w:type="dxa" w:w="6899"/>
          </w:tcPr>
          <w:p>
            <w:pPr>
              <w:spacing w:after="0"/>
            </w:pPr>
            <w:r>
              <w:rPr>
                <w:sz w:val="19"/>
              </w:rPr>
              <w:t>Erste Antworten aus den Daten: Der Stock wiegt meist um 60 kg, die Bienen fliegen vor allem von Mai bis August, und wärmeres Wetter bedeutet mehr Flug.</w:t>
            </w:r>
          </w:p>
        </w:tc>
      </w:tr>
    </w:tbl>
    <w:p>
      <w:pPr>
        <w:spacing w:after="0" w:line="20" w:lineRule="exact"/>
      </w:pPr>
    </w:p>
    <w:p>
      <w:pPr>
        <w:pStyle w:val="Heading2"/>
      </w:pPr>
      <w:r>
        <w:t>2.3 M3 – Plausibilität, Wetter, Analyse, Master-Pipeline (28.09.2026)</w:t>
      </w:r>
    </w:p>
    <w:p>
      <w:pPr>
        <w:spacing w:after="0" w:line="20" w:lineRule="exact"/>
      </w:pPr>
    </w:p>
    <w:p>
      <w:r>
        <w:t>Ziel: Plausibilität vertiefen (Abgleich mit dem Notebook der Kursleitung), Außenwetter ergänzen, Leitfragen beantworten, Pipelines verketten.</w:t>
      </w: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3.1 – Zeitabstände und versteckte Lücken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Fehlen Zeiten, obwohl keine leeren Werte (NaN) da sind?</w:t>
            </w:r>
          </w:p>
        </w:tc>
      </w:tr>
      <w:tr>
        <w:trPr/>
        <w:tc>
          <w:tcPr>
            <w:tcW w:type="dxa" w:w="2512"/>
          </w:tcPr>
          <w:p>
            <w:pPr>
              <w:spacing w:after="0"/>
            </w:pPr>
            <w:r>
              <w:rPr>
                <w:sz w:val="19"/>
              </w:rPr>
              <w:t>Eigene Erwartung</w:t>
            </w:r>
          </w:p>
        </w:tc>
        <w:tc>
          <w:tcPr>
            <w:tcW w:type="dxa" w:w="6899"/>
          </w:tcPr>
          <w:p>
            <w:pPr>
              <w:spacing w:after="0"/>
            </w:pPr>
            <w:r>
              <w:rPr>
                <w:sz w:val="19"/>
              </w:rPr>
              <w:t>flow hat einige Lücken, darunter längere Ausfälle; übrige Sensoren lückenlos</w:t>
            </w:r>
          </w:p>
        </w:tc>
      </w:tr>
      <w:tr>
        <w:trPr/>
        <w:tc>
          <w:tcPr>
            <w:tcW w:type="dxa" w:w="2512"/>
          </w:tcPr>
          <w:p>
            <w:pPr>
              <w:spacing w:after="0"/>
            </w:pPr>
            <w:r>
              <w:rPr>
                <w:sz w:val="19"/>
              </w:rPr>
              <w:t>Erwartung laut Recherche</w:t>
            </w:r>
          </w:p>
        </w:tc>
        <w:tc>
          <w:tcPr>
            <w:tcW w:type="dxa" w:w="6899"/>
          </w:tcPr>
          <w:p>
            <w:pPr>
              <w:spacing w:after="0"/>
            </w:pPr>
            <w:r>
              <w:rPr>
                <w:sz w:val="19"/>
              </w:rPr>
              <w:t>Kursleitung: Differenz aufeinanderfolgender Zeitstempel prüfen; kleine Lücken interpolieren</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diff()</w:t>
            </w:r>
            <w:r>
              <w:rPr>
                <w:sz w:val="19"/>
              </w:rPr>
              <w:t xml:space="preserve"> der UTC-Zeit je Reihe 2) Abstände &gt; Messintervall zählen 3) längste Lücken auflisten</w:t>
            </w:r>
          </w:p>
        </w:tc>
      </w:tr>
      <w:tr>
        <w:trPr/>
        <w:tc>
          <w:tcPr>
            <w:tcW w:type="dxa" w:w="2512"/>
          </w:tcPr>
          <w:p>
            <w:pPr>
              <w:spacing w:after="0"/>
            </w:pPr>
            <w:r>
              <w:rPr>
                <w:sz w:val="19"/>
              </w:rPr>
              <w:t>Zwischenergebnis</w:t>
            </w:r>
          </w:p>
        </w:tc>
        <w:tc>
          <w:tcPr>
            <w:tcW w:type="dxa" w:w="6899"/>
          </w:tcPr>
          <w:p>
            <w:pPr>
              <w:spacing w:after="0"/>
            </w:pPr>
            <w:r>
              <w:rPr>
                <w:sz w:val="19"/>
              </w:rPr>
              <w:t xml:space="preserve">flow normal 1 Min.; </w:t>
            </w:r>
            <w:r>
              <w:rPr>
                <w:b/>
                <w:sz w:val="19"/>
              </w:rPr>
              <w:t>120 versteckte Lücken</w:t>
            </w:r>
            <w:r>
              <w:rPr>
                <w:sz w:val="19"/>
              </w:rPr>
              <w:t>, 4 länger als 1 Tag, größte 5 Tage 09:32 Std.; übrige Sensoren lückenlos</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kleine Lücken in Silver interpolieren (Kursleitung) · </w:t>
            </w:r>
            <w:r>
              <w:rPr>
                <w:b/>
                <w:sz w:val="19"/>
              </w:rPr>
              <w:t>b</w:t>
            </w:r>
            <w:r>
              <w:rPr>
                <w:sz w:val="19"/>
              </w:rPr>
              <w:t xml:space="preserve"> alle Lücken füllen · </w:t>
            </w:r>
            <w:r>
              <w:rPr>
                <w:b/>
                <w:sz w:val="19"/>
              </w:rPr>
              <w:t>c</w:t>
            </w:r>
            <w:r>
              <w:rPr>
                <w:sz w:val="19"/>
              </w:rPr>
              <w:t xml:space="preserve"> in Silver nichts füllen, erst in der Analyse visualisieren und entscheiden</w:t>
            </w:r>
          </w:p>
        </w:tc>
      </w:tr>
      <w:tr>
        <w:trPr/>
        <w:tc>
          <w:tcPr>
            <w:tcW w:type="dxa" w:w="2512"/>
          </w:tcPr>
          <w:p>
            <w:pPr>
              <w:spacing w:after="0"/>
            </w:pPr>
            <w:r>
              <w:rPr>
                <w:sz w:val="19"/>
              </w:rPr>
              <w:t>Entscheidung + Begründung</w:t>
            </w:r>
          </w:p>
        </w:tc>
        <w:tc>
          <w:tcPr>
            <w:tcW w:type="dxa" w:w="6899"/>
          </w:tcPr>
          <w:p>
            <w:pPr>
              <w:spacing w:after="0"/>
            </w:pPr>
            <w:r>
              <w:rPr>
                <w:sz w:val="19"/>
              </w:rPr>
              <w:t>c (28.09.2026, P6): visualisieren → prüfen → entscheiden; Silver bleibt Messung</w:t>
            </w:r>
          </w:p>
        </w:tc>
      </w:tr>
      <w:tr>
        <w:trPr/>
        <w:tc>
          <w:tcPr>
            <w:tcW w:type="dxa" w:w="2512"/>
          </w:tcPr>
          <w:p>
            <w:pPr>
              <w:spacing w:after="0"/>
            </w:pPr>
            <w:r>
              <w:rPr>
                <w:sz w:val="19"/>
              </w:rPr>
              <w:t>Änderung</w:t>
            </w:r>
          </w:p>
        </w:tc>
        <w:tc>
          <w:tcPr>
            <w:tcW w:type="dxa" w:w="6899"/>
          </w:tcPr>
          <w:p>
            <w:pPr>
              <w:spacing w:after="0"/>
            </w:pPr>
            <w:r>
              <w:rPr>
                <w:sz w:val="19"/>
              </w:rPr>
              <w:t xml:space="preserve">30.09.2026 (Projektleitung): In </w:t>
            </w:r>
            <w:r>
              <w:rPr>
                <w:b/>
                <w:sz w:val="19"/>
              </w:rPr>
              <w:t>Gold</w:t>
            </w:r>
            <w:r>
              <w:rPr>
                <w:sz w:val="19"/>
              </w:rPr>
              <w:t xml:space="preserve"> werden kurze Lücken bei gleichmäßigen Sensoren (Temperatur, Feuchte, Gewicht) aufgefüllt, mit Kennzeichen-Spalte </w:t>
            </w:r>
            <w:r>
              <w:rPr>
                <w:rFonts w:ascii="Courier New" w:hAnsi="Courier New"/>
                <w:sz w:val="17"/>
              </w:rPr>
              <w:t>aufgefuellt</w:t>
            </w:r>
            <w:r>
              <w:rPr>
                <w:sz w:val="19"/>
              </w:rPr>
              <w:t>; flow nie; Silver bleibt ungefüllt. Grund: Analyse und ML brauchen lückenlose Daten; Kurs-Notebook 04 füllt schon in Silver – wir erst in Gold, damit Silver die Messung bleibt und die Regel ohne neue Bereinigung änderbar ist</w:t>
            </w:r>
          </w:p>
        </w:tc>
      </w:tr>
      <w:tr>
        <w:trPr/>
        <w:tc>
          <w:tcPr>
            <w:tcW w:type="dxa" w:w="2512"/>
          </w:tcPr>
          <w:p>
            <w:pPr>
              <w:spacing w:after="0"/>
            </w:pPr>
            <w:r>
              <w:rPr>
                <w:sz w:val="19"/>
              </w:rPr>
              <w:t>Endergebnis</w:t>
            </w:r>
          </w:p>
        </w:tc>
        <w:tc>
          <w:tcPr>
            <w:tcW w:type="dxa" w:w="6899"/>
          </w:tcPr>
          <w:p>
            <w:pPr>
              <w:spacing w:after="0"/>
            </w:pPr>
            <w:r>
              <w:rPr>
                <w:sz w:val="19"/>
              </w:rPr>
              <w:t>Lücken dokumentiert, nicht gefüllt</w:t>
            </w:r>
          </w:p>
        </w:tc>
      </w:tr>
      <w:tr>
        <w:trPr/>
        <w:tc>
          <w:tcPr>
            <w:tcW w:type="dxa" w:w="2512"/>
          </w:tcPr>
          <w:p>
            <w:pPr>
              <w:spacing w:after="0"/>
            </w:pPr>
            <w:r>
              <w:rPr>
                <w:sz w:val="19"/>
              </w:rPr>
              <w:t>Hinweise / Gefahren</w:t>
            </w:r>
          </w:p>
        </w:tc>
        <w:tc>
          <w:tcPr>
            <w:tcW w:type="dxa" w:w="6899"/>
          </w:tcPr>
          <w:p>
            <w:pPr>
              <w:spacing w:after="0"/>
            </w:pPr>
            <w:r>
              <w:rPr>
                <w:sz w:val="19"/>
              </w:rPr>
              <w:t>Interpolierte Flugwerte in der Nacht oder bei Regen wären erfunden · Tages-Summen an Lückentagen sind zu niedrig</w:t>
            </w:r>
          </w:p>
        </w:tc>
      </w:tr>
      <w:tr>
        <w:trPr/>
        <w:tc>
          <w:tcPr>
            <w:tcW w:type="dxa" w:w="2512"/>
          </w:tcPr>
          <w:p>
            <w:pPr>
              <w:spacing w:after="0"/>
            </w:pPr>
            <w:r>
              <w:rPr>
                <w:sz w:val="19"/>
              </w:rPr>
              <w:t>Klärung (Stand Abschluss)</w:t>
            </w:r>
          </w:p>
        </w:tc>
        <w:tc>
          <w:tcPr>
            <w:tcW w:type="dxa" w:w="6899"/>
          </w:tcPr>
          <w:p>
            <w:pPr>
              <w:spacing w:after="0"/>
            </w:pPr>
            <w:r>
              <w:rPr>
                <w:sz w:val="19"/>
              </w:rPr>
              <w:t xml:space="preserve">Tage mit großen Lücken in Gold kennzeichnen → </w:t>
            </w:r>
            <w:r>
              <w:rPr>
                <w:b/>
                <w:sz w:val="19"/>
              </w:rPr>
              <w:t>Stand 05.10.2026:</w:t>
            </w:r>
            <w:r>
              <w:rPr>
                <w:sz w:val="19"/>
              </w:rPr>
              <w:t xml:space="preserve"> Folgeprojekt FP-2 (Ampel Datenqualität); Spalten </w:t>
            </w:r>
            <w:r>
              <w:rPr>
                <w:rFonts w:ascii="Courier New" w:hAnsi="Courier New"/>
                <w:sz w:val="17"/>
              </w:rPr>
              <w:t>…_aufgefuellt</w:t>
            </w:r>
            <w:r>
              <w:rPr>
                <w:sz w:val="19"/>
              </w:rPr>
              <w:t xml:space="preserve"> in Gold vorhanden</w:t>
            </w:r>
          </w:p>
        </w:tc>
      </w:tr>
      <w:tr>
        <w:trPr/>
        <w:tc>
          <w:tcPr>
            <w:tcW w:type="dxa" w:w="2512"/>
          </w:tcPr>
          <w:p>
            <w:pPr>
              <w:spacing w:after="0"/>
            </w:pPr>
            <w:r>
              <w:rPr>
                <w:sz w:val="19"/>
              </w:rPr>
              <w:t>Für Agenten / ML</w:t>
            </w:r>
          </w:p>
        </w:tc>
        <w:tc>
          <w:tcPr>
            <w:tcW w:type="dxa" w:w="6899"/>
          </w:tcPr>
          <w:p>
            <w:pPr>
              <w:spacing w:after="0"/>
            </w:pPr>
            <w:r>
              <w:rPr>
                <w:sz w:val="19"/>
              </w:rPr>
              <w:t xml:space="preserve">Lückentage als Merkmal oder aus dem Training ausschließen; Spalte </w:t>
            </w:r>
            <w:r>
              <w:rPr>
                <w:rFonts w:ascii="Courier New" w:hAnsi="Courier New"/>
                <w:sz w:val="17"/>
              </w:rPr>
              <w:t>aufgefuellt</w:t>
            </w:r>
            <w:r>
              <w:rPr>
                <w:sz w:val="19"/>
              </w:rPr>
              <w:t xml:space="preserve"> als Merkmal nutzen</w:t>
            </w:r>
          </w:p>
        </w:tc>
      </w:tr>
      <w:tr>
        <w:trPr/>
        <w:tc>
          <w:tcPr>
            <w:tcW w:type="dxa" w:w="2512"/>
          </w:tcPr>
          <w:p>
            <w:pPr>
              <w:spacing w:after="0"/>
            </w:pPr>
            <w:r>
              <w:rPr>
                <w:sz w:val="19"/>
              </w:rPr>
              <w:t>Einfach erklärt</w:t>
            </w:r>
          </w:p>
        </w:tc>
        <w:tc>
          <w:tcPr>
            <w:tcW w:type="dxa" w:w="6899"/>
          </w:tcPr>
          <w:p>
            <w:pPr>
              <w:spacing w:after="0"/>
            </w:pPr>
            <w:r>
              <w:rPr>
                <w:sz w:val="19"/>
              </w:rPr>
              <w:t xml:space="preserve">Silver ist wie das </w:t>
            </w:r>
            <w:r>
              <w:rPr>
                <w:b/>
                <w:sz w:val="19"/>
              </w:rPr>
              <w:t>Kassenbuch</w:t>
            </w:r>
            <w:r>
              <w:rPr>
                <w:sz w:val="19"/>
              </w:rPr>
              <w:t xml:space="preserve">: nur tatsächliche Buchungen. Gold ist wie der </w:t>
            </w:r>
            <w:r>
              <w:rPr>
                <w:b/>
                <w:sz w:val="19"/>
              </w:rPr>
              <w:t>Monatsbericht</w:t>
            </w:r>
            <w:r>
              <w:rPr>
                <w:sz w:val="19"/>
              </w:rPr>
              <w:t>: dort darf man hochrechnen oder glätten, solange es gekennzeichnet ist. Kurze Lücken bei der Temperatur sind unkritisch (sie ändert sich in Minuten kaum); bei Flugzählungen oder Lücken über Tage würde man Werte erfinden.</w:t>
            </w:r>
          </w:p>
        </w:tc>
      </w:tr>
      <w:tr>
        <w:trPr/>
        <w:tc>
          <w:tcPr>
            <w:tcW w:type="dxa" w:w="2512"/>
          </w:tcPr>
          <w:p>
            <w:pPr>
              <w:spacing w:after="0"/>
            </w:pPr>
            <w:r>
              <w:rPr>
                <w:sz w:val="19"/>
              </w:rPr>
              <w:t>Verweise</w:t>
            </w:r>
          </w:p>
        </w:tc>
        <w:tc>
          <w:tcPr>
            <w:tcW w:type="dxa" w:w="6899"/>
          </w:tcPr>
          <w:p>
            <w:pPr>
              <w:spacing w:after="0"/>
            </w:pPr>
            <w:r>
              <w:rPr>
                <w:sz w:val="19"/>
              </w:rPr>
              <w:t>N1 Kap. 5a · P1, P6 · Idee I15, I18</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3.2 – Kurzzeitige Ausreißer (R9)</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Gibt es Einzelwerte, die kurz stark abweichen (z. B. Stock geöffnet)?</w:t>
            </w:r>
          </w:p>
        </w:tc>
      </w:tr>
      <w:tr>
        <w:trPr/>
        <w:tc>
          <w:tcPr>
            <w:tcW w:type="dxa" w:w="2512"/>
          </w:tcPr>
          <w:p>
            <w:pPr>
              <w:spacing w:after="0"/>
            </w:pPr>
            <w:r>
              <w:rPr>
                <w:sz w:val="19"/>
              </w:rPr>
              <w:t>Eigene Erwartung</w:t>
            </w:r>
          </w:p>
        </w:tc>
        <w:tc>
          <w:tcPr>
            <w:tcW w:type="dxa" w:w="6899"/>
          </w:tcPr>
          <w:p>
            <w:pPr>
              <w:spacing w:after="0"/>
            </w:pPr>
            <w:r>
              <w:rPr>
                <w:sz w:val="19"/>
              </w:rPr>
              <w:t>Wenige Ausreißer, vor allem bei der Temperatur</w:t>
            </w:r>
          </w:p>
        </w:tc>
      </w:tr>
      <w:tr>
        <w:trPr/>
        <w:tc>
          <w:tcPr>
            <w:tcW w:type="dxa" w:w="2512"/>
          </w:tcPr>
          <w:p>
            <w:pPr>
              <w:spacing w:after="0"/>
            </w:pPr>
            <w:r>
              <w:rPr>
                <w:sz w:val="19"/>
              </w:rPr>
              <w:t>Erwartung laut Recherche</w:t>
            </w:r>
          </w:p>
        </w:tc>
        <w:tc>
          <w:tcPr>
            <w:tcW w:type="dxa" w:w="6899"/>
          </w:tcPr>
          <w:p>
            <w:pPr>
              <w:spacing w:after="0"/>
            </w:pPr>
            <w:r>
              <w:rPr>
                <w:sz w:val="19"/>
              </w:rPr>
              <w:t>68-95-99,7-Regel: |z| &gt; 3 ist selten; robuster z-Score mit Median und MAD ist unempfindlich gegen Ausreißer selbst</w:t>
            </w:r>
          </w:p>
        </w:tc>
      </w:tr>
      <w:tr>
        <w:trPr/>
        <w:tc>
          <w:tcPr>
            <w:tcW w:type="dxa" w:w="2512"/>
          </w:tcPr>
          <w:p>
            <w:pPr>
              <w:spacing w:after="0"/>
            </w:pPr>
            <w:r>
              <w:rPr>
                <w:sz w:val="19"/>
              </w:rPr>
              <w:t>Zwischenschritte</w:t>
            </w:r>
          </w:p>
        </w:tc>
        <w:tc>
          <w:tcPr>
            <w:tcW w:type="dxa" w:w="6899"/>
          </w:tcPr>
          <w:p>
            <w:pPr>
              <w:spacing w:after="0"/>
            </w:pPr>
            <w:r>
              <w:rPr>
                <w:sz w:val="19"/>
              </w:rPr>
              <w:t xml:space="preserve">1) rollierender Median und MAD (Fenster wie Kursleitung) 2) z = (Wert − Median) / (1,4826 × MAD) 3) |z| &gt; 3 → Spalte </w:t>
            </w:r>
            <w:r>
              <w:rPr>
                <w:rFonts w:ascii="Courier New" w:hAnsi="Courier New"/>
                <w:sz w:val="17"/>
              </w:rPr>
              <w:t>&lt;messwert&gt;_auffaellig</w:t>
            </w:r>
            <w:r>
              <w:rPr>
                <w:sz w:val="19"/>
              </w:rPr>
              <w:t xml:space="preserve"> 4) Anteil je Uhrzeit prüfen</w:t>
            </w:r>
          </w:p>
        </w:tc>
      </w:tr>
      <w:tr>
        <w:trPr/>
        <w:tc>
          <w:tcPr>
            <w:tcW w:type="dxa" w:w="2512"/>
          </w:tcPr>
          <w:p>
            <w:pPr>
              <w:spacing w:after="0"/>
            </w:pPr>
            <w:r>
              <w:rPr>
                <w:sz w:val="19"/>
              </w:rPr>
              <w:t>Zwischenergebnis</w:t>
            </w:r>
          </w:p>
        </w:tc>
        <w:tc>
          <w:tcPr>
            <w:tcW w:type="dxa" w:w="6899"/>
          </w:tcPr>
          <w:p>
            <w:pPr>
              <w:spacing w:after="0"/>
            </w:pPr>
            <w:r>
              <w:rPr>
                <w:sz w:val="19"/>
              </w:rPr>
              <w:t>E8: temperature 5.762 · humidity 134 (7,8 %) · weight 59 · flow aus 8.898 · flow ein 15.932; flow nachts 5–6,5 % statt 2 %</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markieren, Wert behalten · </w:t>
            </w:r>
            <w:r>
              <w:rPr>
                <w:b/>
                <w:sz w:val="19"/>
              </w:rPr>
              <w:t>B</w:t>
            </w:r>
            <w:r>
              <w:rPr>
                <w:sz w:val="19"/>
              </w:rPr>
              <w:t xml:space="preserve"> auffällige Werte löschen · </w:t>
            </w:r>
            <w:r>
              <w:rPr>
                <w:b/>
                <w:sz w:val="19"/>
              </w:rPr>
              <w:t>C</w:t>
            </w:r>
            <w:r>
              <w:rPr>
                <w:sz w:val="19"/>
              </w:rPr>
              <w:t xml:space="preserve"> fester Grenzwert statt z-Score</w:t>
            </w:r>
          </w:p>
        </w:tc>
      </w:tr>
      <w:tr>
        <w:trPr/>
        <w:tc>
          <w:tcPr>
            <w:tcW w:type="dxa" w:w="2512"/>
          </w:tcPr>
          <w:p>
            <w:pPr>
              <w:spacing w:after="0"/>
            </w:pPr>
            <w:r>
              <w:rPr>
                <w:sz w:val="19"/>
              </w:rPr>
              <w:t>Entscheidung + Begründung</w:t>
            </w:r>
          </w:p>
        </w:tc>
        <w:tc>
          <w:tcPr>
            <w:tcW w:type="dxa" w:w="6899"/>
          </w:tcPr>
          <w:p>
            <w:pPr>
              <w:spacing w:after="0"/>
            </w:pPr>
            <w:r>
              <w:rPr>
                <w:sz w:val="19"/>
              </w:rPr>
              <w:t>A (28.09.2026): Methode ist nachts und bei humidity (Fenster nur 5 Werte) zu streng</w:t>
            </w:r>
          </w:p>
        </w:tc>
      </w:tr>
      <w:tr>
        <w:trPr/>
        <w:tc>
          <w:tcPr>
            <w:tcW w:type="dxa" w:w="2512"/>
          </w:tcPr>
          <w:p>
            <w:pPr>
              <w:spacing w:after="0"/>
            </w:pPr>
            <w:r>
              <w:rPr>
                <w:sz w:val="19"/>
              </w:rPr>
              <w:t>Endergebnis</w:t>
            </w:r>
          </w:p>
        </w:tc>
        <w:tc>
          <w:tcPr>
            <w:tcW w:type="dxa" w:w="6899"/>
          </w:tcPr>
          <w:p>
            <w:pPr>
              <w:spacing w:after="0"/>
            </w:pPr>
            <w:r>
              <w:rPr>
                <w:sz w:val="19"/>
              </w:rPr>
              <w:t>R9 in N2; Analysen schließen auffällige Werte aus, die Daten bleiben</w:t>
            </w:r>
          </w:p>
        </w:tc>
      </w:tr>
      <w:tr>
        <w:trPr/>
        <w:tc>
          <w:tcPr>
            <w:tcW w:type="dxa" w:w="2512"/>
          </w:tcPr>
          <w:p>
            <w:pPr>
              <w:spacing w:after="0"/>
            </w:pPr>
            <w:r>
              <w:rPr>
                <w:sz w:val="19"/>
              </w:rPr>
              <w:t>Hinweise / Gefahren</w:t>
            </w:r>
          </w:p>
        </w:tc>
        <w:tc>
          <w:tcPr>
            <w:tcW w:type="dxa" w:w="6899"/>
          </w:tcPr>
          <w:p>
            <w:pPr>
              <w:spacing w:after="0"/>
            </w:pPr>
            <w:r>
              <w:rPr>
                <w:sz w:val="19"/>
              </w:rPr>
              <w:t>Bei sehr gleichmäßigen Reihen ist der MAD winzig → schon Rauschen wirkt auffällig (→ Schritt 3.3)</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Ausreißer-Kennzeichen als Merkmal nutzen oder gezielt ausschließen – nie stillschweigend</w:t>
            </w:r>
          </w:p>
        </w:tc>
      </w:tr>
      <w:tr>
        <w:trPr/>
        <w:tc>
          <w:tcPr>
            <w:tcW w:type="dxa" w:w="2512"/>
          </w:tcPr>
          <w:p>
            <w:pPr>
              <w:spacing w:after="0"/>
            </w:pPr>
            <w:r>
              <w:rPr>
                <w:sz w:val="19"/>
              </w:rPr>
              <w:t>Verweise</w:t>
            </w:r>
          </w:p>
        </w:tc>
        <w:tc>
          <w:tcPr>
            <w:tcW w:type="dxa" w:w="6899"/>
          </w:tcPr>
          <w:p>
            <w:pPr>
              <w:spacing w:after="0"/>
            </w:pPr>
            <w:r>
              <w:rPr>
                <w:sz w:val="19"/>
              </w:rPr>
              <w:t>N2 Kap. 6a–6b · P4, R9, E8 · Idee I16</w:t>
            </w:r>
          </w:p>
        </w:tc>
      </w:tr>
      <w:tr>
        <w:trPr/>
        <w:tc>
          <w:tcPr>
            <w:tcW w:type="dxa" w:w="2512"/>
          </w:tcPr>
          <w:p>
            <w:pPr>
              <w:spacing w:after="0"/>
            </w:pPr>
            <w:r>
              <w:rPr>
                <w:sz w:val="19"/>
              </w:rPr>
              <w:t>Einfach erklärt</w:t>
            </w:r>
          </w:p>
        </w:tc>
        <w:tc>
          <w:tcPr>
            <w:tcW w:type="dxa" w:w="6899"/>
          </w:tcPr>
          <w:p>
            <w:pPr>
              <w:spacing w:after="0"/>
            </w:pPr>
            <w:r>
              <w:rPr>
                <w:sz w:val="19"/>
              </w:rPr>
              <w:t>Ein einzelner Wert, der plötzlich stark von seinen Nachbarn abweicht, ist verdächtig (z. B. Deckel geöffnet). Er wird markiert, bleibt aber erhalten – Auswertungen können ihn bewusst weglassen.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3.3 – Mindestabweichung für Temperatur-Ausreißer (D2)</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Sind die 5.762 auffälligen Temperaturwerte echte Sprünge?</w:t>
            </w:r>
          </w:p>
        </w:tc>
      </w:tr>
      <w:tr>
        <w:trPr/>
        <w:tc>
          <w:tcPr>
            <w:tcW w:type="dxa" w:w="2512"/>
          </w:tcPr>
          <w:p>
            <w:pPr>
              <w:spacing w:after="0"/>
            </w:pPr>
            <w:r>
              <w:rPr>
                <w:sz w:val="19"/>
              </w:rPr>
              <w:t>Eigene Erwartung</w:t>
            </w:r>
          </w:p>
        </w:tc>
        <w:tc>
          <w:tcPr>
            <w:tcW w:type="dxa" w:w="6899"/>
          </w:tcPr>
          <w:p>
            <w:pPr>
              <w:spacing w:after="0"/>
            </w:pPr>
            <w:r>
              <w:rPr>
                <w:sz w:val="19"/>
              </w:rPr>
              <w:t>Größtenteils echte Sprünge</w:t>
            </w:r>
          </w:p>
        </w:tc>
      </w:tr>
      <w:tr>
        <w:trPr/>
        <w:tc>
          <w:tcPr>
            <w:tcW w:type="dxa" w:w="2512"/>
          </w:tcPr>
          <w:p>
            <w:pPr>
              <w:spacing w:after="0"/>
            </w:pPr>
            <w:r>
              <w:rPr>
                <w:sz w:val="19"/>
              </w:rPr>
              <w:t>Erwartung laut Recherche</w:t>
            </w:r>
          </w:p>
        </w:tc>
        <w:tc>
          <w:tcPr>
            <w:tcW w:type="dxa" w:w="6899"/>
          </w:tcPr>
          <w:p>
            <w:pPr>
              <w:spacing w:after="0"/>
            </w:pPr>
            <w:r>
              <w:rPr>
                <w:sz w:val="19"/>
              </w:rPr>
              <w:t>Bei kleinem MAD ist der z-Score empfindlich; Praxis: zusätzlich fachliche Mindestabweichung</w:t>
            </w:r>
          </w:p>
        </w:tc>
      </w:tr>
      <w:tr>
        <w:trPr/>
        <w:tc>
          <w:tcPr>
            <w:tcW w:type="dxa" w:w="2512"/>
          </w:tcPr>
          <w:p>
            <w:pPr>
              <w:spacing w:after="0"/>
            </w:pPr>
            <w:r>
              <w:rPr>
                <w:sz w:val="19"/>
              </w:rPr>
              <w:t>Zwischenschritte</w:t>
            </w:r>
          </w:p>
        </w:tc>
        <w:tc>
          <w:tcPr>
            <w:tcW w:type="dxa" w:w="6899"/>
          </w:tcPr>
          <w:p>
            <w:pPr>
              <w:spacing w:after="0"/>
            </w:pPr>
            <w:r>
              <w:rPr>
                <w:sz w:val="19"/>
              </w:rPr>
              <w:t>1) Abweichung vom Median je auffälligem Wert 2) Sensitivität für 0,5 / 1 / 2 °C 3) Beispiele grafisch prüfen</w:t>
            </w:r>
          </w:p>
        </w:tc>
      </w:tr>
      <w:tr>
        <w:trPr/>
        <w:tc>
          <w:tcPr>
            <w:tcW w:type="dxa" w:w="2512"/>
          </w:tcPr>
          <w:p>
            <w:pPr>
              <w:spacing w:after="0"/>
            </w:pPr>
            <w:r>
              <w:rPr>
                <w:sz w:val="19"/>
              </w:rPr>
              <w:t>Zwischenergebnis</w:t>
            </w:r>
          </w:p>
        </w:tc>
        <w:tc>
          <w:tcPr>
            <w:tcW w:type="dxa" w:w="6899"/>
          </w:tcPr>
          <w:p>
            <w:pPr>
              <w:spacing w:after="0"/>
            </w:pPr>
            <w:r>
              <w:rPr>
                <w:sz w:val="19"/>
              </w:rPr>
              <w:t>E9: nur 1.773 weichen &gt; 1 °C ab, ca. 1.100 nur ≤ 0,1 °C (z. B. 08.01.2018: −1,59 °C bei Median −1,5 °C → z = −3,9)</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&gt; 0,5 °C (2.624) · </w:t>
            </w:r>
            <w:r>
              <w:rPr>
                <w:b/>
                <w:sz w:val="19"/>
              </w:rPr>
              <w:t>B</w:t>
            </w:r>
            <w:r>
              <w:rPr>
                <w:sz w:val="19"/>
              </w:rPr>
              <w:t xml:space="preserve"> &gt; 1 °C (1.773) · </w:t>
            </w:r>
            <w:r>
              <w:rPr>
                <w:b/>
                <w:sz w:val="19"/>
              </w:rPr>
              <w:t>C</w:t>
            </w:r>
            <w:r>
              <w:rPr>
                <w:sz w:val="19"/>
              </w:rPr>
              <w:t xml:space="preserve"> &gt; 2 °C (921)</w:t>
            </w:r>
          </w:p>
        </w:tc>
      </w:tr>
      <w:tr>
        <w:trPr/>
        <w:tc>
          <w:tcPr>
            <w:tcW w:type="dxa" w:w="2512"/>
          </w:tcPr>
          <w:p>
            <w:pPr>
              <w:spacing w:after="0"/>
            </w:pPr>
            <w:r>
              <w:rPr>
                <w:sz w:val="19"/>
              </w:rPr>
              <w:t>Entscheidung + Begründung</w:t>
            </w:r>
          </w:p>
        </w:tc>
        <w:tc>
          <w:tcPr>
            <w:tcW w:type="dxa" w:w="6899"/>
          </w:tcPr>
          <w:p>
            <w:pPr>
              <w:spacing w:after="0"/>
            </w:pPr>
            <w:r>
              <w:rPr>
                <w:sz w:val="19"/>
              </w:rPr>
              <w:t>B, D2 = 1 °C (28.09.2026, Prüfung Mensch + KI): trennt Rauschen von echten Sprüngen, ohne echte Abfälle zu verlieren</w:t>
            </w:r>
          </w:p>
        </w:tc>
      </w:tr>
      <w:tr>
        <w:trPr/>
        <w:tc>
          <w:tcPr>
            <w:tcW w:type="dxa" w:w="2512"/>
          </w:tcPr>
          <w:p>
            <w:pPr>
              <w:spacing w:after="0"/>
            </w:pPr>
            <w:r>
              <w:rPr>
                <w:sz w:val="19"/>
              </w:rPr>
              <w:t>Endergebnis</w:t>
            </w:r>
          </w:p>
        </w:tc>
        <w:tc>
          <w:tcPr>
            <w:tcW w:type="dxa" w:w="6899"/>
          </w:tcPr>
          <w:p>
            <w:pPr>
              <w:spacing w:after="0"/>
            </w:pPr>
            <w:r>
              <w:rPr>
                <w:sz w:val="19"/>
              </w:rPr>
              <w:t>temperature 1.773 auffällig</w:t>
            </w:r>
          </w:p>
        </w:tc>
      </w:tr>
      <w:tr>
        <w:trPr/>
        <w:tc>
          <w:tcPr>
            <w:tcW w:type="dxa" w:w="2512"/>
          </w:tcPr>
          <w:p>
            <w:pPr>
              <w:spacing w:after="0"/>
            </w:pPr>
            <w:r>
              <w:rPr>
                <w:sz w:val="19"/>
              </w:rPr>
              <w:t>Hinweise / Gefahren</w:t>
            </w:r>
          </w:p>
        </w:tc>
        <w:tc>
          <w:tcPr>
            <w:tcW w:type="dxa" w:w="6899"/>
          </w:tcPr>
          <w:p>
            <w:pPr>
              <w:spacing w:after="0"/>
            </w:pPr>
            <w:r>
              <w:rPr>
                <w:sz w:val="19"/>
              </w:rPr>
              <w:t>Markierungen am Tiefpunkt glatter Kurven sind ein Methodeneffekt</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Schwellen mit Sensitivitätsanalyse begründen und als Parameter führen</w:t>
            </w:r>
          </w:p>
        </w:tc>
      </w:tr>
      <w:tr>
        <w:trPr/>
        <w:tc>
          <w:tcPr>
            <w:tcW w:type="dxa" w:w="2512"/>
          </w:tcPr>
          <w:p>
            <w:pPr>
              <w:spacing w:after="0"/>
            </w:pPr>
            <w:r>
              <w:rPr>
                <w:sz w:val="19"/>
              </w:rPr>
              <w:t>Verweise</w:t>
            </w:r>
          </w:p>
        </w:tc>
        <w:tc>
          <w:tcPr>
            <w:tcW w:type="dxa" w:w="6899"/>
          </w:tcPr>
          <w:p>
            <w:pPr>
              <w:spacing w:after="0"/>
            </w:pPr>
            <w:r>
              <w:rPr>
                <w:sz w:val="19"/>
              </w:rPr>
              <w:t xml:space="preserve">N2 Kap. 6c–6d · </w:t>
            </w:r>
            <w:hyperlink r:id="rId17">
              <w:r>
                <w:rPr>
                  <w:color w:val="0563C1"/>
                  <w:u w:val="single"/>
                </w:rPr>
                <w:t xml:space="preserve">04_images/schwartau/d2_sensitivitaet_temperatur.png</w:t>
              </w:r>
            </w:hyperlink>
            <w:r>
              <w:rPr>
                <w:sz w:val="19"/>
              </w:rPr>
              <w:t xml:space="preserve"> · E9</w:t>
            </w:r>
          </w:p>
        </w:tc>
      </w:tr>
      <w:tr>
        <w:trPr/>
        <w:tc>
          <w:tcPr>
            <w:tcW w:type="dxa" w:w="2512"/>
          </w:tcPr>
          <w:p>
            <w:pPr>
              <w:spacing w:after="0"/>
            </w:pPr>
            <w:r>
              <w:rPr>
                <w:sz w:val="19"/>
              </w:rPr>
              <w:t>Einfach erklärt</w:t>
            </w:r>
          </w:p>
        </w:tc>
        <w:tc>
          <w:tcPr>
            <w:tcW w:type="dxa" w:w="6899"/>
          </w:tcPr>
          <w:p>
            <w:pPr>
              <w:spacing w:after="0"/>
            </w:pPr>
            <w:r>
              <w:rPr>
                <w:sz w:val="19"/>
              </w:rPr>
              <w:t>Viele „auffällige“ Temperaturwerte wichen nur um Zehntelgrad ab – das ist Messrauschen, kein Ereignis. Erst ab 1 °C Abweichung gilt ein Wert als echter Sprung.</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3.4 – Wetterdaten ergänzen (N3)</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hängt der Flug vom Außenwetter ab? Der Stocksensor misst innen (E6)</w:t>
            </w:r>
          </w:p>
        </w:tc>
      </w:tr>
      <w:tr>
        <w:trPr/>
        <w:tc>
          <w:tcPr>
            <w:tcW w:type="dxa" w:w="2512"/>
          </w:tcPr>
          <w:p>
            <w:pPr>
              <w:spacing w:after="0"/>
            </w:pPr>
            <w:r>
              <w:rPr>
                <w:sz w:val="19"/>
              </w:rPr>
              <w:t>Eigene Erwartung</w:t>
            </w:r>
          </w:p>
        </w:tc>
        <w:tc>
          <w:tcPr>
            <w:tcW w:type="dxa" w:w="6899"/>
          </w:tcPr>
          <w:p>
            <w:pPr>
              <w:spacing w:after="0"/>
            </w:pPr>
            <w:r>
              <w:rPr>
                <w:sz w:val="19"/>
              </w:rPr>
              <w:t>ca. 881 Tage × 24 Std. ≈ 21.100 Stundenwerte</w:t>
            </w:r>
          </w:p>
        </w:tc>
      </w:tr>
      <w:tr>
        <w:trPr/>
        <w:tc>
          <w:tcPr>
            <w:tcW w:type="dxa" w:w="2512"/>
          </w:tcPr>
          <w:p>
            <w:pPr>
              <w:spacing w:after="0"/>
            </w:pPr>
            <w:r>
              <w:rPr>
                <w:sz w:val="19"/>
              </w:rPr>
              <w:t>Erwartung laut Recherche</w:t>
            </w:r>
          </w:p>
        </w:tc>
        <w:tc>
          <w:tcPr>
            <w:tcW w:type="dxa" w:w="6899"/>
          </w:tcPr>
          <w:p>
            <w:pPr>
              <w:spacing w:after="0"/>
            </w:pPr>
            <w:r>
              <w:rPr>
                <w:sz w:val="19"/>
              </w:rPr>
              <w:t>Bright Sky liefert DWD-Daten und ergänzt fehlende Messgrößen aus Ersatzstationen (</w:t>
            </w:r>
            <w:r>
              <w:rPr>
                <w:rFonts w:ascii="Courier New" w:hAnsi="Courier New"/>
                <w:sz w:val="17"/>
              </w:rPr>
              <w:t>fallback_source_ids</w:t>
            </w:r>
            <w:r>
              <w:rPr>
                <w:sz w:val="19"/>
              </w:rPr>
              <w:t>, OpenAPI-Beschreibung)</w:t>
            </w:r>
          </w:p>
        </w:tc>
      </w:tr>
      <w:tr>
        <w:trPr/>
        <w:tc>
          <w:tcPr>
            <w:tcW w:type="dxa" w:w="2512"/>
          </w:tcPr>
          <w:p>
            <w:pPr>
              <w:spacing w:after="0"/>
            </w:pPr>
            <w:r>
              <w:rPr>
                <w:sz w:val="19"/>
              </w:rPr>
              <w:t>Zwischenschritte</w:t>
            </w:r>
          </w:p>
        </w:tc>
        <w:tc>
          <w:tcPr>
            <w:tcW w:type="dxa" w:w="6899"/>
          </w:tcPr>
          <w:p>
            <w:pPr>
              <w:spacing w:after="0"/>
            </w:pPr>
            <w:r>
              <w:rPr>
                <w:sz w:val="19"/>
              </w:rPr>
              <w:t>1) Zeitraum aus den Sensordaten 2) Abruf über API, Rohantwort als Parquet archivieren (Bronze) 3) Station je Messgröße prüfen 4) Qualität prüfen 5) aufbereiten (Silver)</w:t>
            </w:r>
          </w:p>
        </w:tc>
      </w:tr>
      <w:tr>
        <w:trPr/>
        <w:tc>
          <w:tcPr>
            <w:tcW w:type="dxa" w:w="2512"/>
          </w:tcPr>
          <w:p>
            <w:pPr>
              <w:spacing w:after="0"/>
            </w:pPr>
            <w:r>
              <w:rPr>
                <w:sz w:val="19"/>
              </w:rPr>
              <w:t>Zwischenergebnis</w:t>
            </w:r>
          </w:p>
        </w:tc>
        <w:tc>
          <w:tcPr>
            <w:tcW w:type="dxa" w:w="6899"/>
          </w:tcPr>
          <w:p>
            <w:pPr>
              <w:spacing w:after="0"/>
            </w:pPr>
            <w:r>
              <w:rPr>
                <w:sz w:val="19"/>
              </w:rPr>
              <w:t>W1: Niederschlag aus Bad Schwartau-Groß Parin (2,1 km), Temperatur, Wind, Feuchte, Bewölkung zu ca. 99 % aus Lübeck-Blankensee (13 km) · W2: 5.287 Stunden ohne Sonnenschein – alle nachts</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Bright Sky (DWD, frei, Station je Wert nachvollziehbar) · </w:t>
            </w:r>
            <w:r>
              <w:rPr>
                <w:b/>
                <w:sz w:val="19"/>
              </w:rPr>
              <w:t>B</w:t>
            </w:r>
            <w:r>
              <w:rPr>
                <w:sz w:val="19"/>
              </w:rPr>
              <w:t xml:space="preserve"> Open-Meteo (Modelldaten, CC BY 4.0) · </w:t>
            </w:r>
            <w:r>
              <w:rPr>
                <w:b/>
                <w:sz w:val="19"/>
              </w:rPr>
              <w:t>C</w:t>
            </w:r>
            <w:r>
              <w:rPr>
                <w:sz w:val="19"/>
              </w:rPr>
              <w:t xml:space="preserve"> DWD-Rohdaten direkt (aufwendig)</w:t>
            </w:r>
          </w:p>
        </w:tc>
      </w:tr>
      <w:tr>
        <w:trPr/>
        <w:tc>
          <w:tcPr>
            <w:tcW w:type="dxa" w:w="2512"/>
          </w:tcPr>
          <w:p>
            <w:pPr>
              <w:spacing w:after="0"/>
            </w:pPr>
            <w:r>
              <w:rPr>
                <w:sz w:val="19"/>
              </w:rPr>
              <w:t>Entscheidung + Begründung</w:t>
            </w:r>
          </w:p>
        </w:tc>
        <w:tc>
          <w:tcPr>
            <w:tcW w:type="dxa" w:w="6899"/>
          </w:tcPr>
          <w:p>
            <w:pPr>
              <w:spacing w:after="0"/>
            </w:pPr>
            <w:r>
              <w:rPr>
                <w:sz w:val="19"/>
              </w:rPr>
              <w:t>A (28.09.2026): amtliche Messwerte, Herkunft je Stunde dokumentierbar; Open-Meteo dient zur Gegenprüfung des Sonnenstands (Schritt 3.5)</w:t>
            </w:r>
          </w:p>
        </w:tc>
      </w:tr>
      <w:tr>
        <w:trPr/>
        <w:tc>
          <w:tcPr>
            <w:tcW w:type="dxa" w:w="2512"/>
          </w:tcPr>
          <w:p>
            <w:pPr>
              <w:spacing w:after="0"/>
            </w:pPr>
            <w:r>
              <w:rPr>
                <w:sz w:val="19"/>
              </w:rPr>
              <w:t>Endergebnis</w:t>
            </w:r>
          </w:p>
        </w:tc>
        <w:tc>
          <w:tcPr>
            <w:tcW w:type="dxa" w:w="6899"/>
          </w:tcPr>
          <w:p>
            <w:pPr>
              <w:spacing w:after="0"/>
            </w:pPr>
            <w:r>
              <w:rPr>
                <w:sz w:val="19"/>
              </w:rPr>
              <w:t xml:space="preserve">21.145 Stundenwerte; Sonnenschein nachts = 0; Spalte </w:t>
            </w:r>
            <w:r>
              <w:rPr>
                <w:rFonts w:ascii="Courier New" w:hAnsi="Courier New"/>
                <w:sz w:val="17"/>
              </w:rPr>
              <w:t>station_temperatur</w:t>
            </w:r>
          </w:p>
        </w:tc>
      </w:tr>
      <w:tr>
        <w:trPr/>
        <w:tc>
          <w:tcPr>
            <w:tcW w:type="dxa" w:w="2512"/>
          </w:tcPr>
          <w:p>
            <w:pPr>
              <w:spacing w:after="0"/>
            </w:pPr>
            <w:r>
              <w:rPr>
                <w:sz w:val="19"/>
              </w:rPr>
              <w:t>Hinweise / Gefahren</w:t>
            </w:r>
          </w:p>
        </w:tc>
        <w:tc>
          <w:tcPr>
            <w:tcW w:type="dxa" w:w="6899"/>
          </w:tcPr>
          <w:p>
            <w:pPr>
              <w:spacing w:after="0"/>
            </w:pPr>
            <w:r>
              <w:rPr>
                <w:sz w:val="19"/>
              </w:rPr>
              <w:t>Außenwerte stammen von 13 km entfernter Station (Risiko 5) · Quellenangabe „Datenbasis: Deutscher Wetterdienst“ Pflicht</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Externe Daten immer mit Herkunft je Wert und Rohantwort im Archiv</w:t>
            </w:r>
          </w:p>
        </w:tc>
      </w:tr>
      <w:tr>
        <w:trPr/>
        <w:tc>
          <w:tcPr>
            <w:tcW w:type="dxa" w:w="2512"/>
          </w:tcPr>
          <w:p>
            <w:pPr>
              <w:spacing w:after="0"/>
            </w:pPr>
            <w:r>
              <w:rPr>
                <w:sz w:val="19"/>
              </w:rPr>
              <w:t>Verweise</w:t>
            </w:r>
          </w:p>
        </w:tc>
        <w:tc>
          <w:tcPr>
            <w:tcW w:type="dxa" w:w="6899"/>
          </w:tcPr>
          <w:p>
            <w:pPr>
              <w:spacing w:after="0"/>
            </w:pPr>
            <w:r>
              <w:rPr>
                <w:sz w:val="19"/>
              </w:rPr>
              <w:t xml:space="preserve">N3 Kap. 1–4, 7, 9 · W1, W2 · Idee I19 · </w:t>
            </w:r>
            <w:hyperlink r:id="rId18">
              <w:r>
                <w:rPr>
                  <w:color w:val="0563C1"/>
                  <w:u w:val="single"/>
                </w:rPr>
                <w:t xml:space="preserve">04_images/schwartau/n3_wetter_sonne.png</w:t>
              </w:r>
            </w:hyperlink>
          </w:p>
        </w:tc>
      </w:tr>
      <w:tr>
        <w:trPr/>
        <w:tc>
          <w:tcPr>
            <w:tcW w:type="dxa" w:w="2512"/>
          </w:tcPr>
          <w:p>
            <w:pPr>
              <w:spacing w:after="0"/>
            </w:pPr>
            <w:r>
              <w:rPr>
                <w:sz w:val="19"/>
              </w:rPr>
              <w:t>Einfach erklärt</w:t>
            </w:r>
          </w:p>
        </w:tc>
        <w:tc>
          <w:tcPr>
            <w:tcW w:type="dxa" w:w="6899"/>
          </w:tcPr>
          <w:p>
            <w:pPr>
              <w:spacing w:after="0"/>
            </w:pPr>
            <w:r>
              <w:rPr>
                <w:sz w:val="19"/>
              </w:rPr>
              <w:t>Der Temperatursensor misst im Stock, wo die Bienen es immer warm halten. Für das Flugverhalten zählt das Wetter draußen – deshalb werden Wetterdaten des Deutschen Wetterdienstes ergänzt.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3.5 – Sonnenstand: Tag, Dämmerung, Nacht</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Feste Uhrzeiten für Tag/Nacht sind falsch (Sonnenuntergang Juni ca. 21:50, Dezember ca. 15:55)</w:t>
            </w:r>
          </w:p>
        </w:tc>
      </w:tr>
      <w:tr>
        <w:trPr/>
        <w:tc>
          <w:tcPr>
            <w:tcW w:type="dxa" w:w="2512"/>
          </w:tcPr>
          <w:p>
            <w:pPr>
              <w:spacing w:after="0"/>
            </w:pPr>
            <w:r>
              <w:rPr>
                <w:sz w:val="19"/>
              </w:rPr>
              <w:t>Eigene Erwartung</w:t>
            </w:r>
          </w:p>
        </w:tc>
        <w:tc>
          <w:tcPr>
            <w:tcW w:type="dxa" w:w="6899"/>
          </w:tcPr>
          <w:p>
            <w:pPr>
              <w:spacing w:after="0"/>
            </w:pPr>
            <w:r>
              <w:rPr>
                <w:sz w:val="19"/>
              </w:rPr>
              <w:t>Abweichung zu einer zweiten Quelle nur wenige Minuten</w:t>
            </w:r>
          </w:p>
        </w:tc>
      </w:tr>
      <w:tr>
        <w:trPr/>
        <w:tc>
          <w:tcPr>
            <w:tcW w:type="dxa" w:w="2512"/>
          </w:tcPr>
          <w:p>
            <w:pPr>
              <w:spacing w:after="0"/>
            </w:pPr>
            <w:r>
              <w:rPr>
                <w:sz w:val="19"/>
              </w:rPr>
              <w:t>Erwartung laut Recherche</w:t>
            </w:r>
          </w:p>
        </w:tc>
        <w:tc>
          <w:tcPr>
            <w:tcW w:type="dxa" w:w="6899"/>
          </w:tcPr>
          <w:p>
            <w:pPr>
              <w:spacing w:after="0"/>
            </w:pPr>
            <w:r>
              <w:rPr>
                <w:sz w:val="19"/>
              </w:rPr>
              <w:t>In ca. 54° Nord längster Tag ca. 17 Std., kürzester ca. 7½ Std.; NOAA Solar Calculation</w:t>
            </w:r>
          </w:p>
        </w:tc>
      </w:tr>
      <w:tr>
        <w:trPr/>
        <w:tc>
          <w:tcPr>
            <w:tcW w:type="dxa" w:w="2512"/>
          </w:tcPr>
          <w:p>
            <w:pPr>
              <w:spacing w:after="0"/>
            </w:pPr>
            <w:r>
              <w:rPr>
                <w:sz w:val="19"/>
              </w:rPr>
              <w:t>Zwischenschritte</w:t>
            </w:r>
          </w:p>
        </w:tc>
        <w:tc>
          <w:tcPr>
            <w:tcW w:type="dxa" w:w="6899"/>
          </w:tcPr>
          <w:p>
            <w:pPr>
              <w:spacing w:after="0"/>
            </w:pPr>
            <w:r>
              <w:rPr>
                <w:sz w:val="19"/>
              </w:rPr>
              <w:t>1) Sonnenhöhe je Stunde nach NOAA 2) Einteilung nach Sonnenhöhe 3) Gegenprüfung mit Open-Meteo</w:t>
            </w:r>
          </w:p>
        </w:tc>
      </w:tr>
      <w:tr>
        <w:trPr/>
        <w:tc>
          <w:tcPr>
            <w:tcW w:type="dxa" w:w="2512"/>
          </w:tcPr>
          <w:p>
            <w:pPr>
              <w:spacing w:after="0"/>
            </w:pPr>
            <w:r>
              <w:rPr>
                <w:sz w:val="19"/>
              </w:rPr>
              <w:t>Zwischenergebnis</w:t>
            </w:r>
          </w:p>
        </w:tc>
        <w:tc>
          <w:tcPr>
            <w:tcW w:type="dxa" w:w="6899"/>
          </w:tcPr>
          <w:p>
            <w:pPr>
              <w:spacing w:after="0"/>
            </w:pPr>
            <w:r>
              <w:rPr>
                <w:sz w:val="19"/>
              </w:rPr>
              <w:t>Abweichung im Mittel ca. 2 Min., max. 5 Min.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selbst berechnen (unabhängig, für jede Stadt) · </w:t>
            </w:r>
            <w:r>
              <w:rPr>
                <w:b/>
                <w:sz w:val="19"/>
              </w:rPr>
              <w:t>B</w:t>
            </w:r>
            <w:r>
              <w:rPr>
                <w:sz w:val="19"/>
              </w:rPr>
              <w:t xml:space="preserve"> nur Open-Meteo-Werte übernehmen (abhängig von Dienst)</w:t>
            </w:r>
          </w:p>
        </w:tc>
      </w:tr>
      <w:tr>
        <w:trPr/>
        <w:tc>
          <w:tcPr>
            <w:tcW w:type="dxa" w:w="2512"/>
          </w:tcPr>
          <w:p>
            <w:pPr>
              <w:spacing w:after="0"/>
            </w:pPr>
            <w:r>
              <w:rPr>
                <w:sz w:val="19"/>
              </w:rPr>
              <w:t>Entscheidung + Begründung</w:t>
            </w:r>
          </w:p>
        </w:tc>
        <w:tc>
          <w:tcPr>
            <w:tcW w:type="dxa" w:w="6899"/>
          </w:tcPr>
          <w:p>
            <w:pPr>
              <w:spacing w:after="0"/>
            </w:pPr>
            <w:r>
              <w:rPr>
                <w:sz w:val="19"/>
              </w:rPr>
              <w:t>A mit B als Gegenprobe (28.09.2026): Grundsatz prüfen und gegenprüfen</w:t>
            </w:r>
          </w:p>
        </w:tc>
      </w:tr>
      <w:tr>
        <w:trPr/>
        <w:tc>
          <w:tcPr>
            <w:tcW w:type="dxa" w:w="2512"/>
          </w:tcPr>
          <w:p>
            <w:pPr>
              <w:spacing w:after="0"/>
            </w:pPr>
            <w:r>
              <w:rPr>
                <w:sz w:val="19"/>
              </w:rPr>
              <w:t>Endergebnis</w:t>
            </w:r>
          </w:p>
        </w:tc>
        <w:tc>
          <w:tcPr>
            <w:tcW w:type="dxa" w:w="6899"/>
          </w:tcPr>
          <w:p>
            <w:pPr>
              <w:spacing w:after="0"/>
            </w:pPr>
            <w:r>
              <w:rPr>
                <w:sz w:val="19"/>
              </w:rPr>
              <w:t>W3: Tag (Sonnenhöhe &gt; −0,833°) · Dämmerung (−6° bis −0,833°) · Nacht (&lt; −6°)</w:t>
            </w:r>
          </w:p>
        </w:tc>
      </w:tr>
      <w:tr>
        <w:trPr/>
        <w:tc>
          <w:tcPr>
            <w:tcW w:type="dxa" w:w="2512"/>
          </w:tcPr>
          <w:p>
            <w:pPr>
              <w:spacing w:after="0"/>
            </w:pPr>
            <w:r>
              <w:rPr>
                <w:sz w:val="19"/>
              </w:rPr>
              <w:t>Hinweise / Gefahren</w:t>
            </w:r>
          </w:p>
        </w:tc>
        <w:tc>
          <w:tcPr>
            <w:tcW w:type="dxa" w:w="6899"/>
          </w:tcPr>
          <w:p>
            <w:pPr>
              <w:spacing w:after="0"/>
            </w:pPr>
            <w:r>
              <w:rPr>
                <w:sz w:val="19"/>
              </w:rPr>
              <w:t>Zeitzone des Standorts beachten (Schritt 4.2)</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Sonnenhöhe ist ein besseres Merkmal als die Uhrzeit</w:t>
            </w:r>
          </w:p>
        </w:tc>
      </w:tr>
      <w:tr>
        <w:trPr/>
        <w:tc>
          <w:tcPr>
            <w:tcW w:type="dxa" w:w="2512"/>
          </w:tcPr>
          <w:p>
            <w:pPr>
              <w:spacing w:after="0"/>
            </w:pPr>
            <w:r>
              <w:rPr>
                <w:sz w:val="19"/>
              </w:rPr>
              <w:t>Verweise</w:t>
            </w:r>
          </w:p>
        </w:tc>
        <w:tc>
          <w:tcPr>
            <w:tcW w:type="dxa" w:w="6899"/>
          </w:tcPr>
          <w:p>
            <w:pPr>
              <w:spacing w:after="0"/>
            </w:pPr>
            <w:r>
              <w:rPr>
                <w:sz w:val="19"/>
              </w:rPr>
              <w:t>N3 Kap. 5–6 · W3</w:t>
            </w:r>
          </w:p>
        </w:tc>
      </w:tr>
      <w:tr>
        <w:trPr/>
        <w:tc>
          <w:tcPr>
            <w:tcW w:type="dxa" w:w="2512"/>
          </w:tcPr>
          <w:p>
            <w:pPr>
              <w:spacing w:after="0"/>
            </w:pPr>
            <w:r>
              <w:rPr>
                <w:sz w:val="19"/>
              </w:rPr>
              <w:t>Einfach erklärt</w:t>
            </w:r>
          </w:p>
        </w:tc>
        <w:tc>
          <w:tcPr>
            <w:tcW w:type="dxa" w:w="6899"/>
          </w:tcPr>
          <w:p>
            <w:pPr>
              <w:spacing w:after="0"/>
            </w:pPr>
            <w:r>
              <w:rPr>
                <w:sz w:val="19"/>
              </w:rPr>
              <w:t>Ob es hell ist, hängt vom Sonnenstand ab, nicht von der Uhrzeit: Im Juni ist es um 21 Uhr hell, im Dezember schon um 16 Uhr dunkel. Deshalb wird für jede Stunde berechnet, ob Tag, Dämmerung oder Nacht ist.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3.6 – Reihenfolge der Notebooks</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Die Analyse braucht Wetter und Sonnenstand – in welcher Reihenfolge laufen die Notebooks?</w:t>
            </w:r>
          </w:p>
        </w:tc>
      </w:tr>
      <w:tr>
        <w:trPr/>
        <w:tc>
          <w:tcPr>
            <w:tcW w:type="dxa" w:w="2512"/>
          </w:tcPr>
          <w:p>
            <w:pPr>
              <w:spacing w:after="0"/>
            </w:pPr>
            <w:r>
              <w:rPr>
                <w:sz w:val="19"/>
              </w:rPr>
              <w:t>Eigene Erwartung</w:t>
            </w:r>
          </w:p>
        </w:tc>
        <w:tc>
          <w:tcPr>
            <w:tcW w:type="dxa" w:w="6899"/>
          </w:tcPr>
          <w:p>
            <w:pPr>
              <w:spacing w:after="0"/>
            </w:pPr>
            <w:r>
              <w:rPr>
                <w:sz w:val="19"/>
              </w:rPr>
              <w:t>Analyse bleibt N3</w:t>
            </w:r>
          </w:p>
        </w:tc>
      </w:tr>
      <w:tr>
        <w:trPr/>
        <w:tc>
          <w:tcPr>
            <w:tcW w:type="dxa" w:w="2512"/>
          </w:tcPr>
          <w:p>
            <w:pPr>
              <w:spacing w:after="0"/>
            </w:pPr>
            <w:r>
              <w:rPr>
                <w:sz w:val="19"/>
              </w:rPr>
              <w:t>Erwartung laut Recherche</w:t>
            </w:r>
          </w:p>
        </w:tc>
        <w:tc>
          <w:tcPr>
            <w:tcW w:type="dxa" w:w="6899"/>
          </w:tcPr>
          <w:p>
            <w:pPr>
              <w:spacing w:after="0"/>
            </w:pPr>
            <w:r>
              <w:rPr>
                <w:sz w:val="19"/>
              </w:rPr>
              <w:t>In einer Pipeline bestimmt die Reihenfolge die Abhängigkeiten</w:t>
            </w:r>
          </w:p>
        </w:tc>
      </w:tr>
      <w:tr>
        <w:trPr/>
        <w:tc>
          <w:tcPr>
            <w:tcW w:type="dxa" w:w="2512"/>
          </w:tcPr>
          <w:p>
            <w:pPr>
              <w:spacing w:after="0"/>
            </w:pPr>
            <w:r>
              <w:rPr>
                <w:sz w:val="19"/>
              </w:rPr>
              <w:t>Zwischenschritte</w:t>
            </w:r>
          </w:p>
        </w:tc>
        <w:tc>
          <w:tcPr>
            <w:tcW w:type="dxa" w:w="6899"/>
          </w:tcPr>
          <w:p>
            <w:pPr>
              <w:spacing w:after="0"/>
            </w:pPr>
            <w:r>
              <w:rPr>
                <w:sz w:val="19"/>
              </w:rPr>
              <w:t>1) Wetter als eigenes Notebook 2) Analyse umbenennen</w:t>
            </w:r>
          </w:p>
        </w:tc>
      </w:tr>
      <w:tr>
        <w:trPr/>
        <w:tc>
          <w:tcPr>
            <w:tcW w:type="dxa" w:w="2512"/>
          </w:tcPr>
          <w:p>
            <w:pPr>
              <w:spacing w:after="0"/>
            </w:pPr>
            <w:r>
              <w:rPr>
                <w:sz w:val="19"/>
              </w:rPr>
              <w:t>Zwischenergebnis</w:t>
            </w:r>
          </w:p>
        </w:tc>
        <w:tc>
          <w:tcPr>
            <w:tcW w:type="dxa" w:w="6899"/>
          </w:tcPr>
          <w:p>
            <w:pPr>
              <w:spacing w:after="0"/>
            </w:pPr>
            <w:r>
              <w:rPr>
                <w:sz w:val="19"/>
              </w:rPr>
              <w:t>Bis 28.09. hieß die Analyse „N3“ – Verweise in Anleitung AN-ITS-002 veraltet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N3 = Wetter, N4 = Analyse (Nummer = Ausführungsreihenfolge) · </w:t>
            </w:r>
            <w:r>
              <w:rPr>
                <w:b/>
                <w:sz w:val="19"/>
              </w:rPr>
              <w:t>B</w:t>
            </w:r>
            <w:r>
              <w:rPr>
                <w:sz w:val="19"/>
              </w:rPr>
              <w:t xml:space="preserve"> Wetter als N5 (Nummern stimmen nicht mit der Reihenfolge)</w:t>
            </w:r>
          </w:p>
        </w:tc>
      </w:tr>
      <w:tr>
        <w:trPr/>
        <w:tc>
          <w:tcPr>
            <w:tcW w:type="dxa" w:w="2512"/>
          </w:tcPr>
          <w:p>
            <w:pPr>
              <w:spacing w:after="0"/>
            </w:pPr>
            <w:r>
              <w:rPr>
                <w:sz w:val="19"/>
              </w:rPr>
              <w:t>Entscheidung + Begründung</w:t>
            </w:r>
          </w:p>
        </w:tc>
        <w:tc>
          <w:tcPr>
            <w:tcW w:type="dxa" w:w="6899"/>
          </w:tcPr>
          <w:p>
            <w:pPr>
              <w:spacing w:after="0"/>
            </w:pPr>
            <w:r>
              <w:rPr>
                <w:sz w:val="19"/>
              </w:rPr>
              <w:t>A (28.09.2026): für die Master-Pipeline eindeutig</w:t>
            </w:r>
          </w:p>
        </w:tc>
      </w:tr>
      <w:tr>
        <w:trPr/>
        <w:tc>
          <w:tcPr>
            <w:tcW w:type="dxa" w:w="2512"/>
          </w:tcPr>
          <w:p>
            <w:pPr>
              <w:spacing w:after="0"/>
            </w:pPr>
            <w:r>
              <w:rPr>
                <w:sz w:val="19"/>
              </w:rPr>
              <w:t>Endergebnis</w:t>
            </w:r>
          </w:p>
        </w:tc>
        <w:tc>
          <w:tcPr>
            <w:tcW w:type="dxa" w:w="6899"/>
          </w:tcPr>
          <w:p>
            <w:pPr>
              <w:spacing w:after="0"/>
            </w:pPr>
            <w:r>
              <w:rPr>
                <w:sz w:val="19"/>
              </w:rPr>
              <w:t>N1 Bereinigung → N2 Qualität → N3 Wetter → N4 Analyse/Gold</w:t>
            </w:r>
          </w:p>
        </w:tc>
      </w:tr>
      <w:tr>
        <w:trPr/>
        <w:tc>
          <w:tcPr>
            <w:tcW w:type="dxa" w:w="2512"/>
          </w:tcPr>
          <w:p>
            <w:pPr>
              <w:spacing w:after="0"/>
            </w:pPr>
            <w:r>
              <w:rPr>
                <w:sz w:val="19"/>
              </w:rPr>
              <w:t>Hinweise / Gefahren</w:t>
            </w:r>
          </w:p>
        </w:tc>
        <w:tc>
          <w:tcPr>
            <w:tcW w:type="dxa" w:w="6899"/>
          </w:tcPr>
          <w:p>
            <w:pPr>
              <w:spacing w:after="0"/>
            </w:pPr>
            <w:r>
              <w:rPr>
                <w:sz w:val="19"/>
              </w:rPr>
              <w:t>Alte Bezeichnungen in Anleitung und Grafiken nachziehen</w:t>
            </w:r>
          </w:p>
        </w:tc>
      </w:tr>
      <w:tr>
        <w:trPr/>
        <w:tc>
          <w:tcPr>
            <w:tcW w:type="dxa" w:w="2512"/>
          </w:tcPr>
          <w:p>
            <w:pPr>
              <w:spacing w:after="0"/>
            </w:pPr>
            <w:r>
              <w:rPr>
                <w:sz w:val="19"/>
              </w:rPr>
              <w:t>Klärung (Stand Abschluss)</w:t>
            </w:r>
          </w:p>
        </w:tc>
        <w:tc>
          <w:tcPr>
            <w:tcW w:type="dxa" w:w="6899"/>
          </w:tcPr>
          <w:p>
            <w:pPr>
              <w:spacing w:after="0"/>
            </w:pPr>
            <w:r>
              <w:rPr>
                <w:sz w:val="19"/>
              </w:rPr>
              <w:t xml:space="preserve">AN-ITS-002 aktualisieren (Schritt 5.12) → </w:t>
            </w:r>
            <w:r>
              <w:rPr>
                <w:b/>
                <w:sz w:val="19"/>
              </w:rPr>
              <w:t>Stand 05.10.2026:</w:t>
            </w:r>
            <w:r>
              <w:rPr>
                <w:sz w:val="19"/>
              </w:rPr>
              <w:t xml:space="preserve"> erledigt (in AN-ITS-001 aufgegangen)</w:t>
            </w:r>
          </w:p>
        </w:tc>
      </w:tr>
      <w:tr>
        <w:trPr/>
        <w:tc>
          <w:tcPr>
            <w:tcW w:type="dxa" w:w="2512"/>
          </w:tcPr>
          <w:p>
            <w:pPr>
              <w:spacing w:after="0"/>
            </w:pPr>
            <w:r>
              <w:rPr>
                <w:sz w:val="19"/>
              </w:rPr>
              <w:t>Für Agenten / ML</w:t>
            </w:r>
          </w:p>
        </w:tc>
        <w:tc>
          <w:tcPr>
            <w:tcW w:type="dxa" w:w="6899"/>
          </w:tcPr>
          <w:p>
            <w:pPr>
              <w:spacing w:after="0"/>
            </w:pPr>
            <w:r>
              <w:rPr>
                <w:sz w:val="19"/>
              </w:rPr>
              <w:t>Nummerierung = Abhängigkeitsreihenfolge</w:t>
            </w:r>
          </w:p>
        </w:tc>
      </w:tr>
      <w:tr>
        <w:trPr/>
        <w:tc>
          <w:tcPr>
            <w:tcW w:type="dxa" w:w="2512"/>
          </w:tcPr>
          <w:p>
            <w:pPr>
              <w:spacing w:after="0"/>
            </w:pPr>
            <w:r>
              <w:rPr>
                <w:sz w:val="19"/>
              </w:rPr>
              <w:t>Verweise</w:t>
            </w:r>
          </w:p>
        </w:tc>
        <w:tc>
          <w:tcPr>
            <w:tcW w:type="dxa" w:w="6899"/>
          </w:tcPr>
          <w:p>
            <w:pPr>
              <w:spacing w:after="0"/>
            </w:pPr>
            <w:r>
              <w:rPr>
                <w:sz w:val="19"/>
              </w:rPr>
              <w:t>Projektplan Kap. 6</w:t>
            </w:r>
          </w:p>
        </w:tc>
      </w:tr>
      <w:tr>
        <w:trPr/>
        <w:tc>
          <w:tcPr>
            <w:tcW w:type="dxa" w:w="2512"/>
          </w:tcPr>
          <w:p>
            <w:pPr>
              <w:spacing w:after="0"/>
            </w:pPr>
            <w:r>
              <w:rPr>
                <w:sz w:val="19"/>
              </w:rPr>
              <w:t>Einfach erklärt</w:t>
            </w:r>
          </w:p>
        </w:tc>
        <w:tc>
          <w:tcPr>
            <w:tcW w:type="dxa" w:w="6899"/>
          </w:tcPr>
          <w:p>
            <w:pPr>
              <w:spacing w:after="0"/>
            </w:pPr>
            <w:r>
              <w:rPr>
                <w:sz w:val="19"/>
              </w:rPr>
              <w:t>Wie beim Kochen: Erst putzen (N1), dann prüfen (N2), dann würzen (N3 Wetter), dann anrichten (Gold) – jede Stufe braucht das Ergebnis der vorherigen.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3.7 – Analyse Flugverhalten A1–A6</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Anforderung Projektleitung 28.09.2026: Flug je Monat, Tageszeit, Außentemperatur, Stunde, Regen und Sonne auswerten</w:t>
            </w:r>
          </w:p>
        </w:tc>
      </w:tr>
      <w:tr>
        <w:trPr/>
        <w:tc>
          <w:tcPr>
            <w:tcW w:type="dxa" w:w="2512"/>
          </w:tcPr>
          <w:p>
            <w:pPr>
              <w:spacing w:after="0"/>
            </w:pPr>
            <w:r>
              <w:rPr>
                <w:sz w:val="19"/>
              </w:rPr>
              <w:t>Eigene Erwartung</w:t>
            </w:r>
          </w:p>
        </w:tc>
        <w:tc>
          <w:tcPr>
            <w:tcW w:type="dxa" w:w="6899"/>
          </w:tcPr>
          <w:p>
            <w:pPr>
              <w:spacing w:after="0"/>
            </w:pPr>
            <w:r>
              <w:rPr>
                <w:sz w:val="19"/>
              </w:rPr>
              <w:t>Flug fast nur bei Tag; Maximum bei warmem, sonnigem Wetter; Rückgang bei großer Hitze</w:t>
            </w:r>
          </w:p>
        </w:tc>
      </w:tr>
      <w:tr>
        <w:trPr/>
        <w:tc>
          <w:tcPr>
            <w:tcW w:type="dxa" w:w="2512"/>
          </w:tcPr>
          <w:p>
            <w:pPr>
              <w:spacing w:after="0"/>
            </w:pPr>
            <w:r>
              <w:rPr>
                <w:sz w:val="19"/>
              </w:rPr>
              <w:t>Erwartung laut Recherche</w:t>
            </w:r>
          </w:p>
        </w:tc>
        <w:tc>
          <w:tcPr>
            <w:tcW w:type="dxa" w:w="6899"/>
          </w:tcPr>
          <w:p>
            <w:pPr>
              <w:spacing w:after="0"/>
            </w:pPr>
            <w:r>
              <w:rPr>
                <w:sz w:val="19"/>
              </w:rPr>
              <w:t>wie Schritt 2.10 [R3][R4]</w:t>
            </w:r>
          </w:p>
        </w:tc>
      </w:tr>
      <w:tr>
        <w:trPr/>
        <w:tc>
          <w:tcPr>
            <w:tcW w:type="dxa" w:w="2512"/>
          </w:tcPr>
          <w:p>
            <w:pPr>
              <w:spacing w:after="0"/>
            </w:pPr>
            <w:r>
              <w:rPr>
                <w:sz w:val="19"/>
              </w:rPr>
              <w:t>Zwischenschritte</w:t>
            </w:r>
          </w:p>
        </w:tc>
        <w:tc>
          <w:tcPr>
            <w:tcW w:type="dxa" w:w="6899"/>
          </w:tcPr>
          <w:p>
            <w:pPr>
              <w:spacing w:after="0"/>
            </w:pPr>
            <w:r>
              <w:rPr>
                <w:sz w:val="19"/>
              </w:rPr>
              <w:t>1) Kennzahl Flugbewegungen/Min. (Ein- + Ausflüge), auffällige Werte ausgeschlossen 2) Tag/Dämmerung/Nacht 3) 5-Grad-Stufen × Monat 4) Mittag 12–15 Uhr getrennt 5) Regen/Sonne</w:t>
            </w:r>
          </w:p>
        </w:tc>
      </w:tr>
      <w:tr>
        <w:trPr/>
        <w:tc>
          <w:tcPr>
            <w:tcW w:type="dxa" w:w="2512"/>
          </w:tcPr>
          <w:p>
            <w:pPr>
              <w:spacing w:after="0"/>
            </w:pPr>
            <w:r>
              <w:rPr>
                <w:sz w:val="19"/>
              </w:rPr>
              <w:t>Zwischenergebnis</w:t>
            </w:r>
          </w:p>
        </w:tc>
        <w:tc>
          <w:tcPr>
            <w:tcW w:type="dxa" w:w="6899"/>
          </w:tcPr>
          <w:p>
            <w:pPr>
              <w:spacing w:after="0"/>
            </w:pPr>
            <w:r>
              <w:rPr>
                <w:sz w:val="19"/>
              </w:rPr>
              <w:t>Über 30 °C −26 %, aber im Mai &gt; 30 °C Spitzenwert 370/Min. → Jahreszeit überlagert Hitze</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Einzelgrafiken je Größe · </w:t>
            </w:r>
            <w:r>
              <w:rPr>
                <w:b/>
                <w:sz w:val="19"/>
              </w:rPr>
              <w:t>B</w:t>
            </w:r>
            <w:r>
              <w:rPr>
                <w:sz w:val="19"/>
              </w:rPr>
              <w:t xml:space="preserve"> kombinierte Auswertung (Mittagshitze A5) · </w:t>
            </w:r>
            <w:r>
              <w:rPr>
                <w:b/>
                <w:sz w:val="19"/>
              </w:rPr>
              <w:t>C</w:t>
            </w:r>
            <w:r>
              <w:rPr>
                <w:sz w:val="19"/>
              </w:rPr>
              <w:t xml:space="preserve"> Modell (später)</w:t>
            </w:r>
          </w:p>
        </w:tc>
      </w:tr>
      <w:tr>
        <w:trPr/>
        <w:tc>
          <w:tcPr>
            <w:tcW w:type="dxa" w:w="2512"/>
          </w:tcPr>
          <w:p>
            <w:pPr>
              <w:spacing w:after="0"/>
            </w:pPr>
            <w:r>
              <w:rPr>
                <w:sz w:val="19"/>
              </w:rPr>
              <w:t>Entscheidung + Begründung</w:t>
            </w:r>
          </w:p>
        </w:tc>
        <w:tc>
          <w:tcPr>
            <w:tcW w:type="dxa" w:w="6899"/>
          </w:tcPr>
          <w:p>
            <w:pPr>
              <w:spacing w:after="0"/>
            </w:pPr>
            <w:r>
              <w:rPr>
                <w:sz w:val="19"/>
              </w:rPr>
              <w:t>A + B (28.09.2026); C als Kann-Ziel</w:t>
            </w:r>
          </w:p>
        </w:tc>
      </w:tr>
      <w:tr>
        <w:trPr/>
        <w:tc>
          <w:tcPr>
            <w:tcW w:type="dxa" w:w="2512"/>
          </w:tcPr>
          <w:p>
            <w:pPr>
              <w:spacing w:after="0"/>
            </w:pPr>
            <w:r>
              <w:rPr>
                <w:sz w:val="19"/>
              </w:rPr>
              <w:t>Endergebnis</w:t>
            </w:r>
          </w:p>
        </w:tc>
        <w:tc>
          <w:tcPr>
            <w:tcW w:type="dxa" w:w="6899"/>
          </w:tcPr>
          <w:p>
            <w:pPr>
              <w:spacing w:after="0"/>
            </w:pPr>
            <w:r>
              <w:rPr>
                <w:sz w:val="19"/>
              </w:rPr>
              <w:t>A1/A2: 89,9 % bei Tag · 2,9 % Dämmerung · 7,2 % Nacht · A3/A5: kein Flug &lt; 5 °C, Maximum 20–30 °C (ca. 190/Min. = 2,4 × Tagesschnitt 79) · A4/A6: Regen −58 %, volle Sonne 125/Min. vs. keine Sonne 38</w:t>
            </w:r>
          </w:p>
        </w:tc>
      </w:tr>
      <w:tr>
        <w:trPr/>
        <w:tc>
          <w:tcPr>
            <w:tcW w:type="dxa" w:w="2512"/>
          </w:tcPr>
          <w:p>
            <w:pPr>
              <w:spacing w:after="0"/>
            </w:pPr>
            <w:r>
              <w:rPr>
                <w:sz w:val="19"/>
              </w:rPr>
              <w:t>Hinweise / Gefahren</w:t>
            </w:r>
          </w:p>
        </w:tc>
        <w:tc>
          <w:tcPr>
            <w:tcW w:type="dxa" w:w="6899"/>
          </w:tcPr>
          <w:p>
            <w:pPr>
              <w:spacing w:after="0"/>
            </w:pPr>
            <w:r>
              <w:rPr>
                <w:sz w:val="19"/>
              </w:rPr>
              <w:t>Einflussgrößen hängen zusammen (mittags = warm + hell + Tag) → Scheineffekte (→ Schritt 4.4) · Nachtanteil Dez. = Einzelsignale</w:t>
            </w:r>
          </w:p>
        </w:tc>
      </w:tr>
      <w:tr>
        <w:trPr/>
        <w:tc>
          <w:tcPr>
            <w:tcW w:type="dxa" w:w="2512"/>
          </w:tcPr>
          <w:p>
            <w:pPr>
              <w:spacing w:after="0"/>
            </w:pPr>
            <w:r>
              <w:rPr>
                <w:sz w:val="19"/>
              </w:rPr>
              <w:t>Klärung (Stand Abschluss)</w:t>
            </w:r>
          </w:p>
        </w:tc>
        <w:tc>
          <w:tcPr>
            <w:tcW w:type="dxa" w:w="6899"/>
          </w:tcPr>
          <w:p>
            <w:pPr>
              <w:spacing w:after="0"/>
            </w:pPr>
            <w:r>
              <w:rPr>
                <w:sz w:val="19"/>
              </w:rPr>
              <w:t xml:space="preserve">fachliche Belege Flugverhalten; F1 Vorzeichen → </w:t>
            </w:r>
            <w:r>
              <w:rPr>
                <w:b/>
                <w:sz w:val="19"/>
              </w:rPr>
              <w:t>Stand 05.10.2026:</w:t>
            </w:r>
            <w:r>
              <w:rPr>
                <w:sz w:val="19"/>
              </w:rPr>
              <w:t xml:space="preserve"> F1 erledigt; fachliche Belege → Folgeprojekt FP-2 (mit einer Imkerei bestätigen)</w:t>
            </w:r>
          </w:p>
        </w:tc>
      </w:tr>
      <w:tr>
        <w:trPr/>
        <w:tc>
          <w:tcPr>
            <w:tcW w:type="dxa" w:w="2512"/>
          </w:tcPr>
          <w:p>
            <w:pPr>
              <w:spacing w:after="0"/>
            </w:pPr>
            <w:r>
              <w:rPr>
                <w:sz w:val="19"/>
              </w:rPr>
              <w:t>Für Agenten / ML</w:t>
            </w:r>
          </w:p>
        </w:tc>
        <w:tc>
          <w:tcPr>
            <w:tcW w:type="dxa" w:w="6899"/>
          </w:tcPr>
          <w:p>
            <w:pPr>
              <w:spacing w:after="0"/>
            </w:pPr>
            <w:r>
              <w:rPr>
                <w:sz w:val="19"/>
              </w:rPr>
              <w:t>Merkmale: Sonnenhöhe, Außentemperatur, Regen, Sonnenschein, Monat</w:t>
            </w:r>
          </w:p>
        </w:tc>
      </w:tr>
      <w:tr>
        <w:trPr/>
        <w:tc>
          <w:tcPr>
            <w:tcW w:type="dxa" w:w="2512"/>
          </w:tcPr>
          <w:p>
            <w:pPr>
              <w:spacing w:after="0"/>
            </w:pPr>
            <w:r>
              <w:rPr>
                <w:sz w:val="19"/>
              </w:rPr>
              <w:t>Verweise</w:t>
            </w:r>
          </w:p>
        </w:tc>
        <w:tc>
          <w:tcPr>
            <w:tcW w:type="dxa" w:w="6899"/>
          </w:tcPr>
          <w:p>
            <w:pPr>
              <w:spacing w:after="0"/>
            </w:pPr>
            <w:r>
              <w:rPr>
                <w:sz w:val="19"/>
              </w:rPr>
              <w:t xml:space="preserve">N4 · </w:t>
            </w:r>
            <w:hyperlink r:id="rId19">
              <w:r>
                <w:rPr>
                  <w:color w:val="0563C1"/>
                  <w:u w:val="single"/>
                </w:rPr>
                <w:t xml:space="preserve">04_images/schwartau/a2_flug_tageszeit.png</w:t>
              </w:r>
            </w:hyperlink>
            <w:r>
              <w:rPr>
                <w:sz w:val="19"/>
              </w:rPr>
              <w:t xml:space="preserve"> · </w:t>
            </w:r>
            <w:hyperlink r:id="rId20">
              <w:r>
                <w:rPr>
                  <w:color w:val="0563C1"/>
                  <w:u w:val="single"/>
                </w:rPr>
                <w:t xml:space="preserve">04_images/schwartau/a3_a5_flug_temperatur.png</w:t>
              </w:r>
            </w:hyperlink>
            <w:r>
              <w:rPr>
                <w:sz w:val="19"/>
              </w:rPr>
              <w:t xml:space="preserve"> · </w:t>
            </w:r>
            <w:hyperlink r:id="rId12">
              <w:r>
                <w:rPr>
                  <w:color w:val="0563C1"/>
                  <w:u w:val="single"/>
                </w:rPr>
                <w:t xml:space="preserve">04_images/schwartau/a4_a6_flug_regen_sonne_stunde.png</w:t>
              </w:r>
            </w:hyperlink>
            <w:r>
              <w:rPr>
                <w:sz w:val="19"/>
              </w:rPr>
              <w:t xml:space="preserve"> · Idee I20, I21</w:t>
            </w:r>
          </w:p>
        </w:tc>
      </w:tr>
      <w:tr>
        <w:trPr/>
        <w:tc>
          <w:tcPr>
            <w:tcW w:type="dxa" w:w="2512"/>
          </w:tcPr>
          <w:p>
            <w:pPr>
              <w:spacing w:after="0"/>
            </w:pPr>
            <w:r>
              <w:rPr>
                <w:sz w:val="19"/>
              </w:rPr>
              <w:t>Einfach erklärt</w:t>
            </w:r>
          </w:p>
        </w:tc>
        <w:tc>
          <w:tcPr>
            <w:tcW w:type="dxa" w:w="6899"/>
          </w:tcPr>
          <w:p>
            <w:pPr>
              <w:spacing w:after="0"/>
            </w:pPr>
            <w:r>
              <w:rPr>
                <w:sz w:val="19"/>
              </w:rPr>
              <w:t>Bienen fliegen fast nur bei Tageslicht, kaum unter 5 °C, am meisten bei 20–30 °C; Regen halbiert den Flug, Sonne verdreifacht ihn.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3.8 – Master-Pipeline Teil 1</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laufen die Pipelines in der richtigen Reihenfolge mit einem Start?</w:t>
            </w:r>
          </w:p>
        </w:tc>
      </w:tr>
      <w:tr>
        <w:trPr/>
        <w:tc>
          <w:tcPr>
            <w:tcW w:type="dxa" w:w="2512"/>
          </w:tcPr>
          <w:p>
            <w:pPr>
              <w:spacing w:after="0"/>
            </w:pPr>
            <w:r>
              <w:rPr>
                <w:sz w:val="19"/>
              </w:rPr>
              <w:t>Eigene Erwartung</w:t>
            </w:r>
          </w:p>
        </w:tc>
        <w:tc>
          <w:tcPr>
            <w:tcW w:type="dxa" w:w="6899"/>
          </w:tcPr>
          <w:p>
            <w:pPr>
              <w:spacing w:after="0"/>
            </w:pPr>
            <w:r>
              <w:rPr>
                <w:sz w:val="19"/>
              </w:rPr>
              <w:t>Pipelines einzeln starten</w:t>
            </w:r>
          </w:p>
        </w:tc>
      </w:tr>
      <w:tr>
        <w:trPr/>
        <w:tc>
          <w:tcPr>
            <w:tcW w:type="dxa" w:w="2512"/>
          </w:tcPr>
          <w:p>
            <w:pPr>
              <w:spacing w:after="0"/>
            </w:pPr>
            <w:r>
              <w:rPr>
                <w:sz w:val="19"/>
              </w:rPr>
              <w:t>Erwartung laut Recherche</w:t>
            </w:r>
          </w:p>
        </w:tc>
        <w:tc>
          <w:tcPr>
            <w:tcW w:type="dxa" w:w="6899"/>
          </w:tcPr>
          <w:p>
            <w:pPr>
              <w:spacing w:after="0"/>
            </w:pPr>
            <w:r>
              <w:rPr>
                <w:sz w:val="19"/>
              </w:rPr>
              <w:t>Kursvorgaben Kap. 8.14–8.22: Execute Pipeline (Pipeline ausführen) mit Abhängigkeit „bei Erfolg“ und „Auf Abschluss warten“</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pl_daily_processing</w:t>
            </w:r>
            <w:r>
              <w:rPr>
                <w:sz w:val="19"/>
              </w:rPr>
              <w:t xml:space="preserve"> 2) drei Execute-Pipeline-Aktivitäten </w:t>
            </w:r>
            <w:r>
              <w:rPr>
                <w:rFonts w:ascii="Courier New" w:hAnsi="Courier New"/>
                <w:sz w:val="17"/>
              </w:rPr>
              <w:t>rohdaten_nach_bronze</w:t>
            </w:r>
            <w:r>
              <w:rPr>
                <w:sz w:val="19"/>
              </w:rPr>
              <w:t xml:space="preserve"> → </w:t>
            </w:r>
            <w:r>
              <w:rPr>
                <w:rFonts w:ascii="Courier New" w:hAnsi="Courier New"/>
                <w:sz w:val="17"/>
              </w:rPr>
              <w:t>bronze_nach_silver</w:t>
            </w:r>
            <w:r>
              <w:rPr>
                <w:sz w:val="19"/>
              </w:rPr>
              <w:t xml:space="preserve"> → </w:t>
            </w:r>
            <w:r>
              <w:rPr>
                <w:rFonts w:ascii="Courier New" w:hAnsi="Courier New"/>
                <w:sz w:val="17"/>
              </w:rPr>
              <w:t>bronze_archivieren</w:t>
            </w:r>
            <w:r>
              <w:rPr>
                <w:sz w:val="19"/>
              </w:rPr>
              <w:t>, jeweils mit Beschreibung 3) Debug-Lauf</w:t>
            </w:r>
          </w:p>
        </w:tc>
      </w:tr>
      <w:tr>
        <w:trPr/>
        <w:tc>
          <w:tcPr>
            <w:tcW w:type="dxa" w:w="2512"/>
          </w:tcPr>
          <w:p>
            <w:pPr>
              <w:spacing w:after="0"/>
            </w:pPr>
            <w:r>
              <w:rPr>
                <w:sz w:val="19"/>
              </w:rPr>
              <w:t>Zwischenergebnis</w:t>
            </w:r>
          </w:p>
        </w:tc>
        <w:tc>
          <w:tcPr>
            <w:tcW w:type="dxa" w:w="6899"/>
          </w:tcPr>
          <w:p>
            <w:pPr>
              <w:spacing w:after="0"/>
            </w:pPr>
            <w:r>
              <w:rPr>
                <w:sz w:val="19"/>
              </w:rPr>
              <w:t>Debug-Lauf 28.09.2026 erfolgreich; Notebooks laufen noch nicht in Azure</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Master-Pipeline mit Execute Pipeline · </w:t>
            </w:r>
            <w:r>
              <w:rPr>
                <w:b/>
                <w:sz w:val="19"/>
              </w:rPr>
              <w:t>B</w:t>
            </w:r>
            <w:r>
              <w:rPr>
                <w:sz w:val="19"/>
              </w:rPr>
              <w:t xml:space="preserve"> Trigger je Pipeline mit Zeitabstand (unsicher, keine Abhängigkeit)</w:t>
            </w:r>
          </w:p>
        </w:tc>
      </w:tr>
      <w:tr>
        <w:trPr/>
        <w:tc>
          <w:tcPr>
            <w:tcW w:type="dxa" w:w="2512"/>
          </w:tcPr>
          <w:p>
            <w:pPr>
              <w:spacing w:after="0"/>
            </w:pPr>
            <w:r>
              <w:rPr>
                <w:sz w:val="19"/>
              </w:rPr>
              <w:t>Entscheidung + Begründung</w:t>
            </w:r>
          </w:p>
        </w:tc>
        <w:tc>
          <w:tcPr>
            <w:tcW w:type="dxa" w:w="6899"/>
          </w:tcPr>
          <w:p>
            <w:pPr>
              <w:spacing w:after="0"/>
            </w:pPr>
            <w:r>
              <w:rPr>
                <w:sz w:val="19"/>
              </w:rPr>
              <w:t xml:space="preserve">A (28.09.2026); </w:t>
            </w:r>
            <w:r>
              <w:rPr>
                <w:b/>
                <w:sz w:val="19"/>
              </w:rPr>
              <w:t>kein Trigger</w:t>
            </w:r>
            <w:r>
              <w:rPr>
                <w:sz w:val="19"/>
              </w:rPr>
              <w:t xml:space="preserve"> bis zur Kostenfreigabe</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pl_daily_processing</w:t>
            </w:r>
            <w:r>
              <w:rPr>
                <w:sz w:val="19"/>
              </w:rPr>
              <w:t xml:space="preserve"> veröffentlicht</w:t>
            </w:r>
          </w:p>
        </w:tc>
      </w:tr>
      <w:tr>
        <w:trPr/>
        <w:tc>
          <w:tcPr>
            <w:tcW w:type="dxa" w:w="2512"/>
          </w:tcPr>
          <w:p>
            <w:pPr>
              <w:spacing w:after="0"/>
            </w:pPr>
            <w:r>
              <w:rPr>
                <w:sz w:val="19"/>
              </w:rPr>
              <w:t>Hinweise / Gefahren</w:t>
            </w:r>
          </w:p>
        </w:tc>
        <w:tc>
          <w:tcPr>
            <w:tcW w:type="dxa" w:w="6899"/>
          </w:tcPr>
          <w:p>
            <w:pPr>
              <w:spacing w:after="0"/>
            </w:pPr>
            <w:r>
              <w:rPr>
                <w:sz w:val="19"/>
              </w:rPr>
              <w:t>Ohne „Auf Abschluss warten“ startet die nächste Stufe zu früh · Namen später nach Weg A ändern (Schritt 4.1)</w:t>
            </w:r>
          </w:p>
        </w:tc>
      </w:tr>
      <w:tr>
        <w:trPr/>
        <w:tc>
          <w:tcPr>
            <w:tcW w:type="dxa" w:w="2512"/>
          </w:tcPr>
          <w:p>
            <w:pPr>
              <w:spacing w:after="0"/>
            </w:pPr>
            <w:r>
              <w:rPr>
                <w:sz w:val="19"/>
              </w:rPr>
              <w:t>Klärung (Stand Abschluss)</w:t>
            </w:r>
          </w:p>
        </w:tc>
        <w:tc>
          <w:tcPr>
            <w:tcW w:type="dxa" w:w="6899"/>
          </w:tcPr>
          <w:p>
            <w:pPr>
              <w:spacing w:after="0"/>
            </w:pPr>
            <w:r>
              <w:rPr>
                <w:sz w:val="19"/>
              </w:rPr>
              <w:t xml:space="preserve">Fehlerbenachrichtigung (Azure Monitor Alert), Laufprotokoll → </w:t>
            </w:r>
            <w:r>
              <w:rPr>
                <w:b/>
                <w:sz w:val="19"/>
              </w:rPr>
              <w:t>Stand 05.10.2026:</w:t>
            </w:r>
            <w:r>
              <w:rPr>
                <w:sz w:val="19"/>
              </w:rPr>
              <w:t xml:space="preserve"> erledigt (5.10: Warnregeln; Laufverlauf im Monitor, Protokoll PR-ITS-006)</w:t>
            </w:r>
          </w:p>
        </w:tc>
      </w:tr>
      <w:tr>
        <w:trPr/>
        <w:tc>
          <w:tcPr>
            <w:tcW w:type="dxa" w:w="2512"/>
          </w:tcPr>
          <w:p>
            <w:pPr>
              <w:spacing w:after="0"/>
            </w:pPr>
            <w:r>
              <w:rPr>
                <w:sz w:val="19"/>
              </w:rPr>
              <w:t>Für Agenten / ML</w:t>
            </w:r>
          </w:p>
        </w:tc>
        <w:tc>
          <w:tcPr>
            <w:tcW w:type="dxa" w:w="6899"/>
          </w:tcPr>
          <w:p>
            <w:pPr>
              <w:spacing w:after="0"/>
            </w:pPr>
            <w:r>
              <w:rPr>
                <w:sz w:val="19"/>
              </w:rPr>
              <w:t>Ein Startpunkt je Tageslauf; Status je Stufe auswertbar</w:t>
            </w:r>
          </w:p>
        </w:tc>
      </w:tr>
      <w:tr>
        <w:trPr/>
        <w:tc>
          <w:tcPr>
            <w:tcW w:type="dxa" w:w="2512"/>
          </w:tcPr>
          <w:p>
            <w:pPr>
              <w:spacing w:after="0"/>
            </w:pPr>
            <w:r>
              <w:rPr>
                <w:sz w:val="19"/>
              </w:rPr>
              <w:t>Verweise</w:t>
            </w:r>
          </w:p>
        </w:tc>
        <w:tc>
          <w:tcPr>
            <w:tcW w:type="dxa" w:w="6899"/>
          </w:tcPr>
          <w:p>
            <w:pPr>
              <w:spacing w:after="0"/>
            </w:pPr>
            <w:r>
              <w:rPr>
                <w:sz w:val="19"/>
              </w:rPr>
              <w:t>Idee I22 · AN-ITS-001 Schritt 24</w:t>
            </w:r>
          </w:p>
        </w:tc>
      </w:tr>
      <w:tr>
        <w:trPr/>
        <w:tc>
          <w:tcPr>
            <w:tcW w:type="dxa" w:w="2512"/>
          </w:tcPr>
          <w:p>
            <w:pPr>
              <w:spacing w:after="0"/>
            </w:pPr>
            <w:r>
              <w:rPr>
                <w:sz w:val="19"/>
              </w:rPr>
              <w:t>Einfach erklärt</w:t>
            </w:r>
          </w:p>
        </w:tc>
        <w:tc>
          <w:tcPr>
            <w:tcW w:type="dxa" w:w="6899"/>
          </w:tcPr>
          <w:p>
            <w:pPr>
              <w:spacing w:after="0"/>
            </w:pPr>
            <w:r>
              <w:rPr>
                <w:sz w:val="19"/>
              </w:rPr>
              <w:t>Eine Master-Pipeline ist der Dirigent: Sie startet die einzelnen Pipelines in der richtigen Reihenfolge, und die nächste nur, wenn die vorherige geklappt hat.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3.9 – Notebooks für Azure vorbereiten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laufen die lokal entwickelten Notebooks später in Azure?</w:t>
            </w:r>
          </w:p>
        </w:tc>
      </w:tr>
      <w:tr>
        <w:trPr/>
        <w:tc>
          <w:tcPr>
            <w:tcW w:type="dxa" w:w="2512"/>
          </w:tcPr>
          <w:p>
            <w:pPr>
              <w:spacing w:after="0"/>
            </w:pPr>
            <w:r>
              <w:rPr>
                <w:sz w:val="19"/>
              </w:rPr>
              <w:t>Eigene Erwartung</w:t>
            </w:r>
          </w:p>
        </w:tc>
        <w:tc>
          <w:tcPr>
            <w:tcW w:type="dxa" w:w="6899"/>
          </w:tcPr>
          <w:p>
            <w:pPr>
              <w:spacing w:after="0"/>
            </w:pPr>
            <w:r>
              <w:rPr>
                <w:sz w:val="19"/>
              </w:rPr>
              <w:t>Notebook hochladen genügt</w:t>
            </w:r>
          </w:p>
        </w:tc>
      </w:tr>
      <w:tr>
        <w:trPr/>
        <w:tc>
          <w:tcPr>
            <w:tcW w:type="dxa" w:w="2512"/>
          </w:tcPr>
          <w:p>
            <w:pPr>
              <w:spacing w:after="0"/>
            </w:pPr>
            <w:r>
              <w:rPr>
                <w:sz w:val="19"/>
              </w:rPr>
              <w:t>Erwartung laut Recherche</w:t>
            </w:r>
          </w:p>
        </w:tc>
        <w:tc>
          <w:tcPr>
            <w:tcW w:type="dxa" w:w="6899"/>
          </w:tcPr>
          <w:p>
            <w:pPr>
              <w:spacing w:after="0"/>
            </w:pPr>
            <w:r>
              <w:rPr>
                <w:sz w:val="19"/>
              </w:rPr>
              <w:t xml:space="preserve">Synapse-Notebook-Aktivität mit Parameterzelle; Zugriff über </w:t>
            </w:r>
            <w:r>
              <w:rPr>
                <w:rFonts w:ascii="Courier New" w:hAnsi="Courier New"/>
                <w:sz w:val="17"/>
              </w:rPr>
              <w:t>abfss</w:t>
            </w:r>
            <w:r>
              <w:rPr>
                <w:sz w:val="19"/>
              </w:rPr>
              <w:t>-Pfade und Identität des Arbeitsbereichs; Kosten je Spark-Sitzung (Microsoft Learn)</w:t>
            </w:r>
          </w:p>
        </w:tc>
      </w:tr>
      <w:tr>
        <w:trPr/>
        <w:tc>
          <w:tcPr>
            <w:tcW w:type="dxa" w:w="2512"/>
          </w:tcPr>
          <w:p>
            <w:pPr>
              <w:spacing w:after="0"/>
            </w:pPr>
            <w:r>
              <w:rPr>
                <w:sz w:val="19"/>
              </w:rPr>
              <w:t>Zwischenschritte</w:t>
            </w:r>
          </w:p>
        </w:tc>
        <w:tc>
          <w:tcPr>
            <w:tcW w:type="dxa" w:w="6899"/>
          </w:tcPr>
          <w:p>
            <w:pPr>
              <w:spacing w:after="0"/>
            </w:pPr>
            <w:r>
              <w:rPr>
                <w:sz w:val="19"/>
              </w:rPr>
              <w:t>1) Generator erzeugt Kopien mit Parameterzelle und Dateifunktionen 2) lokaler Testlauf der Kopien 3) Vergleich mit lokalem Ergebnis</w:t>
            </w:r>
          </w:p>
        </w:tc>
      </w:tr>
      <w:tr>
        <w:trPr/>
        <w:tc>
          <w:tcPr>
            <w:tcW w:type="dxa" w:w="2512"/>
          </w:tcPr>
          <w:p>
            <w:pPr>
              <w:spacing w:after="0"/>
            </w:pPr>
            <w:r>
              <w:rPr>
                <w:sz w:val="19"/>
              </w:rPr>
              <w:t>Zwischenergebnis</w:t>
            </w:r>
          </w:p>
        </w:tc>
        <w:tc>
          <w:tcPr>
            <w:tcW w:type="dxa" w:w="6899"/>
          </w:tcPr>
          <w:p>
            <w:pPr>
              <w:spacing w:after="0"/>
            </w:pPr>
            <w:r>
              <w:rPr>
                <w:sz w:val="19"/>
              </w:rPr>
              <w:t>Kopien liefern lokal identische Ergebnisse</w:t>
            </w:r>
          </w:p>
        </w:tc>
      </w:tr>
      <w:tr>
        <w:trPr/>
        <w:tc>
          <w:tcPr>
            <w:tcW w:type="dxa" w:w="2512"/>
          </w:tcPr>
          <w:p>
            <w:pPr>
              <w:spacing w:after="0"/>
            </w:pPr>
            <w:r>
              <w:rPr>
                <w:sz w:val="19"/>
              </w:rPr>
              <w:t>Lösungswege</w:t>
            </w:r>
          </w:p>
        </w:tc>
        <w:tc>
          <w:tcPr>
            <w:tcW w:type="dxa" w:w="6899"/>
          </w:tcPr>
          <w:p>
            <w:pPr>
              <w:spacing w:after="0"/>
            </w:pPr>
            <w:r>
              <w:rPr>
                <w:sz w:val="19"/>
              </w:rPr>
              <w:t xml:space="preserve">K2: </w:t>
            </w:r>
            <w:r>
              <w:rPr>
                <w:b/>
                <w:sz w:val="19"/>
              </w:rPr>
              <w:t>a</w:t>
            </w:r>
            <w:r>
              <w:rPr>
                <w:sz w:val="19"/>
              </w:rPr>
              <w:t xml:space="preserve"> Synapse-Notebook in der Data Factory · </w:t>
            </w:r>
            <w:r>
              <w:rPr>
                <w:b/>
                <w:sz w:val="19"/>
              </w:rPr>
              <w:t>b</w:t>
            </w:r>
            <w:r>
              <w:rPr>
                <w:sz w:val="19"/>
              </w:rPr>
              <w:t xml:space="preserve"> Azure Databricks (zusätzlicher Dienst, Testphase 14 Tage) · </w:t>
            </w:r>
            <w:r>
              <w:rPr>
                <w:b/>
                <w:sz w:val="19"/>
              </w:rPr>
              <w:t>c</w:t>
            </w:r>
            <w:r>
              <w:rPr>
                <w:sz w:val="19"/>
              </w:rPr>
              <w:t xml:space="preserve"> Skript als Azure Function oder lokal (günstig, weniger pipeline-typisch)</w:t>
            </w:r>
          </w:p>
        </w:tc>
      </w:tr>
      <w:tr>
        <w:trPr/>
        <w:tc>
          <w:tcPr>
            <w:tcW w:type="dxa" w:w="2512"/>
          </w:tcPr>
          <w:p>
            <w:pPr>
              <w:spacing w:after="0"/>
            </w:pPr>
            <w:r>
              <w:rPr>
                <w:sz w:val="19"/>
              </w:rPr>
              <w:t>Entscheidung + Begründung</w:t>
            </w:r>
          </w:p>
        </w:tc>
        <w:tc>
          <w:tcPr>
            <w:tcW w:type="dxa" w:w="6899"/>
          </w:tcPr>
          <w:p>
            <w:pPr>
              <w:spacing w:after="0"/>
            </w:pPr>
            <w:r>
              <w:rPr>
                <w:sz w:val="19"/>
              </w:rPr>
              <w:t>a (28.09.2026): Standard der Vorgabe, Parameter übergebbar; Azure-Lauf erst nach Kostenfreigabe</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03_notebooks_ITS-Data/synapse/</w:t>
            </w:r>
            <w:r>
              <w:rPr>
                <w:sz w:val="19"/>
              </w:rPr>
              <w:t xml:space="preserve"> N1–N4</w:t>
            </w:r>
          </w:p>
        </w:tc>
      </w:tr>
      <w:tr>
        <w:trPr/>
        <w:tc>
          <w:tcPr>
            <w:tcW w:type="dxa" w:w="2512"/>
          </w:tcPr>
          <w:p>
            <w:pPr>
              <w:spacing w:after="0"/>
            </w:pPr>
            <w:r>
              <w:rPr>
                <w:sz w:val="19"/>
              </w:rPr>
              <w:t>Hinweise / Gefahren</w:t>
            </w:r>
          </w:p>
        </w:tc>
        <w:tc>
          <w:tcPr>
            <w:tcW w:type="dxa" w:w="6899"/>
          </w:tcPr>
          <w:p>
            <w:pPr>
              <w:spacing w:after="0"/>
            </w:pPr>
            <w:r>
              <w:rPr>
                <w:sz w:val="19"/>
              </w:rPr>
              <w:t>Kontoschlüssel nie in den Code · jede Notebook-Aktivität startet eine eigene Spark-Sitzung (Kosten)</w:t>
            </w:r>
          </w:p>
        </w:tc>
      </w:tr>
      <w:tr>
        <w:trPr/>
        <w:tc>
          <w:tcPr>
            <w:tcW w:type="dxa" w:w="2512"/>
          </w:tcPr>
          <w:p>
            <w:pPr>
              <w:spacing w:after="0"/>
            </w:pPr>
            <w:r>
              <w:rPr>
                <w:sz w:val="19"/>
              </w:rPr>
              <w:t>Klärung (Stand Abschluss)</w:t>
            </w:r>
          </w:p>
        </w:tc>
        <w:tc>
          <w:tcPr>
            <w:tcW w:type="dxa" w:w="6899"/>
          </w:tcPr>
          <w:p>
            <w:pPr>
              <w:spacing w:after="0"/>
            </w:pPr>
            <w:r>
              <w:rPr>
                <w:sz w:val="19"/>
              </w:rPr>
              <w:t xml:space="preserve">F5 Kosten je Lauf · Rechte der Identitäten zwischen Data Factory und Synapse → </w:t>
            </w:r>
            <w:r>
              <w:rPr>
                <w:b/>
                <w:sz w:val="19"/>
              </w:rPr>
              <w:t>Stand 05.10.2026:</w:t>
            </w:r>
            <w:r>
              <w:rPr>
                <w:sz w:val="19"/>
              </w:rPr>
              <w:t xml:space="preserve"> erledigt (5.8, 5.9: Kosten, drei Synapse-Rollen)</w:t>
            </w:r>
          </w:p>
        </w:tc>
      </w:tr>
      <w:tr>
        <w:trPr/>
        <w:tc>
          <w:tcPr>
            <w:tcW w:type="dxa" w:w="2512"/>
          </w:tcPr>
          <w:p>
            <w:pPr>
              <w:spacing w:after="0"/>
            </w:pPr>
            <w:r>
              <w:rPr>
                <w:sz w:val="19"/>
              </w:rPr>
              <w:t>Für Agenten / ML</w:t>
            </w:r>
          </w:p>
        </w:tc>
        <w:tc>
          <w:tcPr>
            <w:tcW w:type="dxa" w:w="6899"/>
          </w:tcPr>
          <w:p>
            <w:pPr>
              <w:spacing w:after="0"/>
            </w:pPr>
            <w:r>
              <w:rPr>
                <w:sz w:val="19"/>
              </w:rPr>
              <w:t>Ein Code-Stand für lokal und Cloud; Unterschiede nur über Parameter</w:t>
            </w:r>
          </w:p>
        </w:tc>
      </w:tr>
      <w:tr>
        <w:trPr/>
        <w:tc>
          <w:tcPr>
            <w:tcW w:type="dxa" w:w="2512"/>
          </w:tcPr>
          <w:p>
            <w:pPr>
              <w:spacing w:after="0"/>
            </w:pPr>
            <w:r>
              <w:rPr>
                <w:sz w:val="19"/>
              </w:rPr>
              <w:t>Verweise</w:t>
            </w:r>
          </w:p>
        </w:tc>
        <w:tc>
          <w:tcPr>
            <w:tcW w:type="dxa" w:w="6899"/>
          </w:tcPr>
          <w:p>
            <w:pPr>
              <w:spacing w:after="0"/>
            </w:pPr>
            <w:r>
              <w:rPr>
                <w:sz w:val="19"/>
              </w:rPr>
              <w:t>Idee I23 · K2 (Brainstorming) · Projektplan Kap. 4</w:t>
            </w:r>
          </w:p>
        </w:tc>
      </w:tr>
      <w:tr>
        <w:trPr/>
        <w:tc>
          <w:tcPr>
            <w:tcW w:type="dxa" w:w="2512"/>
          </w:tcPr>
          <w:p>
            <w:pPr>
              <w:spacing w:after="0"/>
            </w:pPr>
            <w:r>
              <w:rPr>
                <w:sz w:val="19"/>
              </w:rPr>
              <w:t>Einfach erklärt</w:t>
            </w:r>
          </w:p>
        </w:tc>
        <w:tc>
          <w:tcPr>
            <w:tcW w:type="dxa" w:w="6899"/>
          </w:tcPr>
          <w:p>
            <w:pPr>
              <w:spacing w:after="0"/>
            </w:pPr>
            <w:r>
              <w:rPr>
                <w:sz w:val="19"/>
              </w:rPr>
              <w:t>Dieselben Notebooks laufen später in Azure. Ein Generator erzeugt dafür eine Azure-Fassung, damit lokal und Cloud nicht auseinanderlaufen.</w:t>
            </w:r>
          </w:p>
        </w:tc>
      </w:tr>
    </w:tbl>
    <w:p>
      <w:pPr>
        <w:spacing w:after="0" w:line="20" w:lineRule="exact"/>
      </w:pPr>
    </w:p>
    <w:p>
      <w:pPr>
        <w:pStyle w:val="Heading2"/>
      </w:pPr>
      <w:r>
        <w:t>2.4 M4 – Weg A, mehrere Standorte, erweiterte Analyse (29.09.2026)</w:t>
      </w:r>
    </w:p>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4.1 – Pipeline-Aufbau Weg A</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wird die Kette mit Notebooks aufgebaut?</w:t>
            </w:r>
          </w:p>
        </w:tc>
      </w:tr>
      <w:tr>
        <w:trPr/>
        <w:tc>
          <w:tcPr>
            <w:tcW w:type="dxa" w:w="2512"/>
          </w:tcPr>
          <w:p>
            <w:pPr>
              <w:spacing w:after="0"/>
            </w:pPr>
            <w:r>
              <w:rPr>
                <w:sz w:val="19"/>
              </w:rPr>
              <w:t>Eigene Erwartung</w:t>
            </w:r>
          </w:p>
        </w:tc>
        <w:tc>
          <w:tcPr>
            <w:tcW w:type="dxa" w:w="6899"/>
          </w:tcPr>
          <w:p>
            <w:pPr>
              <w:spacing w:after="0"/>
            </w:pPr>
            <w:r>
              <w:rPr>
                <w:sz w:val="19"/>
              </w:rPr>
              <w:t>Eine Pipeline für alles</w:t>
            </w:r>
          </w:p>
        </w:tc>
      </w:tr>
      <w:tr>
        <w:trPr/>
        <w:tc>
          <w:tcPr>
            <w:tcW w:type="dxa" w:w="2512"/>
          </w:tcPr>
          <w:p>
            <w:pPr>
              <w:spacing w:after="0"/>
            </w:pPr>
            <w:r>
              <w:rPr>
                <w:sz w:val="19"/>
              </w:rPr>
              <w:t>Erwartung laut Recherche</w:t>
            </w:r>
          </w:p>
        </w:tc>
        <w:tc>
          <w:tcPr>
            <w:tcW w:type="dxa" w:w="6899"/>
          </w:tcPr>
          <w:p>
            <w:pPr>
              <w:spacing w:after="0"/>
            </w:pPr>
            <w:r>
              <w:rPr>
                <w:sz w:val="19"/>
              </w:rPr>
              <w:t xml:space="preserve">Namensregeln Data Factory: höchstens 55 Zeichen, Beginn mit Buchstabe, Ziffer oder </w:t>
            </w:r>
            <w:r>
              <w:rPr>
                <w:rFonts w:ascii="Courier New" w:hAnsi="Courier New"/>
                <w:sz w:val="17"/>
              </w:rPr>
              <w:t>_</w:t>
            </w:r>
            <w:r>
              <w:rPr>
                <w:sz w:val="19"/>
              </w:rPr>
              <w:t xml:space="preserve">, nicht erlaubt </w:t>
            </w:r>
            <w:r>
              <w:rPr>
                <w:rFonts w:ascii="Courier New" w:hAnsi="Courier New"/>
                <w:sz w:val="17"/>
              </w:rPr>
              <w:t>. + ? / &lt; &gt; * % &amp; : \</w:t>
            </w:r>
            <w:r>
              <w:rPr>
                <w:sz w:val="19"/>
              </w:rPr>
              <w:t xml:space="preserve"> (Microsoft Learn); Spark-Pool je vCore-Stunde minutengenau mit Auto-pause</w:t>
            </w:r>
          </w:p>
        </w:tc>
      </w:tr>
      <w:tr>
        <w:trPr/>
        <w:tc>
          <w:tcPr>
            <w:tcW w:type="dxa" w:w="2512"/>
          </w:tcPr>
          <w:p>
            <w:pPr>
              <w:spacing w:after="0"/>
            </w:pPr>
            <w:r>
              <w:rPr>
                <w:sz w:val="19"/>
              </w:rPr>
              <w:t>Zwischenschritte</w:t>
            </w:r>
          </w:p>
        </w:tc>
        <w:tc>
          <w:tcPr>
            <w:tcW w:type="dxa" w:w="6899"/>
          </w:tcPr>
          <w:p>
            <w:pPr>
              <w:spacing w:after="0"/>
            </w:pPr>
            <w:r>
              <w:rPr>
                <w:sz w:val="19"/>
              </w:rPr>
              <w:t>1) Ist/Soll-Grafik 2) Varianten K3 vergleichen 3) Namen festlegen</w:t>
            </w:r>
          </w:p>
        </w:tc>
      </w:tr>
      <w:tr>
        <w:trPr/>
        <w:tc>
          <w:tcPr>
            <w:tcW w:type="dxa" w:w="2512"/>
          </w:tcPr>
          <w:p>
            <w:pPr>
              <w:spacing w:after="0"/>
            </w:pPr>
            <w:r>
              <w:rPr>
                <w:sz w:val="19"/>
              </w:rPr>
              <w:t>Zwischenergebnis</w:t>
            </w:r>
          </w:p>
        </w:tc>
        <w:tc>
          <w:tcPr>
            <w:tcW w:type="dxa" w:w="6899"/>
          </w:tcPr>
          <w:p>
            <w:pPr>
              <w:spacing w:after="0"/>
            </w:pPr>
            <w:r>
              <w:rPr>
                <w:sz w:val="19"/>
              </w:rPr>
              <w:t>Heute kopiert die Data Factory nur; Gold fehlt in Azure</w:t>
            </w:r>
          </w:p>
        </w:tc>
      </w:tr>
      <w:tr>
        <w:trPr/>
        <w:tc>
          <w:tcPr>
            <w:tcW w:type="dxa" w:w="2512"/>
          </w:tcPr>
          <w:p>
            <w:pPr>
              <w:spacing w:after="0"/>
            </w:pPr>
            <w:r>
              <w:rPr>
                <w:sz w:val="19"/>
              </w:rPr>
              <w:t>Lösungswege</w:t>
            </w:r>
          </w:p>
        </w:tc>
        <w:tc>
          <w:tcPr>
            <w:tcW w:type="dxa" w:w="6899"/>
          </w:tcPr>
          <w:p>
            <w:pPr>
              <w:spacing w:after="0"/>
            </w:pPr>
            <w:r>
              <w:rPr>
                <w:sz w:val="19"/>
              </w:rPr>
              <w:t xml:space="preserve">K3: </w:t>
            </w:r>
            <w:r>
              <w:rPr>
                <w:b/>
                <w:sz w:val="19"/>
              </w:rPr>
              <w:t>1</w:t>
            </w:r>
            <w:r>
              <w:rPr>
                <w:sz w:val="19"/>
              </w:rPr>
              <w:t xml:space="preserve"> eine Notebook-Aktivität für alles (ein Spark-Start, günstiger; Fehler schwer zu finden) · </w:t>
            </w:r>
            <w:r>
              <w:rPr>
                <w:b/>
                <w:sz w:val="19"/>
              </w:rPr>
              <w:t>2</w:t>
            </w:r>
            <w:r>
              <w:rPr>
                <w:sz w:val="19"/>
              </w:rPr>
              <w:t xml:space="preserve"> Stufen getrennt, Notebooks einzeln, Archiv zuletzt (sichtbar, Neustart ab Fehler; mehr Spark-Starts)</w:t>
            </w:r>
          </w:p>
        </w:tc>
      </w:tr>
      <w:tr>
        <w:trPr/>
        <w:tc>
          <w:tcPr>
            <w:tcW w:type="dxa" w:w="2512"/>
          </w:tcPr>
          <w:p>
            <w:pPr>
              <w:spacing w:after="0"/>
            </w:pPr>
            <w:r>
              <w:rPr>
                <w:sz w:val="19"/>
              </w:rPr>
              <w:t>Entscheidung + Begründung</w:t>
            </w:r>
          </w:p>
        </w:tc>
        <w:tc>
          <w:tcPr>
            <w:tcW w:type="dxa" w:w="6899"/>
          </w:tcPr>
          <w:p>
            <w:pPr>
              <w:spacing w:after="0"/>
            </w:pPr>
            <w:r>
              <w:rPr>
                <w:sz w:val="19"/>
              </w:rPr>
              <w:t xml:space="preserve">2 = Weg A (29.09.2026): Nachvollziehbarkeit vor Kosten; bei Fehler bleiben die Rohdaten in </w:t>
            </w:r>
            <w:r>
              <w:rPr>
                <w:rFonts w:ascii="Courier New" w:hAnsi="Courier New"/>
                <w:sz w:val="17"/>
              </w:rPr>
              <w:t>bronze/new</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rohdaten_nach_bronze</w:t>
            </w:r>
            <w:r>
              <w:rPr>
                <w:sz w:val="19"/>
              </w:rPr>
              <w:t xml:space="preserve"> → </w:t>
            </w:r>
            <w:r>
              <w:rPr>
                <w:rFonts w:ascii="Courier New" w:hAnsi="Courier New"/>
                <w:sz w:val="17"/>
              </w:rPr>
              <w:t>bronze_nach_silver</w:t>
            </w:r>
            <w:r>
              <w:rPr>
                <w:sz w:val="19"/>
              </w:rPr>
              <w:t xml:space="preserve"> (</w:t>
            </w:r>
            <w:r>
              <w:rPr>
                <w:rFonts w:ascii="Courier New" w:hAnsi="Courier New"/>
                <w:sz w:val="17"/>
              </w:rPr>
              <w:t>n1_bereinigung</w:t>
            </w:r>
            <w:r>
              <w:rPr>
                <w:sz w:val="19"/>
              </w:rPr>
              <w:t xml:space="preserve">, </w:t>
            </w:r>
            <w:r>
              <w:rPr>
                <w:rFonts w:ascii="Courier New" w:hAnsi="Courier New"/>
                <w:sz w:val="17"/>
              </w:rPr>
              <w:t>n2_qualitaet</w:t>
            </w:r>
            <w:r>
              <w:rPr>
                <w:sz w:val="19"/>
              </w:rPr>
              <w:t xml:space="preserve">) → </w:t>
            </w:r>
            <w:r>
              <w:rPr>
                <w:rFonts w:ascii="Courier New" w:hAnsi="Courier New"/>
                <w:sz w:val="17"/>
              </w:rPr>
              <w:t>silver_nach_gold</w:t>
            </w:r>
            <w:r>
              <w:rPr>
                <w:sz w:val="19"/>
              </w:rPr>
              <w:t xml:space="preserve"> (</w:t>
            </w:r>
            <w:r>
              <w:rPr>
                <w:rFonts w:ascii="Courier New" w:hAnsi="Courier New"/>
                <w:sz w:val="17"/>
              </w:rPr>
              <w:t>n3_wetter</w:t>
            </w:r>
            <w:r>
              <w:rPr>
                <w:sz w:val="19"/>
              </w:rPr>
              <w:t xml:space="preserve">, </w:t>
            </w:r>
            <w:r>
              <w:rPr>
                <w:rFonts w:ascii="Courier New" w:hAnsi="Courier New"/>
                <w:sz w:val="17"/>
              </w:rPr>
              <w:t>n4_gold</w:t>
            </w:r>
            <w:r>
              <w:rPr>
                <w:sz w:val="19"/>
              </w:rPr>
              <w:t xml:space="preserve">) → </w:t>
            </w:r>
            <w:r>
              <w:rPr>
                <w:rFonts w:ascii="Courier New" w:hAnsi="Courier New"/>
                <w:sz w:val="17"/>
              </w:rPr>
              <w:t>bronze_archivieren</w:t>
            </w:r>
          </w:p>
        </w:tc>
      </w:tr>
      <w:tr>
        <w:trPr/>
        <w:tc>
          <w:tcPr>
            <w:tcW w:type="dxa" w:w="2512"/>
          </w:tcPr>
          <w:p>
            <w:pPr>
              <w:spacing w:after="0"/>
            </w:pPr>
            <w:r>
              <w:rPr>
                <w:sz w:val="19"/>
              </w:rPr>
              <w:t>Hinweise / Gefahren</w:t>
            </w:r>
          </w:p>
        </w:tc>
        <w:tc>
          <w:tcPr>
            <w:tcW w:type="dxa" w:w="6899"/>
          </w:tcPr>
          <w:p>
            <w:pPr>
              <w:spacing w:after="0"/>
            </w:pPr>
            <w:r>
              <w:rPr>
                <w:sz w:val="19"/>
              </w:rPr>
              <w:t>Kosten je Lauf vor dem ersten Lauf beziffern (F5)</w:t>
            </w:r>
          </w:p>
        </w:tc>
      </w:tr>
      <w:tr>
        <w:trPr/>
        <w:tc>
          <w:tcPr>
            <w:tcW w:type="dxa" w:w="2512"/>
          </w:tcPr>
          <w:p>
            <w:pPr>
              <w:spacing w:after="0"/>
            </w:pPr>
            <w:r>
              <w:rPr>
                <w:sz w:val="19"/>
              </w:rPr>
              <w:t>Klärung (Stand Abschluss)</w:t>
            </w:r>
          </w:p>
        </w:tc>
        <w:tc>
          <w:tcPr>
            <w:tcW w:type="dxa" w:w="6899"/>
          </w:tcPr>
          <w:p>
            <w:pPr>
              <w:spacing w:after="0"/>
            </w:pPr>
            <w:r>
              <w:rPr>
                <w:sz w:val="19"/>
              </w:rPr>
              <w:t xml:space="preserve">Rollen der Data-Factory-Identität im Synapse-Arbeitsbereich → </w:t>
            </w:r>
            <w:r>
              <w:rPr>
                <w:b/>
                <w:sz w:val="19"/>
              </w:rPr>
              <w:t>Stand 05.10.2026:</w:t>
            </w:r>
            <w:r>
              <w:rPr>
                <w:sz w:val="19"/>
              </w:rPr>
              <w:t xml:space="preserve"> erledigt (5.9)</w:t>
            </w:r>
          </w:p>
        </w:tc>
      </w:tr>
      <w:tr>
        <w:trPr/>
        <w:tc>
          <w:tcPr>
            <w:tcW w:type="dxa" w:w="2512"/>
          </w:tcPr>
          <w:p>
            <w:pPr>
              <w:spacing w:after="0"/>
            </w:pPr>
            <w:r>
              <w:rPr>
                <w:sz w:val="19"/>
              </w:rPr>
              <w:t>Für Agenten / ML</w:t>
            </w:r>
          </w:p>
        </w:tc>
        <w:tc>
          <w:tcPr>
            <w:tcW w:type="dxa" w:w="6899"/>
          </w:tcPr>
          <w:p>
            <w:pPr>
              <w:spacing w:after="0"/>
            </w:pPr>
            <w:r>
              <w:rPr>
                <w:sz w:val="19"/>
              </w:rPr>
              <w:t>Jeder Schritt einzeln neu startbar – Voraussetzung für automatische Fehlerbehandlung</w:t>
            </w:r>
          </w:p>
        </w:tc>
      </w:tr>
      <w:tr>
        <w:trPr/>
        <w:tc>
          <w:tcPr>
            <w:tcW w:type="dxa" w:w="2512"/>
          </w:tcPr>
          <w:p>
            <w:pPr>
              <w:spacing w:after="0"/>
            </w:pPr>
            <w:r>
              <w:rPr>
                <w:sz w:val="19"/>
              </w:rPr>
              <w:t>Änderung</w:t>
            </w:r>
          </w:p>
        </w:tc>
        <w:tc>
          <w:tcPr>
            <w:tcW w:type="dxa" w:w="6899"/>
          </w:tcPr>
          <w:p>
            <w:pPr>
              <w:spacing w:after="0"/>
            </w:pPr>
            <w:r>
              <w:rPr>
                <w:sz w:val="19"/>
              </w:rPr>
              <w:t xml:space="preserve">30.09.2026 (Projektleitung), nach Hinweis der Kursleitung (Kurs-Notebook 04 = Automatisierung, 05 = Silver → Gold): Notebooks nicht mehr je eine Aktivität, sondern </w:t>
            </w:r>
            <w:r>
              <w:rPr>
                <w:b/>
                <w:sz w:val="19"/>
              </w:rPr>
              <w:t>Steuer-Notebook</w:t>
            </w:r>
            <w:r>
              <w:rPr>
                <w:sz w:val="19"/>
              </w:rPr>
              <w:t xml:space="preserve"> startet N1 → N2 → N3 in </w:t>
            </w:r>
            <w:r>
              <w:rPr>
                <w:b/>
                <w:sz w:val="19"/>
              </w:rPr>
              <w:t>einer</w:t>
            </w:r>
            <w:r>
              <w:rPr>
                <w:sz w:val="19"/>
              </w:rPr>
              <w:t xml:space="preserve"> Spark-Sitzung (</w:t>
            </w:r>
            <w:r>
              <w:rPr>
                <w:rFonts w:ascii="Courier New" w:hAnsi="Courier New"/>
                <w:sz w:val="17"/>
              </w:rPr>
              <w:t>mssparkutils.notebook.runMultiple</w:t>
            </w:r>
            <w:r>
              <w:rPr>
                <w:sz w:val="19"/>
              </w:rPr>
              <w:t xml:space="preserve">); Pipeline mit zwei Notebook-Aktivitäten </w:t>
            </w:r>
            <w:r>
              <w:rPr>
                <w:rFonts w:ascii="Courier New" w:hAnsi="Courier New"/>
                <w:sz w:val="17"/>
              </w:rPr>
              <w:t>silver_automatisierung</w:t>
            </w:r>
            <w:r>
              <w:rPr>
                <w:sz w:val="19"/>
              </w:rPr>
              <w:t xml:space="preserve"> und </w:t>
            </w:r>
            <w:r>
              <w:rPr>
                <w:rFonts w:ascii="Courier New" w:hAnsi="Courier New"/>
                <w:sz w:val="17"/>
              </w:rPr>
              <w:t>n4_gold</w:t>
            </w:r>
            <w:r>
              <w:rPr>
                <w:sz w:val="19"/>
              </w:rPr>
              <w:t xml:space="preserve"> (K6 c). Grund: jede Aktivität startet eine eigene Spark-Sitzung (Startzeit, Kosten); so bleiben die Notebooks einzeln übersichtlich, mit Schnappschuss je Teil-Notebook</w:t>
            </w:r>
          </w:p>
        </w:tc>
      </w:tr>
      <w:tr>
        <w:trPr/>
        <w:tc>
          <w:tcPr>
            <w:tcW w:type="dxa" w:w="2512"/>
          </w:tcPr>
          <w:p>
            <w:pPr>
              <w:spacing w:after="0"/>
            </w:pPr>
            <w:r>
              <w:rPr>
                <w:sz w:val="19"/>
              </w:rPr>
              <w:t>Einfach erklärt</w:t>
            </w:r>
          </w:p>
        </w:tc>
        <w:tc>
          <w:tcPr>
            <w:tcW w:type="dxa" w:w="6899"/>
          </w:tcPr>
          <w:p>
            <w:pPr>
              <w:spacing w:after="0"/>
            </w:pPr>
            <w:r>
              <w:rPr>
                <w:sz w:val="19"/>
              </w:rPr>
              <w:t>Jeder Start eines Notebooks in Azure „fährt einen Rechner hoch“ – das dauert Minuten und kostet. Statt viermal hochzufahren, fährt ein Steuer-Notebook einmal hoch und arbeitet die Notebooks nacheinander ab.</w:t>
            </w:r>
          </w:p>
        </w:tc>
      </w:tr>
      <w:tr>
        <w:trPr/>
        <w:tc>
          <w:tcPr>
            <w:tcW w:type="dxa" w:w="2512"/>
          </w:tcPr>
          <w:p>
            <w:pPr>
              <w:spacing w:after="0"/>
            </w:pPr>
            <w:r>
              <w:rPr>
                <w:sz w:val="19"/>
              </w:rPr>
              <w:t>Verweise</w:t>
            </w:r>
          </w:p>
        </w:tc>
        <w:tc>
          <w:tcPr>
            <w:tcW w:type="dxa" w:w="6899"/>
          </w:tcPr>
          <w:p>
            <w:pPr>
              <w:spacing w:after="0"/>
            </w:pPr>
            <w:hyperlink r:id="rId21">
              <w:r>
                <w:rPr>
                  <w:color w:val="0563C1"/>
                  <w:u w:val="single"/>
                </w:rPr>
                <w:t xml:space="preserve">p1_pipeline_ist_soll.png</w:t>
              </w:r>
            </w:hyperlink>
            <w:r>
              <w:rPr>
                <w:sz w:val="19"/>
              </w:rPr>
              <w:t xml:space="preserve"> · Projektplan Kap. 4 · Idee I24</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4.2 – Mehrere Standorte (Parameter STADT)</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Was passiert, wenn ein zweiter Standort (z. B. Würzburg) dazukommt?</w:t>
            </w:r>
          </w:p>
        </w:tc>
      </w:tr>
      <w:tr>
        <w:trPr/>
        <w:tc>
          <w:tcPr>
            <w:tcW w:type="dxa" w:w="2512"/>
          </w:tcPr>
          <w:p>
            <w:pPr>
              <w:spacing w:after="0"/>
            </w:pPr>
            <w:r>
              <w:rPr>
                <w:sz w:val="19"/>
              </w:rPr>
              <w:t>Eigene Erwartung</w:t>
            </w:r>
          </w:p>
        </w:tc>
        <w:tc>
          <w:tcPr>
            <w:tcW w:type="dxa" w:w="6899"/>
          </w:tcPr>
          <w:p>
            <w:pPr>
              <w:spacing w:after="0"/>
            </w:pPr>
            <w:r>
              <w:rPr>
                <w:sz w:val="19"/>
              </w:rPr>
              <w:t>Neue Stadt = Code anpassen</w:t>
            </w:r>
          </w:p>
        </w:tc>
      </w:tr>
      <w:tr>
        <w:trPr/>
        <w:tc>
          <w:tcPr>
            <w:tcW w:type="dxa" w:w="2512"/>
          </w:tcPr>
          <w:p>
            <w:pPr>
              <w:spacing w:after="0"/>
            </w:pPr>
            <w:r>
              <w:rPr>
                <w:sz w:val="19"/>
              </w:rPr>
              <w:t>Erwartung laut Recherche</w:t>
            </w:r>
          </w:p>
        </w:tc>
        <w:tc>
          <w:tcPr>
            <w:tcW w:type="dxa" w:w="6899"/>
          </w:tcPr>
          <w:p>
            <w:pPr>
              <w:spacing w:after="0"/>
            </w:pPr>
            <w:r>
              <w:rPr>
                <w:sz w:val="19"/>
              </w:rPr>
              <w:t>Konfiguration statt fester Werte; Data Factory: Get Metadata (Unterordner) + ForEach je Stadt</w:t>
            </w:r>
          </w:p>
        </w:tc>
      </w:tr>
      <w:tr>
        <w:trPr/>
        <w:tc>
          <w:tcPr>
            <w:tcW w:type="dxa" w:w="2512"/>
          </w:tcPr>
          <w:p>
            <w:pPr>
              <w:spacing w:after="0"/>
            </w:pPr>
            <w:r>
              <w:rPr>
                <w:sz w:val="19"/>
              </w:rPr>
              <w:t>Zwischenschritte</w:t>
            </w:r>
          </w:p>
        </w:tc>
        <w:tc>
          <w:tcPr>
            <w:tcW w:type="dxa" w:w="6899"/>
          </w:tcPr>
          <w:p>
            <w:pPr>
              <w:spacing w:after="0"/>
            </w:pPr>
            <w:r>
              <w:rPr>
                <w:sz w:val="19"/>
              </w:rPr>
              <w:t xml:space="preserve">1) Standort-Tabelle </w:t>
            </w:r>
            <w:r>
              <w:rPr>
                <w:rFonts w:ascii="Courier New" w:hAnsi="Courier New"/>
                <w:sz w:val="17"/>
              </w:rPr>
              <w:t>lakehouse/konfiguration/standorte.csv</w:t>
            </w:r>
            <w:r>
              <w:rPr>
                <w:sz w:val="19"/>
              </w:rPr>
              <w:t xml:space="preserve"> (Stadt, Name, Breite, Länge, Zeitzone, Quelle) 2) Parameter </w:t>
            </w:r>
            <w:r>
              <w:rPr>
                <w:rFonts w:ascii="Courier New" w:hAnsi="Courier New"/>
                <w:sz w:val="17"/>
              </w:rPr>
              <w:t>STADT</w:t>
            </w:r>
            <w:r>
              <w:rPr>
                <w:sz w:val="19"/>
              </w:rPr>
              <w:t xml:space="preserve"> in N1–N4 3) N1–N4 neu ausführen</w:t>
            </w:r>
          </w:p>
        </w:tc>
      </w:tr>
      <w:tr>
        <w:trPr/>
        <w:tc>
          <w:tcPr>
            <w:tcW w:type="dxa" w:w="2512"/>
          </w:tcPr>
          <w:p>
            <w:pPr>
              <w:spacing w:after="0"/>
            </w:pPr>
            <w:r>
              <w:rPr>
                <w:sz w:val="19"/>
              </w:rPr>
              <w:t>Zwischenergebnis</w:t>
            </w:r>
          </w:p>
        </w:tc>
        <w:tc>
          <w:tcPr>
            <w:tcW w:type="dxa" w:w="6899"/>
          </w:tcPr>
          <w:p>
            <w:pPr>
              <w:spacing w:after="0"/>
            </w:pPr>
            <w:r>
              <w:rPr>
                <w:sz w:val="19"/>
              </w:rPr>
              <w:t>Feste Koordinaten hätten einer neuen Stadt falsches Wetter zugeordnet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Parameter + Tabelle · </w:t>
            </w:r>
            <w:r>
              <w:rPr>
                <w:b/>
                <w:sz w:val="19"/>
              </w:rPr>
              <w:t>B</w:t>
            </w:r>
            <w:r>
              <w:rPr>
                <w:sz w:val="19"/>
              </w:rPr>
              <w:t xml:space="preserve"> Kopie der Notebooks je Stadt (Pflegeaufwand)</w:t>
            </w:r>
          </w:p>
        </w:tc>
      </w:tr>
      <w:tr>
        <w:trPr/>
        <w:tc>
          <w:tcPr>
            <w:tcW w:type="dxa" w:w="2512"/>
          </w:tcPr>
          <w:p>
            <w:pPr>
              <w:spacing w:after="0"/>
            </w:pPr>
            <w:r>
              <w:rPr>
                <w:sz w:val="19"/>
              </w:rPr>
              <w:t>Entscheidung + Begründung</w:t>
            </w:r>
          </w:p>
        </w:tc>
        <w:tc>
          <w:tcPr>
            <w:tcW w:type="dxa" w:w="6899"/>
          </w:tcPr>
          <w:p>
            <w:pPr>
              <w:spacing w:after="0"/>
            </w:pPr>
            <w:r>
              <w:rPr>
                <w:sz w:val="19"/>
              </w:rPr>
              <w:t>A (29.09.2026)</w:t>
            </w:r>
          </w:p>
        </w:tc>
      </w:tr>
      <w:tr>
        <w:trPr/>
        <w:tc>
          <w:tcPr>
            <w:tcW w:type="dxa" w:w="2512"/>
          </w:tcPr>
          <w:p>
            <w:pPr>
              <w:spacing w:after="0"/>
            </w:pPr>
            <w:r>
              <w:rPr>
                <w:sz w:val="19"/>
              </w:rPr>
              <w:t>Endergebnis</w:t>
            </w:r>
          </w:p>
        </w:tc>
        <w:tc>
          <w:tcPr>
            <w:tcW w:type="dxa" w:w="6899"/>
          </w:tcPr>
          <w:p>
            <w:pPr>
              <w:spacing w:after="0"/>
            </w:pPr>
            <w:r>
              <w:rPr>
                <w:sz w:val="19"/>
              </w:rPr>
              <w:t>Ergebnisse nach Neulauf identisch; fehlende Stadt → Abbruch mit Fehlermeldung</w:t>
            </w:r>
          </w:p>
        </w:tc>
      </w:tr>
      <w:tr>
        <w:trPr/>
        <w:tc>
          <w:tcPr>
            <w:tcW w:type="dxa" w:w="2512"/>
          </w:tcPr>
          <w:p>
            <w:pPr>
              <w:spacing w:after="0"/>
            </w:pPr>
            <w:r>
              <w:rPr>
                <w:sz w:val="19"/>
              </w:rPr>
              <w:t>Hinweise / Gefahren</w:t>
            </w:r>
          </w:p>
        </w:tc>
        <w:tc>
          <w:tcPr>
            <w:tcW w:type="dxa" w:w="6899"/>
          </w:tcPr>
          <w:p>
            <w:pPr>
              <w:spacing w:after="0"/>
            </w:pPr>
            <w:r>
              <w:rPr>
                <w:sz w:val="19"/>
              </w:rPr>
              <w:t xml:space="preserve">Neue Stadt braucht Zeile in der Tabelle </w:t>
            </w:r>
            <w:r>
              <w:rPr>
                <w:b/>
                <w:sz w:val="19"/>
              </w:rPr>
              <w:t>und</w:t>
            </w:r>
            <w:r>
              <w:rPr>
                <w:sz w:val="19"/>
              </w:rPr>
              <w:t xml:space="preserve"> Ordner in </w:t>
            </w:r>
            <w:r>
              <w:rPr>
                <w:rFonts w:ascii="Courier New" w:hAnsi="Courier New"/>
                <w:sz w:val="17"/>
              </w:rPr>
              <w:t>silver/processing</w:t>
            </w:r>
          </w:p>
        </w:tc>
      </w:tr>
      <w:tr>
        <w:trPr/>
        <w:tc>
          <w:tcPr>
            <w:tcW w:type="dxa" w:w="2512"/>
          </w:tcPr>
          <w:p>
            <w:pPr>
              <w:spacing w:after="0"/>
            </w:pPr>
            <w:r>
              <w:rPr>
                <w:sz w:val="19"/>
              </w:rPr>
              <w:t>Klärung (Stand Abschluss)</w:t>
            </w:r>
          </w:p>
        </w:tc>
        <w:tc>
          <w:tcPr>
            <w:tcW w:type="dxa" w:w="6899"/>
          </w:tcPr>
          <w:p>
            <w:pPr>
              <w:spacing w:after="0"/>
            </w:pPr>
            <w:r>
              <w:rPr>
                <w:sz w:val="19"/>
              </w:rPr>
              <w:t xml:space="preserve">Schleife je Stadt in der Data Factory → </w:t>
            </w:r>
            <w:r>
              <w:rPr>
                <w:b/>
                <w:sz w:val="19"/>
              </w:rPr>
              <w:t>Stand 05.10.2026:</w:t>
            </w:r>
            <w:r>
              <w:rPr>
                <w:sz w:val="19"/>
              </w:rPr>
              <w:t xml:space="preserve"> erledigt (5.9: Lookup + ForEach)</w:t>
            </w:r>
          </w:p>
        </w:tc>
      </w:tr>
      <w:tr>
        <w:trPr/>
        <w:tc>
          <w:tcPr>
            <w:tcW w:type="dxa" w:w="2512"/>
          </w:tcPr>
          <w:p>
            <w:pPr>
              <w:spacing w:after="0"/>
            </w:pPr>
            <w:r>
              <w:rPr>
                <w:sz w:val="19"/>
              </w:rPr>
              <w:t>Für Agenten / ML</w:t>
            </w:r>
          </w:p>
        </w:tc>
        <w:tc>
          <w:tcPr>
            <w:tcW w:type="dxa" w:w="6899"/>
          </w:tcPr>
          <w:p>
            <w:pPr>
              <w:spacing w:after="0"/>
            </w:pPr>
            <w:r>
              <w:rPr>
                <w:sz w:val="19"/>
              </w:rPr>
              <w:t>Standort als Merkmal; Modelle je Standort oder gemeinsam mit Standortmerkmal</w:t>
            </w:r>
          </w:p>
        </w:tc>
      </w:tr>
      <w:tr>
        <w:trPr/>
        <w:tc>
          <w:tcPr>
            <w:tcW w:type="dxa" w:w="2512"/>
          </w:tcPr>
          <w:p>
            <w:pPr>
              <w:spacing w:after="0"/>
            </w:pPr>
            <w:r>
              <w:rPr>
                <w:sz w:val="19"/>
              </w:rPr>
              <w:t>Verweise</w:t>
            </w:r>
          </w:p>
        </w:tc>
        <w:tc>
          <w:tcPr>
            <w:tcW w:type="dxa" w:w="6899"/>
          </w:tcPr>
          <w:p>
            <w:pPr>
              <w:spacing w:after="0"/>
            </w:pPr>
            <w:r>
              <w:rPr>
                <w:sz w:val="19"/>
              </w:rPr>
              <w:t>Idee I25 · K4</w:t>
            </w:r>
          </w:p>
        </w:tc>
      </w:tr>
      <w:tr>
        <w:trPr/>
        <w:tc>
          <w:tcPr>
            <w:tcW w:type="dxa" w:w="2512"/>
          </w:tcPr>
          <w:p>
            <w:pPr>
              <w:spacing w:after="0"/>
            </w:pPr>
            <w:r>
              <w:rPr>
                <w:sz w:val="19"/>
              </w:rPr>
              <w:t>Einfach erklärt</w:t>
            </w:r>
          </w:p>
        </w:tc>
        <w:tc>
          <w:tcPr>
            <w:tcW w:type="dxa" w:w="6899"/>
          </w:tcPr>
          <w:p>
            <w:pPr>
              <w:spacing w:after="0"/>
            </w:pPr>
            <w:r>
              <w:rPr>
                <w:sz w:val="19"/>
              </w:rPr>
              <w:t>Der Standort ist ein Parameter, kein fest eingebauter Wert. Eine neue Stadt bekommt eine Zeile in einer Tabelle – das Programm bleibt gleich.</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4.3 – Wetter erweitert (W4)</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Welche weiteren Wettergrößen können den Flug erklären?</w:t>
            </w:r>
          </w:p>
        </w:tc>
      </w:tr>
      <w:tr>
        <w:trPr/>
        <w:tc>
          <w:tcPr>
            <w:tcW w:type="dxa" w:w="2512"/>
          </w:tcPr>
          <w:p>
            <w:pPr>
              <w:spacing w:after="0"/>
            </w:pPr>
            <w:r>
              <w:rPr>
                <w:sz w:val="19"/>
              </w:rPr>
              <w:t>Eigene Erwartung</w:t>
            </w:r>
          </w:p>
        </w:tc>
        <w:tc>
          <w:tcPr>
            <w:tcW w:type="dxa" w:w="6899"/>
          </w:tcPr>
          <w:p>
            <w:pPr>
              <w:spacing w:after="0"/>
            </w:pPr>
            <w:r>
              <w:rPr>
                <w:sz w:val="19"/>
              </w:rPr>
              <w:t>Wind und Feuchte senken den Flug</w:t>
            </w:r>
          </w:p>
        </w:tc>
      </w:tr>
      <w:tr>
        <w:trPr/>
        <w:tc>
          <w:tcPr>
            <w:tcW w:type="dxa" w:w="2512"/>
          </w:tcPr>
          <w:p>
            <w:pPr>
              <w:spacing w:after="0"/>
            </w:pPr>
            <w:r>
              <w:rPr>
                <w:sz w:val="19"/>
              </w:rPr>
              <w:t>Erwartung laut Recherche</w:t>
            </w:r>
          </w:p>
        </w:tc>
        <w:tc>
          <w:tcPr>
            <w:tcW w:type="dxa" w:w="6899"/>
          </w:tcPr>
          <w:p>
            <w:pPr>
              <w:spacing w:after="0"/>
            </w:pPr>
            <w:r>
              <w:rPr>
                <w:sz w:val="19"/>
              </w:rPr>
              <w:t>Umfang wie Kurs-Notebook 02; Einheiten laut Bright-Sky-OpenAPI (</w:t>
            </w:r>
            <w:r>
              <w:rPr>
                <w:rFonts w:ascii="Courier New" w:hAnsi="Courier New"/>
                <w:sz w:val="17"/>
              </w:rPr>
              <w:t>units=dwd</w:t>
            </w:r>
            <w:r>
              <w:rPr>
                <w:sz w:val="19"/>
              </w:rPr>
              <w:t>)</w:t>
            </w:r>
          </w:p>
        </w:tc>
      </w:tr>
      <w:tr>
        <w:trPr/>
        <w:tc>
          <w:tcPr>
            <w:tcW w:type="dxa" w:w="2512"/>
          </w:tcPr>
          <w:p>
            <w:pPr>
              <w:spacing w:after="0"/>
            </w:pPr>
            <w:r>
              <w:rPr>
                <w:sz w:val="19"/>
              </w:rPr>
              <w:t>Zwischenschritte</w:t>
            </w:r>
          </w:p>
        </w:tc>
        <w:tc>
          <w:tcPr>
            <w:tcW w:type="dxa" w:w="6899"/>
          </w:tcPr>
          <w:p>
            <w:pPr>
              <w:spacing w:after="0"/>
            </w:pPr>
            <w:r>
              <w:rPr>
                <w:sz w:val="19"/>
              </w:rPr>
              <w:t>1) Luftdruck, Taupunkt, Windrichtung, Böen, Strahlung, Wetterlage ergänzen 2) Station je Messgröße</w:t>
            </w:r>
          </w:p>
        </w:tc>
      </w:tr>
      <w:tr>
        <w:trPr/>
        <w:tc>
          <w:tcPr>
            <w:tcW w:type="dxa" w:w="2512"/>
          </w:tcPr>
          <w:p>
            <w:pPr>
              <w:spacing w:after="0"/>
            </w:pPr>
            <w:r>
              <w:rPr>
                <w:sz w:val="19"/>
              </w:rPr>
              <w:t>Zwischenergebnis</w:t>
            </w:r>
          </w:p>
        </w:tc>
        <w:tc>
          <w:tcPr>
            <w:tcW w:type="dxa" w:w="6899"/>
          </w:tcPr>
          <w:p>
            <w:pPr>
              <w:spacing w:after="0"/>
            </w:pPr>
            <w:r>
              <w:rPr>
                <w:sz w:val="19"/>
              </w:rPr>
              <w:t>Luftdruck, Taupunkt, Böen, Strahlung &gt; 99 % aus Lübeck-Blankensee; Wetterlage 88 % aus Bad Schwartau; 393 Stunden ohne Wetterlage</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alle verfügbaren Größen · </w:t>
            </w:r>
            <w:r>
              <w:rPr>
                <w:b/>
                <w:sz w:val="19"/>
              </w:rPr>
              <w:t>B</w:t>
            </w:r>
            <w:r>
              <w:rPr>
                <w:sz w:val="19"/>
              </w:rPr>
              <w:t xml:space="preserve"> nur Temperatur/Regen/Sonne (weniger Aussagekraft)</w:t>
            </w:r>
          </w:p>
        </w:tc>
      </w:tr>
      <w:tr>
        <w:trPr/>
        <w:tc>
          <w:tcPr>
            <w:tcW w:type="dxa" w:w="2512"/>
          </w:tcPr>
          <w:p>
            <w:pPr>
              <w:spacing w:after="0"/>
            </w:pPr>
            <w:r>
              <w:rPr>
                <w:sz w:val="19"/>
              </w:rPr>
              <w:t>Entscheidung + Begründung</w:t>
            </w:r>
          </w:p>
        </w:tc>
        <w:tc>
          <w:tcPr>
            <w:tcW w:type="dxa" w:w="6899"/>
          </w:tcPr>
          <w:p>
            <w:pPr>
              <w:spacing w:after="0"/>
            </w:pPr>
            <w:r>
              <w:rPr>
                <w:sz w:val="19"/>
              </w:rPr>
              <w:t>A (29.09.2026)</w:t>
            </w:r>
          </w:p>
        </w:tc>
      </w:tr>
      <w:tr>
        <w:trPr/>
        <w:tc>
          <w:tcPr>
            <w:tcW w:type="dxa" w:w="2512"/>
          </w:tcPr>
          <w:p>
            <w:pPr>
              <w:spacing w:after="0"/>
            </w:pPr>
            <w:r>
              <w:rPr>
                <w:sz w:val="19"/>
              </w:rPr>
              <w:t>Endergebnis</w:t>
            </w:r>
          </w:p>
        </w:tc>
        <w:tc>
          <w:tcPr>
            <w:tcW w:type="dxa" w:w="6899"/>
          </w:tcPr>
          <w:p>
            <w:pPr>
              <w:spacing w:after="0"/>
            </w:pPr>
            <w:r>
              <w:rPr>
                <w:sz w:val="19"/>
              </w:rPr>
              <w:t>20 Spalten Wetter je Stunde</w:t>
            </w:r>
          </w:p>
        </w:tc>
      </w:tr>
      <w:tr>
        <w:trPr/>
        <w:tc>
          <w:tcPr>
            <w:tcW w:type="dxa" w:w="2512"/>
          </w:tcPr>
          <w:p>
            <w:pPr>
              <w:spacing w:after="0"/>
            </w:pPr>
            <w:r>
              <w:rPr>
                <w:sz w:val="19"/>
              </w:rPr>
              <w:t>Hinweise / Gefahren</w:t>
            </w:r>
          </w:p>
        </w:tc>
        <w:tc>
          <w:tcPr>
            <w:tcW w:type="dxa" w:w="6899"/>
          </w:tcPr>
          <w:p>
            <w:pPr>
              <w:spacing w:after="0"/>
            </w:pPr>
            <w:r>
              <w:rPr>
                <w:sz w:val="19"/>
              </w:rPr>
              <w:t>Wind in 10 m Höhe an entfernter Station ≠ Wind am Flugloch</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Herkunftsspalte je Merkmal erhalten</w:t>
            </w:r>
          </w:p>
        </w:tc>
      </w:tr>
      <w:tr>
        <w:trPr/>
        <w:tc>
          <w:tcPr>
            <w:tcW w:type="dxa" w:w="2512"/>
          </w:tcPr>
          <w:p>
            <w:pPr>
              <w:spacing w:after="0"/>
            </w:pPr>
            <w:r>
              <w:rPr>
                <w:sz w:val="19"/>
              </w:rPr>
              <w:t>Verweise</w:t>
            </w:r>
          </w:p>
        </w:tc>
        <w:tc>
          <w:tcPr>
            <w:tcW w:type="dxa" w:w="6899"/>
          </w:tcPr>
          <w:p>
            <w:pPr>
              <w:spacing w:after="0"/>
            </w:pPr>
            <w:r>
              <w:rPr>
                <w:sz w:val="19"/>
              </w:rPr>
              <w:t>N3 Kap. 7 · W4</w:t>
            </w:r>
          </w:p>
        </w:tc>
      </w:tr>
      <w:tr>
        <w:trPr/>
        <w:tc>
          <w:tcPr>
            <w:tcW w:type="dxa" w:w="2512"/>
          </w:tcPr>
          <w:p>
            <w:pPr>
              <w:spacing w:after="0"/>
            </w:pPr>
            <w:r>
              <w:rPr>
                <w:sz w:val="19"/>
              </w:rPr>
              <w:t>Einfach erklärt</w:t>
            </w:r>
          </w:p>
        </w:tc>
        <w:tc>
          <w:tcPr>
            <w:tcW w:type="dxa" w:w="6899"/>
          </w:tcPr>
          <w:p>
            <w:pPr>
              <w:spacing w:after="0"/>
            </w:pPr>
            <w:r>
              <w:rPr>
                <w:sz w:val="19"/>
              </w:rPr>
              <w:t>Neben Temperatur und Regen können auch Wind, Luftdruck, Feuchte und Sonnenstrahlung den Flug beeinflussen. Diese Wetterwerte werden zusätzlich gespeichert.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4.4 – Auswertung unter gleichen Bedingungen (A7–A10)</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Anforderung Projektleitung 29.09.2026: Feuchte, Strahlung/Hitze, Wind, Luftdruck – jeweils einzeln</w:t>
            </w:r>
          </w:p>
        </w:tc>
      </w:tr>
      <w:tr>
        <w:trPr/>
        <w:tc>
          <w:tcPr>
            <w:tcW w:type="dxa" w:w="2512"/>
          </w:tcPr>
          <w:p>
            <w:pPr>
              <w:spacing w:after="0"/>
            </w:pPr>
            <w:r>
              <w:rPr>
                <w:sz w:val="19"/>
              </w:rPr>
              <w:t>Eigene Erwartung</w:t>
            </w:r>
          </w:p>
        </w:tc>
        <w:tc>
          <w:tcPr>
            <w:tcW w:type="dxa" w:w="6899"/>
          </w:tcPr>
          <w:p>
            <w:pPr>
              <w:spacing w:after="0"/>
            </w:pPr>
            <w:r>
              <w:rPr>
                <w:sz w:val="19"/>
              </w:rPr>
              <w:t>Feuchte, Wind und fallender Luftdruck senken den Flug</w:t>
            </w:r>
          </w:p>
        </w:tc>
      </w:tr>
      <w:tr>
        <w:trPr/>
        <w:tc>
          <w:tcPr>
            <w:tcW w:type="dxa" w:w="2512"/>
          </w:tcPr>
          <w:p>
            <w:pPr>
              <w:spacing w:after="0"/>
            </w:pPr>
            <w:r>
              <w:rPr>
                <w:sz w:val="19"/>
              </w:rPr>
              <w:t>Erwartung laut Recherche</w:t>
            </w:r>
          </w:p>
        </w:tc>
        <w:tc>
          <w:tcPr>
            <w:tcW w:type="dxa" w:w="6899"/>
          </w:tcPr>
          <w:p>
            <w:pPr>
              <w:spacing w:after="0"/>
            </w:pPr>
            <w:r>
              <w:rPr>
                <w:sz w:val="19"/>
              </w:rPr>
              <w:t>negative Beziehung Feuchte–Aktivität; Rückgang über 460 W/m²; ab ca. 10 km/h −37 % Sammelrate; keine Aussage zum Luftdruck [R3]</w:t>
            </w:r>
          </w:p>
        </w:tc>
      </w:tr>
      <w:tr>
        <w:trPr/>
        <w:tc>
          <w:tcPr>
            <w:tcW w:type="dxa" w:w="2512"/>
          </w:tcPr>
          <w:p>
            <w:pPr>
              <w:spacing w:after="0"/>
            </w:pPr>
            <w:r>
              <w:rPr>
                <w:sz w:val="19"/>
              </w:rPr>
              <w:t>Zwischenschritte</w:t>
            </w:r>
          </w:p>
        </w:tc>
        <w:tc>
          <w:tcPr>
            <w:tcW w:type="dxa" w:w="6899"/>
          </w:tcPr>
          <w:p>
            <w:pPr>
              <w:spacing w:after="0"/>
            </w:pPr>
            <w:r>
              <w:rPr>
                <w:sz w:val="19"/>
              </w:rPr>
              <w:t>1) Auswertung ohne Filter (10.627 Tagesstunden, 79/Min.) 2) Filter „gleiche Bedingungen“: Tag, kein Regen, 15–25 °C, April–September (3.176 Std., 170/Min.) 3) beide Werte nebeneinander 4) Feuchte als Abstand Temperatur − Taupunkt, je Jahreszeit und Tag/Dämmerung</w:t>
            </w:r>
          </w:p>
        </w:tc>
      </w:tr>
      <w:tr>
        <w:trPr/>
        <w:tc>
          <w:tcPr>
            <w:tcW w:type="dxa" w:w="2512"/>
          </w:tcPr>
          <w:p>
            <w:pPr>
              <w:spacing w:after="0"/>
            </w:pPr>
            <w:r>
              <w:rPr>
                <w:sz w:val="19"/>
              </w:rPr>
              <w:t>Zwischenergebnis</w:t>
            </w:r>
          </w:p>
        </w:tc>
        <w:tc>
          <w:tcPr>
            <w:tcW w:type="dxa" w:w="6899"/>
          </w:tcPr>
          <w:p>
            <w:pPr>
              <w:spacing w:after="0"/>
            </w:pPr>
            <w:r>
              <w:rPr>
                <w:sz w:val="19"/>
              </w:rPr>
              <w:t>Ohne Filter scheinbar starker Rückgang bei Böen (28/Min.) – verschwindet mit Filter → Scheineffekt durch Jahreszeit/Regen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nur ohne Filter (Scheineffekte) · </w:t>
            </w:r>
            <w:r>
              <w:rPr>
                <w:b/>
                <w:sz w:val="19"/>
              </w:rPr>
              <w:t>B</w:t>
            </w:r>
            <w:r>
              <w:rPr>
                <w:sz w:val="19"/>
              </w:rPr>
              <w:t xml:space="preserve"> gleiche Bedingungen zusätzlich · </w:t>
            </w:r>
            <w:r>
              <w:rPr>
                <w:b/>
                <w:sz w:val="19"/>
              </w:rPr>
              <w:t>C</w:t>
            </w:r>
            <w:r>
              <w:rPr>
                <w:sz w:val="19"/>
              </w:rPr>
              <w:t xml:space="preserve"> Modell (später)</w:t>
            </w:r>
          </w:p>
        </w:tc>
      </w:tr>
      <w:tr>
        <w:trPr/>
        <w:tc>
          <w:tcPr>
            <w:tcW w:type="dxa" w:w="2512"/>
          </w:tcPr>
          <w:p>
            <w:pPr>
              <w:spacing w:after="0"/>
            </w:pPr>
            <w:r>
              <w:rPr>
                <w:sz w:val="19"/>
              </w:rPr>
              <w:t>Entscheidung + Begründung</w:t>
            </w:r>
          </w:p>
        </w:tc>
        <w:tc>
          <w:tcPr>
            <w:tcW w:type="dxa" w:w="6899"/>
          </w:tcPr>
          <w:p>
            <w:pPr>
              <w:spacing w:after="0"/>
            </w:pPr>
            <w:r>
              <w:rPr>
                <w:sz w:val="19"/>
              </w:rPr>
              <w:t>B (29.09.2026); Erwartungen mit Quelle vor dem Ergebnis</w:t>
            </w:r>
          </w:p>
        </w:tc>
      </w:tr>
      <w:tr>
        <w:trPr/>
        <w:tc>
          <w:tcPr>
            <w:tcW w:type="dxa" w:w="2512"/>
          </w:tcPr>
          <w:p>
            <w:pPr>
              <w:spacing w:after="0"/>
            </w:pPr>
            <w:r>
              <w:rPr>
                <w:sz w:val="19"/>
              </w:rPr>
              <w:t>Endergebnis</w:t>
            </w:r>
          </w:p>
        </w:tc>
        <w:tc>
          <w:tcPr>
            <w:tcW w:type="dxa" w:w="6899"/>
          </w:tcPr>
          <w:p>
            <w:pPr>
              <w:spacing w:after="0"/>
            </w:pPr>
            <w:r>
              <w:rPr>
                <w:sz w:val="19"/>
              </w:rPr>
              <w:t>A7 je trockener, desto mehr Flug (Frühling −65 %, Sommer −32 % bei fast gesättigter Luft; bestätigt [R3]) · A8 Strahlung steigert den Flug in jeder Temperaturstufe; über 30 °C bei voller Sonne −33 % (nur 40 Std.; Rückgang über 460 W/m² nicht bestätigt) · A9 Böen unter gleichen Bedingungen ohne Einfluss · A10 Luftdruckhöhe ohne Einfluss; stark fallend 222, stark steigend 71 (wenige Stunden)</w:t>
            </w:r>
          </w:p>
        </w:tc>
      </w:tr>
      <w:tr>
        <w:trPr/>
        <w:tc>
          <w:tcPr>
            <w:tcW w:type="dxa" w:w="2512"/>
          </w:tcPr>
          <w:p>
            <w:pPr>
              <w:spacing w:after="0"/>
            </w:pPr>
            <w:r>
              <w:rPr>
                <w:sz w:val="19"/>
              </w:rPr>
              <w:t>Hinweise / Gefahren</w:t>
            </w:r>
          </w:p>
        </w:tc>
        <w:tc>
          <w:tcPr>
            <w:tcW w:type="dxa" w:w="6899"/>
          </w:tcPr>
          <w:p>
            <w:pPr>
              <w:spacing w:after="0"/>
            </w:pPr>
            <w:r>
              <w:rPr>
                <w:sz w:val="19"/>
              </w:rPr>
              <w:t>kleine Stundenzahlen in Randklassen · Feuchte und Strahlung hängen zusammen</w:t>
            </w:r>
          </w:p>
        </w:tc>
      </w:tr>
      <w:tr>
        <w:trPr/>
        <w:tc>
          <w:tcPr>
            <w:tcW w:type="dxa" w:w="2512"/>
          </w:tcPr>
          <w:p>
            <w:pPr>
              <w:spacing w:after="0"/>
            </w:pPr>
            <w:r>
              <w:rPr>
                <w:sz w:val="19"/>
              </w:rPr>
              <w:t>Klärung (Stand Abschluss)</w:t>
            </w:r>
          </w:p>
        </w:tc>
        <w:tc>
          <w:tcPr>
            <w:tcW w:type="dxa" w:w="6899"/>
          </w:tcPr>
          <w:p>
            <w:pPr>
              <w:spacing w:after="0"/>
            </w:pPr>
            <w:r>
              <w:rPr>
                <w:sz w:val="19"/>
              </w:rPr>
              <w:t xml:space="preserve">Modell zur Trennung der Einzelwirkungen (Idee I31) → </w:t>
            </w:r>
            <w:r>
              <w:rPr>
                <w:b/>
                <w:sz w:val="19"/>
              </w:rPr>
              <w:t>Stand 05.10.2026:</w:t>
            </w:r>
            <w:r>
              <w:rPr>
                <w:sz w:val="19"/>
              </w:rPr>
              <w:t xml:space="preserve"> Folgeprojekt FP-3</w:t>
            </w:r>
          </w:p>
        </w:tc>
      </w:tr>
      <w:tr>
        <w:trPr/>
        <w:tc>
          <w:tcPr>
            <w:tcW w:type="dxa" w:w="2512"/>
          </w:tcPr>
          <w:p>
            <w:pPr>
              <w:spacing w:after="0"/>
            </w:pPr>
            <w:r>
              <w:rPr>
                <w:sz w:val="19"/>
              </w:rPr>
              <w:t>Für Agenten / ML</w:t>
            </w:r>
          </w:p>
        </w:tc>
        <w:tc>
          <w:tcPr>
            <w:tcW w:type="dxa" w:w="6899"/>
          </w:tcPr>
          <w:p>
            <w:pPr>
              <w:spacing w:after="0"/>
            </w:pPr>
            <w:r>
              <w:rPr>
                <w:sz w:val="19"/>
              </w:rPr>
              <w:t>„Gleiche Bedingungen“ = einfacher Ersatz für ein Modell; Grundlage zur Merkmalsauswahl</w:t>
            </w:r>
          </w:p>
        </w:tc>
      </w:tr>
      <w:tr>
        <w:trPr/>
        <w:tc>
          <w:tcPr>
            <w:tcW w:type="dxa" w:w="2512"/>
          </w:tcPr>
          <w:p>
            <w:pPr>
              <w:spacing w:after="0"/>
            </w:pPr>
            <w:r>
              <w:rPr>
                <w:sz w:val="19"/>
              </w:rPr>
              <w:t>Verweise</w:t>
            </w:r>
          </w:p>
        </w:tc>
        <w:tc>
          <w:tcPr>
            <w:tcW w:type="dxa" w:w="6899"/>
          </w:tcPr>
          <w:p>
            <w:pPr>
              <w:spacing w:after="0"/>
            </w:pPr>
            <w:r>
              <w:rPr>
                <w:sz w:val="19"/>
              </w:rPr>
              <w:t xml:space="preserve">N4 Kap. 6a · </w:t>
            </w:r>
            <w:hyperlink r:id="rId22">
              <w:r>
                <w:rPr>
                  <w:color w:val="0563C1"/>
                  <w:u w:val="single"/>
                </w:rPr>
                <w:t xml:space="preserve">04_images/schwartau/a7_flug_feuchte.png</w:t>
              </w:r>
            </w:hyperlink>
            <w:r>
              <w:rPr>
                <w:sz w:val="19"/>
              </w:rPr>
              <w:t xml:space="preserve"> · </w:t>
            </w:r>
            <w:hyperlink r:id="rId23">
              <w:r>
                <w:rPr>
                  <w:color w:val="0563C1"/>
                  <w:u w:val="single"/>
                </w:rPr>
                <w:t xml:space="preserve">04_images/schwartau/a8_flug_strahlung_hitze.png</w:t>
              </w:r>
            </w:hyperlink>
            <w:r>
              <w:rPr>
                <w:sz w:val="19"/>
              </w:rPr>
              <w:t xml:space="preserve"> · </w:t>
            </w:r>
            <w:hyperlink r:id="rId24">
              <w:r>
                <w:rPr>
                  <w:color w:val="0563C1"/>
                  <w:u w:val="single"/>
                </w:rPr>
                <w:t xml:space="preserve">04_images/schwartau/a9_a10_flug_wind_luftdruck.png</w:t>
              </w:r>
            </w:hyperlink>
            <w:r>
              <w:rPr>
                <w:sz w:val="19"/>
              </w:rPr>
              <w:t xml:space="preserve"> · Idee I26, I28</w:t>
            </w:r>
          </w:p>
        </w:tc>
      </w:tr>
      <w:tr>
        <w:trPr/>
        <w:tc>
          <w:tcPr>
            <w:tcW w:type="dxa" w:w="2512"/>
          </w:tcPr>
          <w:p>
            <w:pPr>
              <w:spacing w:after="0"/>
            </w:pPr>
            <w:r>
              <w:rPr>
                <w:sz w:val="19"/>
              </w:rPr>
              <w:t>Einfach erklärt</w:t>
            </w:r>
          </w:p>
        </w:tc>
        <w:tc>
          <w:tcPr>
            <w:tcW w:type="dxa" w:w="6899"/>
          </w:tcPr>
          <w:p>
            <w:pPr>
              <w:spacing w:after="0"/>
            </w:pPr>
            <w:r>
              <w:rPr>
                <w:sz w:val="19"/>
              </w:rPr>
              <w:t>Damit man die Wirkung z. B. von Wind nicht mit der Jahreszeit verwechselt, werden nur vergleichbare Stunden verglichen (Tag, kein Regen, 15–25 °C, April–September) – wie ein fairer Test.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4.5 – Honigproduktion (H1)</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viel trägt das Volk ein, und unter welchen Bedingungen?</w:t>
            </w:r>
          </w:p>
        </w:tc>
      </w:tr>
      <w:tr>
        <w:trPr/>
        <w:tc>
          <w:tcPr>
            <w:tcW w:type="dxa" w:w="2512"/>
          </w:tcPr>
          <w:p>
            <w:pPr>
              <w:spacing w:after="0"/>
            </w:pPr>
            <w:r>
              <w:rPr>
                <w:sz w:val="19"/>
              </w:rPr>
              <w:t>Eigene Erwartung</w:t>
            </w:r>
          </w:p>
        </w:tc>
        <w:tc>
          <w:tcPr>
            <w:tcW w:type="dxa" w:w="6899"/>
          </w:tcPr>
          <w:p>
            <w:pPr>
              <w:spacing w:after="0"/>
            </w:pPr>
            <w:r>
              <w:rPr>
                <w:sz w:val="19"/>
              </w:rPr>
              <w:t>Viele Tage mit Zunahme im Sommer; mehr Einflüge = mehr Gewicht</w:t>
            </w:r>
          </w:p>
        </w:tc>
      </w:tr>
      <w:tr>
        <w:trPr/>
        <w:tc>
          <w:tcPr>
            <w:tcW w:type="dxa" w:w="2512"/>
          </w:tcPr>
          <w:p>
            <w:pPr>
              <w:spacing w:after="0"/>
            </w:pPr>
            <w:r>
              <w:rPr>
                <w:sz w:val="19"/>
              </w:rPr>
              <w:t>Erwartung laut Recherche</w:t>
            </w:r>
          </w:p>
        </w:tc>
        <w:tc>
          <w:tcPr>
            <w:tcW w:type="dxa" w:w="6899"/>
          </w:tcPr>
          <w:p>
            <w:pPr>
              <w:spacing w:after="0"/>
            </w:pPr>
            <w:r>
              <w:rPr>
                <w:sz w:val="19"/>
              </w:rPr>
              <w:t>10–17 mg Honig je Nektarflug [R2][R6]; nächtliche Abnahme durch Verdunstung [R2][R5]; Spitzentage 4–10 kg [R1]</w:t>
            </w:r>
          </w:p>
        </w:tc>
      </w:tr>
      <w:tr>
        <w:trPr/>
        <w:tc>
          <w:tcPr>
            <w:tcW w:type="dxa" w:w="2512"/>
          </w:tcPr>
          <w:p>
            <w:pPr>
              <w:spacing w:after="0"/>
            </w:pPr>
            <w:r>
              <w:rPr>
                <w:sz w:val="19"/>
              </w:rPr>
              <w:t>Zwischenschritte</w:t>
            </w:r>
          </w:p>
        </w:tc>
        <w:tc>
          <w:tcPr>
            <w:tcW w:type="dxa" w:w="6899"/>
          </w:tcPr>
          <w:p>
            <w:pPr>
              <w:spacing w:after="0"/>
            </w:pPr>
            <w:r>
              <w:rPr>
                <w:sz w:val="19"/>
              </w:rPr>
              <w:t>1) Tagesbilanz 00:00 → 00:00 UTC (alle Bienen im Stock) 2) Klassen niedrig ≤ 0 · mittel bis +0,5 kg · hoch &gt; +0,5 kg 3) Ausschluss Zeitraum E5 und Änderungen über ±5 kg 4) Ausgleichsgerade Gewicht/Einflüge 5) Tagesgang 00→12 / 12→00 UTC</w:t>
            </w:r>
          </w:p>
        </w:tc>
      </w:tr>
      <w:tr>
        <w:trPr/>
        <w:tc>
          <w:tcPr>
            <w:tcW w:type="dxa" w:w="2512"/>
          </w:tcPr>
          <w:p>
            <w:pPr>
              <w:spacing w:after="0"/>
            </w:pPr>
            <w:r>
              <w:rPr>
                <w:sz w:val="19"/>
              </w:rPr>
              <w:t>Zwischenergebnis</w:t>
            </w:r>
          </w:p>
        </w:tc>
        <w:tc>
          <w:tcPr>
            <w:tcW w:type="dxa" w:w="6899"/>
          </w:tcPr>
          <w:p>
            <w:pPr>
              <w:spacing w:after="0"/>
            </w:pPr>
            <w:r>
              <w:rPr>
                <w:sz w:val="19"/>
              </w:rPr>
              <w:t>6 Tage über ±5 kg, u. a. −31,9 kg am 26.07.2017 (vermutlich Ernte)</w:t>
            </w:r>
          </w:p>
        </w:tc>
      </w:tr>
      <w:tr>
        <w:trPr/>
        <w:tc>
          <w:tcPr>
            <w:tcW w:type="dxa" w:w="2512"/>
          </w:tcPr>
          <w:p>
            <w:pPr>
              <w:spacing w:after="0"/>
            </w:pPr>
            <w:r>
              <w:rPr>
                <w:sz w:val="19"/>
              </w:rPr>
              <w:t>Lösungswege</w:t>
            </w:r>
          </w:p>
        </w:tc>
        <w:tc>
          <w:tcPr>
            <w:tcW w:type="dxa" w:w="6899"/>
          </w:tcPr>
          <w:p>
            <w:pPr>
              <w:spacing w:after="0"/>
            </w:pPr>
            <w:r>
              <w:rPr>
                <w:sz w:val="19"/>
              </w:rPr>
              <w:t xml:space="preserve">Ausschluss großer Sprünge: </w:t>
            </w:r>
            <w:r>
              <w:rPr>
                <w:b/>
                <w:sz w:val="19"/>
              </w:rPr>
              <w:t>A</w:t>
            </w:r>
            <w:r>
              <w:rPr>
                <w:sz w:val="19"/>
              </w:rPr>
              <w:t xml:space="preserve"> Grenze ±5 kg (Annahme Eingriff) · </w:t>
            </w:r>
            <w:r>
              <w:rPr>
                <w:b/>
                <w:sz w:val="19"/>
              </w:rPr>
              <w:t>B</w:t>
            </w:r>
            <w:r>
              <w:rPr>
                <w:sz w:val="19"/>
              </w:rPr>
              <w:t xml:space="preserve"> Imkerei-Protokoll (nicht vorhanden) · </w:t>
            </w:r>
            <w:r>
              <w:rPr>
                <w:b/>
                <w:sz w:val="19"/>
              </w:rPr>
              <w:t>C</w:t>
            </w:r>
            <w:r>
              <w:rPr>
                <w:sz w:val="19"/>
              </w:rPr>
              <w:t xml:space="preserve"> nichts ausschließen (Ernte verfälscht)</w:t>
            </w:r>
          </w:p>
        </w:tc>
      </w:tr>
      <w:tr>
        <w:trPr/>
        <w:tc>
          <w:tcPr>
            <w:tcW w:type="dxa" w:w="2512"/>
          </w:tcPr>
          <w:p>
            <w:pPr>
              <w:spacing w:after="0"/>
            </w:pPr>
            <w:r>
              <w:rPr>
                <w:sz w:val="19"/>
              </w:rPr>
              <w:t>Entscheidung + Begründung</w:t>
            </w:r>
          </w:p>
        </w:tc>
        <w:tc>
          <w:tcPr>
            <w:tcW w:type="dxa" w:w="6899"/>
          </w:tcPr>
          <w:p>
            <w:pPr>
              <w:spacing w:after="0"/>
            </w:pPr>
            <w:r>
              <w:rPr>
                <w:sz w:val="19"/>
              </w:rPr>
              <w:t>A (29.09.2026), als Annahme gekennzeichnet</w:t>
            </w:r>
          </w:p>
        </w:tc>
      </w:tr>
      <w:tr>
        <w:trPr/>
        <w:tc>
          <w:tcPr>
            <w:tcW w:type="dxa" w:w="2512"/>
          </w:tcPr>
          <w:p>
            <w:pPr>
              <w:spacing w:after="0"/>
            </w:pPr>
            <w:r>
              <w:rPr>
                <w:sz w:val="19"/>
              </w:rPr>
              <w:t>Endergebnis</w:t>
            </w:r>
          </w:p>
        </w:tc>
        <w:tc>
          <w:tcPr>
            <w:tcW w:type="dxa" w:w="6899"/>
          </w:tcPr>
          <w:p>
            <w:pPr>
              <w:spacing w:after="0"/>
            </w:pPr>
            <w:r>
              <w:rPr>
                <w:sz w:val="19"/>
              </w:rPr>
              <w:t>290 Saisontage: niedrig 54 % (Median −0,19 kg), mittel 27 %, hoch 19 % (+1,09 kg); hoch = ca. 105.000 Einflüge, 8,9 statt 5,8 Sonnenstunden; ca. 6 mg je Einflug, Grundverbrauch ca. 260 g/Tag, Gewinnschwelle ca. 41.000 Einflüge/Tag (r = 0,45)</w:t>
            </w:r>
          </w:p>
        </w:tc>
      </w:tr>
      <w:tr>
        <w:trPr/>
        <w:tc>
          <w:tcPr>
            <w:tcW w:type="dxa" w:w="2512"/>
          </w:tcPr>
          <w:p>
            <w:pPr>
              <w:spacing w:after="0"/>
            </w:pPr>
            <w:r>
              <w:rPr>
                <w:sz w:val="19"/>
              </w:rPr>
              <w:t>Hinweise / Gefahren</w:t>
            </w:r>
          </w:p>
        </w:tc>
        <w:tc>
          <w:tcPr>
            <w:tcW w:type="dxa" w:w="6899"/>
          </w:tcPr>
          <w:p>
            <w:pPr>
              <w:spacing w:after="0"/>
            </w:pPr>
            <w:r>
              <w:rPr>
                <w:sz w:val="19"/>
              </w:rPr>
              <w:t>Waage misst das ganze Volk (Eintrag minus Verbrauch), nicht reinen Honig · 6 mg je Einflug plausibel, weil nicht jeder Einflug Nektar bringt</w:t>
            </w:r>
          </w:p>
        </w:tc>
      </w:tr>
      <w:tr>
        <w:trPr/>
        <w:tc>
          <w:tcPr>
            <w:tcW w:type="dxa" w:w="2512"/>
          </w:tcPr>
          <w:p>
            <w:pPr>
              <w:spacing w:after="0"/>
            </w:pPr>
            <w:r>
              <w:rPr>
                <w:sz w:val="19"/>
              </w:rPr>
              <w:t>Klärung (Stand Abschluss)</w:t>
            </w:r>
          </w:p>
        </w:tc>
        <w:tc>
          <w:tcPr>
            <w:tcW w:type="dxa" w:w="6899"/>
          </w:tcPr>
          <w:p>
            <w:pPr>
              <w:spacing w:after="0"/>
            </w:pPr>
            <w:r>
              <w:rPr>
                <w:sz w:val="19"/>
              </w:rPr>
              <w:t xml:space="preserve">Imkerei-Protokoll (Idee I32) → </w:t>
            </w:r>
            <w:r>
              <w:rPr>
                <w:b/>
                <w:sz w:val="19"/>
              </w:rPr>
              <w:t>Stand 05.10.2026:</w:t>
            </w:r>
            <w:r>
              <w:rPr>
                <w:sz w:val="19"/>
              </w:rPr>
              <w:t xml:space="preserve"> Folgeprojekt FP-2 (fachliche Bestätigung der Warnregeln)</w:t>
            </w:r>
          </w:p>
        </w:tc>
      </w:tr>
      <w:tr>
        <w:trPr/>
        <w:tc>
          <w:tcPr>
            <w:tcW w:type="dxa" w:w="2512"/>
          </w:tcPr>
          <w:p>
            <w:pPr>
              <w:spacing w:after="0"/>
            </w:pPr>
            <w:r>
              <w:rPr>
                <w:sz w:val="19"/>
              </w:rPr>
              <w:t>Für Agenten / ML</w:t>
            </w:r>
          </w:p>
        </w:tc>
        <w:tc>
          <w:tcPr>
            <w:tcW w:type="dxa" w:w="6899"/>
          </w:tcPr>
          <w:p>
            <w:pPr>
              <w:spacing w:after="0"/>
            </w:pPr>
            <w:r>
              <w:rPr>
                <w:sz w:val="19"/>
              </w:rPr>
              <w:t>Zielgröße „Tageszunahme“; Eingriffe als Störgröße kennzeichnen</w:t>
            </w:r>
          </w:p>
        </w:tc>
      </w:tr>
      <w:tr>
        <w:trPr/>
        <w:tc>
          <w:tcPr>
            <w:tcW w:type="dxa" w:w="2512"/>
          </w:tcPr>
          <w:p>
            <w:pPr>
              <w:spacing w:after="0"/>
            </w:pPr>
            <w:r>
              <w:rPr>
                <w:sz w:val="19"/>
              </w:rPr>
              <w:t>Verweise</w:t>
            </w:r>
          </w:p>
        </w:tc>
        <w:tc>
          <w:tcPr>
            <w:tcW w:type="dxa" w:w="6899"/>
          </w:tcPr>
          <w:p>
            <w:pPr>
              <w:spacing w:after="0"/>
            </w:pPr>
            <w:r>
              <w:rPr>
                <w:sz w:val="19"/>
              </w:rPr>
              <w:t xml:space="preserve">N4 Kap. 6b · </w:t>
            </w:r>
            <w:hyperlink r:id="rId13">
              <w:r>
                <w:rPr>
                  <w:color w:val="0563C1"/>
                  <w:u w:val="single"/>
                </w:rPr>
                <w:t xml:space="preserve">04_images/schwartau/h1_honig_produktion.png</w:t>
              </w:r>
            </w:hyperlink>
            <w:r>
              <w:rPr>
                <w:sz w:val="19"/>
              </w:rPr>
              <w:t xml:space="preserve"> · Idee I27</w:t>
            </w:r>
          </w:p>
        </w:tc>
      </w:tr>
      <w:tr>
        <w:trPr/>
        <w:tc>
          <w:tcPr>
            <w:tcW w:type="dxa" w:w="2512"/>
          </w:tcPr>
          <w:p>
            <w:pPr>
              <w:spacing w:after="0"/>
            </w:pPr>
            <w:r>
              <w:rPr>
                <w:sz w:val="19"/>
              </w:rPr>
              <w:t>Einfach erklärt</w:t>
            </w:r>
          </w:p>
        </w:tc>
        <w:tc>
          <w:tcPr>
            <w:tcW w:type="dxa" w:w="6899"/>
          </w:tcPr>
          <w:p>
            <w:pPr>
              <w:spacing w:after="0"/>
            </w:pPr>
            <w:r>
              <w:rPr>
                <w:sz w:val="19"/>
              </w:rPr>
              <w:t>Aus der Waage lässt sich ablesen, an welchen Tagen das Volk Honig einträgt. Gute Tage sind sonnig und regenfrei mit sehr vielen Einflügen.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4.6 – Archiv in jedem Ordner, Originale spiegeln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Wo liegen ältere Versionen, und stimmt lokal mit Azure überein?</w:t>
            </w:r>
          </w:p>
        </w:tc>
      </w:tr>
      <w:tr>
        <w:trPr/>
        <w:tc>
          <w:tcPr>
            <w:tcW w:type="dxa" w:w="2512"/>
          </w:tcPr>
          <w:p>
            <w:pPr>
              <w:spacing w:after="0"/>
            </w:pPr>
            <w:r>
              <w:rPr>
                <w:sz w:val="19"/>
              </w:rPr>
              <w:t>Eigene Erwartung</w:t>
            </w:r>
          </w:p>
        </w:tc>
        <w:tc>
          <w:tcPr>
            <w:tcW w:type="dxa" w:w="6899"/>
          </w:tcPr>
          <w:p>
            <w:pPr>
              <w:spacing w:after="0"/>
            </w:pPr>
            <w:r>
              <w:rPr>
                <w:sz w:val="19"/>
              </w:rPr>
              <w:t>Ein zentrales Archiv</w:t>
            </w:r>
          </w:p>
        </w:tc>
      </w:tr>
      <w:tr>
        <w:trPr/>
        <w:tc>
          <w:tcPr>
            <w:tcW w:type="dxa" w:w="2512"/>
          </w:tcPr>
          <w:p>
            <w:pPr>
              <w:spacing w:after="0"/>
            </w:pPr>
            <w:r>
              <w:rPr>
                <w:sz w:val="19"/>
              </w:rPr>
              <w:t>Erwartung laut Recherche</w:t>
            </w:r>
          </w:p>
        </w:tc>
        <w:tc>
          <w:tcPr>
            <w:tcW w:type="dxa" w:w="6899"/>
          </w:tcPr>
          <w:p>
            <w:pPr>
              <w:spacing w:after="0"/>
            </w:pPr>
            <w:r>
              <w:rPr>
                <w:sz w:val="19"/>
              </w:rPr>
              <w:t>Versionen nahe am Original erleichtern den Rückgriff</w:t>
            </w:r>
          </w:p>
        </w:tc>
      </w:tr>
      <w:tr>
        <w:trPr/>
        <w:tc>
          <w:tcPr>
            <w:tcW w:type="dxa" w:w="2512"/>
          </w:tcPr>
          <w:p>
            <w:pPr>
              <w:spacing w:after="0"/>
            </w:pPr>
            <w:r>
              <w:rPr>
                <w:sz w:val="19"/>
              </w:rPr>
              <w:t>Zwischenschritte</w:t>
            </w:r>
          </w:p>
        </w:tc>
        <w:tc>
          <w:tcPr>
            <w:tcW w:type="dxa" w:w="6899"/>
          </w:tcPr>
          <w:p>
            <w:pPr>
              <w:spacing w:after="0"/>
            </w:pPr>
            <w:r>
              <w:rPr>
                <w:sz w:val="19"/>
              </w:rPr>
              <w:t xml:space="preserve">1) </w:t>
            </w:r>
            <w:r>
              <w:rPr>
                <w:rFonts w:ascii="Courier New" w:hAnsi="Courier New"/>
                <w:sz w:val="17"/>
              </w:rPr>
              <w:t>_archiv/</w:t>
            </w:r>
            <w:r>
              <w:rPr>
                <w:sz w:val="19"/>
              </w:rPr>
              <w:t xml:space="preserve"> in jedem Ordner 2) N2–N4 verschieben ältere Versionen automatisch (mit Protokoll) 3) Originale lokal in </w:t>
            </w:r>
            <w:r>
              <w:rPr>
                <w:rFonts w:ascii="Courier New" w:hAnsi="Courier New"/>
                <w:sz w:val="17"/>
              </w:rPr>
              <w:t>bronze/archive/&lt;name&gt;_raw/</w:t>
            </w:r>
          </w:p>
        </w:tc>
      </w:tr>
      <w:tr>
        <w:trPr/>
        <w:tc>
          <w:tcPr>
            <w:tcW w:type="dxa" w:w="2512"/>
          </w:tcPr>
          <w:p>
            <w:pPr>
              <w:spacing w:after="0"/>
            </w:pPr>
            <w:r>
              <w:rPr>
                <w:sz w:val="19"/>
              </w:rPr>
              <w:t>Zwischenergebnis</w:t>
            </w:r>
          </w:p>
        </w:tc>
        <w:tc>
          <w:tcPr>
            <w:tcW w:type="dxa" w:w="6899"/>
          </w:tcPr>
          <w:p>
            <w:pPr>
              <w:spacing w:after="0"/>
            </w:pPr>
            <w:r>
              <w:rPr>
                <w:sz w:val="19"/>
              </w:rPr>
              <w: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Archiv je Ordner · </w:t>
            </w:r>
            <w:r>
              <w:rPr>
                <w:b/>
                <w:sz w:val="19"/>
              </w:rPr>
              <w:t>B</w:t>
            </w:r>
            <w:r>
              <w:rPr>
                <w:sz w:val="19"/>
              </w:rPr>
              <w:t xml:space="preserve"> zentrales Archiv (Pfade gehen verloren)</w:t>
            </w:r>
          </w:p>
        </w:tc>
      </w:tr>
      <w:tr>
        <w:trPr/>
        <w:tc>
          <w:tcPr>
            <w:tcW w:type="dxa" w:w="2512"/>
          </w:tcPr>
          <w:p>
            <w:pPr>
              <w:spacing w:after="0"/>
            </w:pPr>
            <w:r>
              <w:rPr>
                <w:sz w:val="19"/>
              </w:rPr>
              <w:t>Entscheidung + Begründung</w:t>
            </w:r>
          </w:p>
        </w:tc>
        <w:tc>
          <w:tcPr>
            <w:tcW w:type="dxa" w:w="6899"/>
          </w:tcPr>
          <w:p>
            <w:pPr>
              <w:spacing w:after="0"/>
            </w:pPr>
            <w:r>
              <w:rPr>
                <w:sz w:val="19"/>
              </w:rPr>
              <w:t>A (Geschäftsführung 29.09.2026)</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silver/cleaned</w:t>
            </w:r>
            <w:r>
              <w:rPr>
                <w:sz w:val="19"/>
              </w:rPr>
              <w:t xml:space="preserve"> enthält nur die neueste Version; Gold vor dem Überschreiben archiviert</w:t>
            </w:r>
          </w:p>
        </w:tc>
      </w:tr>
      <w:tr>
        <w:trPr/>
        <w:tc>
          <w:tcPr>
            <w:tcW w:type="dxa" w:w="2512"/>
          </w:tcPr>
          <w:p>
            <w:pPr>
              <w:spacing w:after="0"/>
            </w:pPr>
            <w:r>
              <w:rPr>
                <w:sz w:val="19"/>
              </w:rPr>
              <w:t>Hinweise / Gefahren</w:t>
            </w:r>
          </w:p>
        </w:tc>
        <w:tc>
          <w:tcPr>
            <w:tcW w:type="dxa" w:w="6899"/>
          </w:tcPr>
          <w:p>
            <w:pPr>
              <w:spacing w:after="0"/>
            </w:pPr>
            <w:r>
              <w:rPr>
                <w:sz w:val="19"/>
              </w:rPr>
              <w:t>Löschen im Archiv nur nach Freigabe</w:t>
            </w:r>
          </w:p>
        </w:tc>
      </w:tr>
      <w:tr>
        <w:trPr/>
        <w:tc>
          <w:tcPr>
            <w:tcW w:type="dxa" w:w="2512"/>
          </w:tcPr>
          <w:p>
            <w:pPr>
              <w:spacing w:after="0"/>
            </w:pPr>
            <w:r>
              <w:rPr>
                <w:sz w:val="19"/>
              </w:rPr>
              <w:t>Klärung (Stand Abschluss)</w:t>
            </w:r>
          </w:p>
        </w:tc>
        <w:tc>
          <w:tcPr>
            <w:tcW w:type="dxa" w:w="6899"/>
          </w:tcPr>
          <w:p>
            <w:pPr>
              <w:spacing w:after="0"/>
            </w:pPr>
            <w:r>
              <w:rPr>
                <w:sz w:val="19"/>
              </w:rPr>
              <w:t>Wetter-Archiv einheitlich benennen (</w:t>
            </w:r>
            <w:r>
              <w:rPr>
                <w:rFonts w:ascii="Courier New" w:hAnsi="Courier New"/>
                <w:sz w:val="17"/>
              </w:rPr>
              <w:t>wetter_schwartau_raw</w:t>
            </w:r>
            <w:r>
              <w:rPr>
                <w:sz w:val="19"/>
              </w:rPr>
              <w:t xml:space="preserve">) → </w:t>
            </w:r>
            <w:r>
              <w:rPr>
                <w:b/>
                <w:sz w:val="19"/>
              </w:rPr>
              <w:t>Stand 05.10.2026:</w:t>
            </w:r>
            <w:r>
              <w:rPr>
                <w:sz w:val="19"/>
              </w:rPr>
              <w:t xml:space="preserve"> wird nicht umgesetzt – Grund: Ablage je Stadt </w:t>
            </w:r>
            <w:r>
              <w:rPr>
                <w:rFonts w:ascii="Courier New" w:hAnsi="Courier New"/>
                <w:sz w:val="17"/>
              </w:rPr>
              <w:t>bronze/archive/&lt;stadt&gt;/wetter/</w:t>
            </w:r>
            <w:r>
              <w:rPr>
                <w:sz w:val="19"/>
              </w:rPr>
              <w:t xml:space="preserve"> ist eindeutig</w:t>
            </w:r>
          </w:p>
        </w:tc>
      </w:tr>
      <w:tr>
        <w:trPr/>
        <w:tc>
          <w:tcPr>
            <w:tcW w:type="dxa" w:w="2512"/>
          </w:tcPr>
          <w:p>
            <w:pPr>
              <w:spacing w:after="0"/>
            </w:pPr>
            <w:r>
              <w:rPr>
                <w:sz w:val="19"/>
              </w:rPr>
              <w:t>Für Agenten / ML</w:t>
            </w:r>
          </w:p>
        </w:tc>
        <w:tc>
          <w:tcPr>
            <w:tcW w:type="dxa" w:w="6899"/>
          </w:tcPr>
          <w:p>
            <w:pPr>
              <w:spacing w:after="0"/>
            </w:pPr>
            <w:r>
              <w:rPr>
                <w:sz w:val="19"/>
              </w:rPr>
              <w:t>Jede Version bleibt auffindbar – Grundlage für reproduzierbares Training</w:t>
            </w:r>
          </w:p>
        </w:tc>
      </w:tr>
      <w:tr>
        <w:trPr/>
        <w:tc>
          <w:tcPr>
            <w:tcW w:type="dxa" w:w="2512"/>
          </w:tcPr>
          <w:p>
            <w:pPr>
              <w:spacing w:after="0"/>
            </w:pPr>
            <w:r>
              <w:rPr>
                <w:sz w:val="19"/>
              </w:rPr>
              <w:t>Verweise</w:t>
            </w:r>
          </w:p>
        </w:tc>
        <w:tc>
          <w:tcPr>
            <w:tcW w:type="dxa" w:w="6899"/>
          </w:tcPr>
          <w:p>
            <w:pPr>
              <w:spacing w:after="0"/>
            </w:pPr>
            <w:r>
              <w:rPr>
                <w:sz w:val="19"/>
              </w:rPr>
              <w:t>Ablage-Regel Kap. 8.3 · Idee I29, I30</w:t>
            </w:r>
          </w:p>
        </w:tc>
      </w:tr>
      <w:tr>
        <w:trPr/>
        <w:tc>
          <w:tcPr>
            <w:tcW w:type="dxa" w:w="2512"/>
          </w:tcPr>
          <w:p>
            <w:pPr>
              <w:spacing w:after="0"/>
            </w:pPr>
            <w:r>
              <w:rPr>
                <w:sz w:val="19"/>
              </w:rPr>
              <w:t>Einfach erklärt</w:t>
            </w:r>
          </w:p>
        </w:tc>
        <w:tc>
          <w:tcPr>
            <w:tcW w:type="dxa" w:w="6899"/>
          </w:tcPr>
          <w:p>
            <w:pPr>
              <w:spacing w:after="0"/>
            </w:pPr>
            <w:r>
              <w:rPr>
                <w:sz w:val="19"/>
              </w:rPr>
              <w:t>Ältere Versionen wandern ins Archiv statt gelöscht zu werden, und der lokale Ordner sieht aus wie der in Azure – so findet man sich überall gleich zurecht.</w:t>
            </w:r>
          </w:p>
        </w:tc>
      </w:tr>
    </w:tbl>
    <w:p>
      <w:pPr>
        <w:spacing w:after="0" w:line="20" w:lineRule="exact"/>
      </w:pPr>
    </w:p>
    <w:p>
      <w:pPr>
        <w:pStyle w:val="Heading2"/>
      </w:pPr>
      <w:r>
        <w:t>2.5 M5 – Azure vervollständigen und abschließen (ab 30.09.2026)</w:t>
      </w:r>
    </w:p>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5.1 – Befund E5: Stock nicht auf der Waage</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Nach R5 (&lt; 20 kg) blieben im Mai/Juni 2018 noch 28 Werte zwischen 20,3 und 25,6 kg als „ok“</w:t>
            </w:r>
          </w:p>
        </w:tc>
      </w:tr>
      <w:tr>
        <w:trPr/>
        <w:tc>
          <w:tcPr>
            <w:tcW w:type="dxa" w:w="2512"/>
          </w:tcPr>
          <w:p>
            <w:pPr>
              <w:spacing w:after="0"/>
            </w:pPr>
            <w:r>
              <w:rPr>
                <w:sz w:val="19"/>
              </w:rPr>
              <w:t>Eigene Erwartung</w:t>
            </w:r>
          </w:p>
        </w:tc>
        <w:tc>
          <w:tcPr>
            <w:tcW w:type="dxa" w:w="6899"/>
          </w:tcPr>
          <w:p>
            <w:pPr>
              <w:spacing w:after="0"/>
            </w:pPr>
            <w:r>
              <w:rPr>
                <w:sz w:val="19"/>
              </w:rPr>
              <w:t>Sensorstörung, Werte gleichmäßig niedrig</w:t>
            </w:r>
          </w:p>
        </w:tc>
      </w:tr>
      <w:tr>
        <w:trPr/>
        <w:tc>
          <w:tcPr>
            <w:tcW w:type="dxa" w:w="2512"/>
          </w:tcPr>
          <w:p>
            <w:pPr>
              <w:spacing w:after="0"/>
            </w:pPr>
            <w:r>
              <w:rPr>
                <w:sz w:val="19"/>
              </w:rPr>
              <w:t>Erwartung laut Recherche</w:t>
            </w:r>
          </w:p>
        </w:tc>
        <w:tc>
          <w:tcPr>
            <w:tcW w:type="dxa" w:w="6899"/>
          </w:tcPr>
          <w:p>
            <w:pPr>
              <w:spacing w:after="0"/>
            </w:pPr>
            <w:r>
              <w:rPr>
                <w:sz w:val="19"/>
              </w:rPr>
              <w:t>Bei einer Honigernte werden nur die Honigräume abgenommen; Kasten, Rähmchen, Bienen und Brut bleiben – das Gewicht fällt nicht auf 0 kg</w:t>
            </w:r>
          </w:p>
        </w:tc>
      </w:tr>
      <w:tr>
        <w:trPr/>
        <w:tc>
          <w:tcPr>
            <w:tcW w:type="dxa" w:w="2512"/>
          </w:tcPr>
          <w:p>
            <w:pPr>
              <w:spacing w:after="0"/>
            </w:pPr>
            <w:r>
              <w:rPr>
                <w:sz w:val="19"/>
              </w:rPr>
              <w:t>Zwischenschritte</w:t>
            </w:r>
          </w:p>
        </w:tc>
        <w:tc>
          <w:tcPr>
            <w:tcW w:type="dxa" w:w="6899"/>
          </w:tcPr>
          <w:p>
            <w:pPr>
              <w:spacing w:after="0"/>
            </w:pPr>
            <w:r>
              <w:rPr>
                <w:sz w:val="19"/>
              </w:rPr>
              <w:t>1) Rohwerte des Zeitraums ansehen 2) Übergänge davor/danach prüfen 3) Ursachen abwägen</w:t>
            </w:r>
          </w:p>
        </w:tc>
      </w:tr>
      <w:tr>
        <w:trPr/>
        <w:tc>
          <w:tcPr>
            <w:tcW w:type="dxa" w:w="2512"/>
          </w:tcPr>
          <w:p>
            <w:pPr>
              <w:spacing w:after="0"/>
            </w:pPr>
            <w:r>
              <w:rPr>
                <w:sz w:val="19"/>
              </w:rPr>
              <w:t>Zwischenergebnis</w:t>
            </w:r>
          </w:p>
        </w:tc>
        <w:tc>
          <w:tcPr>
            <w:tcW w:type="dxa" w:w="6899"/>
          </w:tcPr>
          <w:p>
            <w:pPr>
              <w:spacing w:after="0"/>
            </w:pPr>
            <w:r>
              <w:rPr>
                <w:sz w:val="19"/>
              </w:rPr>
              <w:t>vorher gleichmäßig 48,6 kg · 28.04. mittags −0,17 kg (leere Waage) · steigend 4,7 → 18 kg · 18.05. 1,2 kg · steigend bis 25,6 kg · ab 17.06. −0,15 kg · ab 02./03.07. 57 → 64 kg. Alle 102 Werte &lt; 20 kg liegen in diesem Zeitraum</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ganzen Zeitraum ungültig markieren · </w:t>
            </w:r>
            <w:r>
              <w:rPr>
                <w:b/>
                <w:sz w:val="19"/>
              </w:rPr>
              <w:t>B</w:t>
            </w:r>
            <w:r>
              <w:rPr>
                <w:sz w:val="19"/>
              </w:rPr>
              <w:t xml:space="preserve"> Grenze auf 30 kg anheben (trifft auch echte leichte Stöcke, z. B. junge Völker)</w:t>
            </w:r>
          </w:p>
        </w:tc>
      </w:tr>
      <w:tr>
        <w:trPr/>
        <w:tc>
          <w:tcPr>
            <w:tcW w:type="dxa" w:w="2512"/>
          </w:tcPr>
          <w:p>
            <w:pPr>
              <w:spacing w:after="0"/>
            </w:pPr>
            <w:r>
              <w:rPr>
                <w:sz w:val="19"/>
              </w:rPr>
              <w:t>Entscheidung + Begründung</w:t>
            </w:r>
          </w:p>
        </w:tc>
        <w:tc>
          <w:tcPr>
            <w:tcW w:type="dxa" w:w="6899"/>
          </w:tcPr>
          <w:p>
            <w:pPr>
              <w:spacing w:after="0"/>
            </w:pPr>
            <w:r>
              <w:rPr>
                <w:sz w:val="19"/>
              </w:rPr>
              <w:t>A (30.09.2026, Projektleitung): Ursache nicht bestimmbar (Klärung mit Imkerei-Protokoll im Folgeprojekt FP-2) – Stock von der Waage genommen/umgesetzt (Eingriff der Imkerei) oder Sensorstörung; in beiden Fällen kein Gewicht des Volkes</w:t>
            </w:r>
          </w:p>
        </w:tc>
      </w:tr>
      <w:tr>
        <w:trPr/>
        <w:tc>
          <w:tcPr>
            <w:tcW w:type="dxa" w:w="2512"/>
          </w:tcPr>
          <w:p>
            <w:pPr>
              <w:spacing w:after="0"/>
            </w:pPr>
            <w:r>
              <w:rPr>
                <w:sz w:val="19"/>
              </w:rPr>
              <w:t>Endergebnis</w:t>
            </w:r>
          </w:p>
        </w:tc>
        <w:tc>
          <w:tcPr>
            <w:tcW w:type="dxa" w:w="6899"/>
          </w:tcPr>
          <w:p>
            <w:pPr>
              <w:spacing w:after="0"/>
            </w:pPr>
            <w:r>
              <w:rPr>
                <w:sz w:val="19"/>
              </w:rPr>
              <w:t>Regel R5a in N2: 130 Werte „ungültig: Stock nicht auf Waage (E5)“; weight 1.619 ok · 130 ungültig · 12 fehlend; Tagesgewicht min. 46,6 kg statt 20,5 kg; Analyse-Ergebnisse unverändert</w:t>
            </w:r>
          </w:p>
        </w:tc>
      </w:tr>
      <w:tr>
        <w:trPr/>
        <w:tc>
          <w:tcPr>
            <w:tcW w:type="dxa" w:w="2512"/>
          </w:tcPr>
          <w:p>
            <w:pPr>
              <w:spacing w:after="0"/>
            </w:pPr>
            <w:r>
              <w:rPr>
                <w:sz w:val="19"/>
              </w:rPr>
              <w:t>Hinweise / Gefahren</w:t>
            </w:r>
          </w:p>
        </w:tc>
        <w:tc>
          <w:tcPr>
            <w:tcW w:type="dxa" w:w="6899"/>
          </w:tcPr>
          <w:p>
            <w:pPr>
              <w:spacing w:after="0"/>
            </w:pPr>
            <w:r>
              <w:rPr>
                <w:sz w:val="19"/>
              </w:rPr>
              <w:t>Eine starre Grenze erkennt Störungen mit Werten knapp darüber nicht – Verlauf ansehen, nicht nur Grenzwerte · Grenze nicht anheben</w:t>
            </w:r>
          </w:p>
        </w:tc>
      </w:tr>
      <w:tr>
        <w:trPr/>
        <w:tc>
          <w:tcPr>
            <w:tcW w:type="dxa" w:w="2512"/>
          </w:tcPr>
          <w:p>
            <w:pPr>
              <w:spacing w:after="0"/>
            </w:pPr>
            <w:r>
              <w:rPr>
                <w:sz w:val="19"/>
              </w:rPr>
              <w:t>Klärung (Stand Abschluss)</w:t>
            </w:r>
          </w:p>
        </w:tc>
        <w:tc>
          <w:tcPr>
            <w:tcW w:type="dxa" w:w="6899"/>
          </w:tcPr>
          <w:p>
            <w:pPr>
              <w:spacing w:after="0"/>
            </w:pPr>
            <w:r>
              <w:rPr>
                <w:sz w:val="19"/>
              </w:rPr>
              <w:t xml:space="preserve">Imkerei-Protokoll 2018 (Ursache klären) → </w:t>
            </w:r>
            <w:r>
              <w:rPr>
                <w:b/>
                <w:sz w:val="19"/>
              </w:rPr>
              <w:t>Stand 05.10.2026:</w:t>
            </w:r>
            <w:r>
              <w:rPr>
                <w:sz w:val="19"/>
              </w:rPr>
              <w:t xml:space="preserve"> Folgeprojekt FP-2</w:t>
            </w:r>
          </w:p>
        </w:tc>
      </w:tr>
      <w:tr>
        <w:trPr/>
        <w:tc>
          <w:tcPr>
            <w:tcW w:type="dxa" w:w="2512"/>
          </w:tcPr>
          <w:p>
            <w:pPr>
              <w:spacing w:after="0"/>
            </w:pPr>
            <w:r>
              <w:rPr>
                <w:sz w:val="19"/>
              </w:rPr>
              <w:t>Für Agenten / ML</w:t>
            </w:r>
          </w:p>
        </w:tc>
        <w:tc>
          <w:tcPr>
            <w:tcW w:type="dxa" w:w="6899"/>
          </w:tcPr>
          <w:p>
            <w:pPr>
              <w:spacing w:after="0"/>
            </w:pPr>
            <w:r>
              <w:rPr>
                <w:sz w:val="19"/>
              </w:rPr>
              <w:t>Sprünge auf ca. 0 kg und zurück als Muster „Stock nicht auf Waage“ erkennen; Zeitraum aus Training ausschließen</w:t>
            </w:r>
          </w:p>
        </w:tc>
      </w:tr>
      <w:tr>
        <w:trPr/>
        <w:tc>
          <w:tcPr>
            <w:tcW w:type="dxa" w:w="2512"/>
          </w:tcPr>
          <w:p>
            <w:pPr>
              <w:spacing w:after="0"/>
            </w:pPr>
            <w:r>
              <w:rPr>
                <w:sz w:val="19"/>
              </w:rPr>
              <w:t>Verweise</w:t>
            </w:r>
          </w:p>
        </w:tc>
        <w:tc>
          <w:tcPr>
            <w:tcW w:type="dxa" w:w="6899"/>
          </w:tcPr>
          <w:p>
            <w:pPr>
              <w:spacing w:after="0"/>
            </w:pPr>
            <w:r>
              <w:rPr>
                <w:sz w:val="19"/>
              </w:rPr>
              <w:t xml:space="preserve">N2 Kap. 3a · N4 Kap. 4 · </w:t>
            </w:r>
            <w:hyperlink r:id="rId14">
              <w:r>
                <w:rPr>
                  <w:color w:val="0563C1"/>
                  <w:u w:val="single"/>
                </w:rPr>
                <w:t xml:space="preserve">04_images/schwartau/f1_gewicht_verlauf.png</w:t>
              </w:r>
            </w:hyperlink>
            <w:r>
              <w:rPr>
                <w:sz w:val="19"/>
              </w:rPr>
              <w:t xml:space="preserve"> · F3 (Brainstorming) erledigt</w:t>
            </w:r>
          </w:p>
        </w:tc>
      </w:tr>
      <w:tr>
        <w:trPr/>
        <w:tc>
          <w:tcPr>
            <w:tcW w:type="dxa" w:w="2512"/>
          </w:tcPr>
          <w:p>
            <w:pPr>
              <w:spacing w:after="0"/>
            </w:pPr>
            <w:r>
              <w:rPr>
                <w:sz w:val="19"/>
              </w:rPr>
              <w:t>Einfach erklärt</w:t>
            </w:r>
          </w:p>
        </w:tc>
        <w:tc>
          <w:tcPr>
            <w:tcW w:type="dxa" w:w="6899"/>
          </w:tcPr>
          <w:p>
            <w:pPr>
              <w:spacing w:after="0"/>
            </w:pPr>
            <w:r>
              <w:rPr>
                <w:sz w:val="19"/>
              </w:rPr>
              <w:t>Zwei Monate 2018 zeigte die Waage zu wenig Gewicht – der Stock stand offenbar nicht (ganz) darauf. Der ganze Zeitraum wird als ungültig markiert, statt einzelne Werte zu raten.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5.2 – Speicherformate CSV und Parquet (Z1)</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Unterricht 30.09.2026 (Bonus): Wie groß sind dieselben Tabellen als CSV und Parquet? Ändert Sortieren die Größe?</w:t>
            </w:r>
          </w:p>
        </w:tc>
      </w:tr>
      <w:tr>
        <w:trPr/>
        <w:tc>
          <w:tcPr>
            <w:tcW w:type="dxa" w:w="2512"/>
          </w:tcPr>
          <w:p>
            <w:pPr>
              <w:spacing w:after="0"/>
            </w:pPr>
            <w:r>
              <w:rPr>
                <w:sz w:val="19"/>
              </w:rPr>
              <w:t>Eigene Erwartung</w:t>
            </w:r>
          </w:p>
        </w:tc>
        <w:tc>
          <w:tcPr>
            <w:tcW w:type="dxa" w:w="6899"/>
          </w:tcPr>
          <w:p>
            <w:pPr>
              <w:spacing w:after="0"/>
            </w:pPr>
            <w:r>
              <w:rPr>
                <w:sz w:val="19"/>
              </w:rPr>
              <w:t>Parquet etwa halb so groß; Sortieren nach Messwert verkleinert Parquet</w:t>
            </w:r>
          </w:p>
        </w:tc>
      </w:tr>
      <w:tr>
        <w:trPr/>
        <w:tc>
          <w:tcPr>
            <w:tcW w:type="dxa" w:w="2512"/>
          </w:tcPr>
          <w:p>
            <w:pPr>
              <w:spacing w:after="0"/>
            </w:pPr>
            <w:r>
              <w:rPr>
                <w:sz w:val="19"/>
              </w:rPr>
              <w:t>Erwartung laut Recherche</w:t>
            </w:r>
          </w:p>
        </w:tc>
        <w:tc>
          <w:tcPr>
            <w:tcW w:type="dxa" w:w="6899"/>
          </w:tcPr>
          <w:p>
            <w:pPr>
              <w:spacing w:after="0"/>
            </w:pPr>
            <w:r>
              <w:rPr>
                <w:sz w:val="19"/>
              </w:rPr>
              <w:t>Parquet speichert spaltenweise und komprimiert (Standard Snappy); Run-Length- und Dictionary-Encoding (Lauflängen- und Wörterbuch-Kodierung) wirken bei gleichen, aufeinanderfolgenden Werten [Q1][Q2]</w:t>
            </w:r>
          </w:p>
        </w:tc>
      </w:tr>
      <w:tr>
        <w:trPr/>
        <w:tc>
          <w:tcPr>
            <w:tcW w:type="dxa" w:w="2512"/>
          </w:tcPr>
          <w:p>
            <w:pPr>
              <w:spacing w:after="0"/>
            </w:pPr>
            <w:r>
              <w:rPr>
                <w:sz w:val="19"/>
              </w:rPr>
              <w:t>Zwischenschritte</w:t>
            </w:r>
          </w:p>
        </w:tc>
        <w:tc>
          <w:tcPr>
            <w:tcW w:type="dxa" w:w="6899"/>
          </w:tcPr>
          <w:p>
            <w:pPr>
              <w:spacing w:after="0"/>
            </w:pPr>
            <w:r>
              <w:rPr>
                <w:sz w:val="19"/>
              </w:rPr>
              <w:t>1) neueste cleaned-Versionen flow und wetter lesen 2) als CSV und Parquet in temporären Ordner schreiben 3) nach Zeit und nach Messwert sortiert wiederholen</w:t>
            </w:r>
          </w:p>
        </w:tc>
      </w:tr>
      <w:tr>
        <w:trPr/>
        <w:tc>
          <w:tcPr>
            <w:tcW w:type="dxa" w:w="2512"/>
          </w:tcPr>
          <w:p>
            <w:pPr>
              <w:spacing w:after="0"/>
            </w:pPr>
            <w:r>
              <w:rPr>
                <w:sz w:val="19"/>
              </w:rPr>
              <w:t>Zwischenergebnis</w:t>
            </w:r>
          </w:p>
        </w:tc>
        <w:tc>
          <w:tcPr>
            <w:tcW w:type="dxa" w:w="6899"/>
          </w:tcPr>
          <w:p>
            <w:pPr>
              <w:spacing w:after="0"/>
            </w:pPr>
            <w:r>
              <w:rPr>
                <w:sz w:val="19"/>
              </w:rPr>
              <w:t xml:space="preserve">Sortierung nach </w:t>
            </w:r>
            <w:r>
              <w:rPr>
                <w:rFonts w:ascii="Courier New" w:hAnsi="Courier New"/>
                <w:sz w:val="17"/>
              </w:rPr>
              <w:t>zeit_utc</w:t>
            </w:r>
            <w:r>
              <w:rPr>
                <w:sz w:val="19"/>
              </w:rPr>
              <w:t xml:space="preserve"> ändert nichts (Daten sind schon zeitsortiert)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Silver/Gold als Parquet, zeitsortiert · </w:t>
            </w:r>
            <w:r>
              <w:rPr>
                <w:b/>
                <w:sz w:val="19"/>
              </w:rPr>
              <w:t>B</w:t>
            </w:r>
            <w:r>
              <w:rPr>
                <w:sz w:val="19"/>
              </w:rPr>
              <w:t xml:space="preserve"> CSV beibehalten (lesbar, Git-freundlich, 5–8 × größer) · </w:t>
            </w:r>
            <w:r>
              <w:rPr>
                <w:b/>
                <w:sz w:val="19"/>
              </w:rPr>
              <w:t>C</w:t>
            </w:r>
            <w:r>
              <w:rPr>
                <w:sz w:val="19"/>
              </w:rPr>
              <w:t xml:space="preserve"> Parquet nach Messwert sortiert</w:t>
            </w:r>
          </w:p>
        </w:tc>
      </w:tr>
      <w:tr>
        <w:trPr/>
        <w:tc>
          <w:tcPr>
            <w:tcW w:type="dxa" w:w="2512"/>
          </w:tcPr>
          <w:p>
            <w:pPr>
              <w:spacing w:after="0"/>
            </w:pPr>
            <w:r>
              <w:rPr>
                <w:sz w:val="19"/>
              </w:rPr>
              <w:t>Entscheidung + Begründung</w:t>
            </w:r>
          </w:p>
        </w:tc>
        <w:tc>
          <w:tcPr>
            <w:tcW w:type="dxa" w:w="6899"/>
          </w:tcPr>
          <w:p>
            <w:pPr>
              <w:spacing w:after="0"/>
            </w:pPr>
            <w:r>
              <w:rPr>
                <w:sz w:val="19"/>
              </w:rPr>
              <w:t>Empfehlung A für den Azure-Betrieb (Umstellung mit Freigabe); lokal vorerst CSV</w:t>
            </w:r>
          </w:p>
        </w:tc>
      </w:tr>
      <w:tr>
        <w:trPr/>
        <w:tc>
          <w:tcPr>
            <w:tcW w:type="dxa" w:w="2512"/>
          </w:tcPr>
          <w:p>
            <w:pPr>
              <w:spacing w:after="0"/>
            </w:pPr>
            <w:r>
              <w:rPr>
                <w:sz w:val="19"/>
              </w:rPr>
              <w:t>Endergebnis</w:t>
            </w:r>
          </w:p>
        </w:tc>
        <w:tc>
          <w:tcPr>
            <w:tcW w:type="dxa" w:w="6899"/>
          </w:tcPr>
          <w:p>
            <w:pPr>
              <w:spacing w:after="0"/>
            </w:pPr>
            <w:r>
              <w:rPr>
                <w:sz w:val="19"/>
              </w:rPr>
              <w:t>Parquet 13–18 % von CSV: flow 83,2 → 15,0 MB, wetter 3,6 → 0,47 MB; CSV nach Sortierung gleich groß; Parquet nach Messwert sortiert +2–3 %</w:t>
            </w:r>
          </w:p>
        </w:tc>
      </w:tr>
      <w:tr>
        <w:trPr/>
        <w:tc>
          <w:tcPr>
            <w:tcW w:type="dxa" w:w="2512"/>
          </w:tcPr>
          <w:p>
            <w:pPr>
              <w:spacing w:after="0"/>
            </w:pPr>
            <w:r>
              <w:rPr>
                <w:sz w:val="19"/>
              </w:rPr>
              <w:t>Hinweise / Gefahren</w:t>
            </w:r>
          </w:p>
        </w:tc>
        <w:tc>
          <w:tcPr>
            <w:tcW w:type="dxa" w:w="6899"/>
          </w:tcPr>
          <w:p>
            <w:pPr>
              <w:spacing w:after="0"/>
            </w:pPr>
            <w:r>
              <w:rPr>
                <w:sz w:val="19"/>
              </w:rPr>
              <w:t>Erwartung „Sortieren nach Messwert verkleinert“ nicht bestätigt: gleiche flow-Werte liegen zusammen, dafür springen Zeit und alle anderen Spalten</w:t>
            </w:r>
          </w:p>
        </w:tc>
      </w:tr>
      <w:tr>
        <w:trPr/>
        <w:tc>
          <w:tcPr>
            <w:tcW w:type="dxa" w:w="2512"/>
          </w:tcPr>
          <w:p>
            <w:pPr>
              <w:spacing w:after="0"/>
            </w:pPr>
            <w:r>
              <w:rPr>
                <w:sz w:val="19"/>
              </w:rPr>
              <w:t>Klärung (Stand Abschluss)</w:t>
            </w:r>
          </w:p>
        </w:tc>
        <w:tc>
          <w:tcPr>
            <w:tcW w:type="dxa" w:w="6899"/>
          </w:tcPr>
          <w:p>
            <w:pPr>
              <w:spacing w:after="0"/>
            </w:pPr>
            <w:r>
              <w:rPr>
                <w:sz w:val="19"/>
              </w:rPr>
              <w:t xml:space="preserve">Kosten je Stufe mit Preisrechner (E7) → </w:t>
            </w:r>
            <w:r>
              <w:rPr>
                <w:b/>
                <w:sz w:val="19"/>
              </w:rPr>
              <w:t>Stand 05.10.2026:</w:t>
            </w:r>
            <w:r>
              <w:rPr>
                <w:sz w:val="19"/>
              </w:rPr>
              <w:t xml:space="preserve"> erledigt (Kap. 8.8)</w:t>
            </w:r>
          </w:p>
        </w:tc>
      </w:tr>
      <w:tr>
        <w:trPr/>
        <w:tc>
          <w:tcPr>
            <w:tcW w:type="dxa" w:w="2512"/>
          </w:tcPr>
          <w:p>
            <w:pPr>
              <w:spacing w:after="0"/>
            </w:pPr>
            <w:r>
              <w:rPr>
                <w:sz w:val="19"/>
              </w:rPr>
              <w:t>Für Agenten / ML</w:t>
            </w:r>
          </w:p>
        </w:tc>
        <w:tc>
          <w:tcPr>
            <w:tcW w:type="dxa" w:w="6899"/>
          </w:tcPr>
          <w:p>
            <w:pPr>
              <w:spacing w:after="0"/>
            </w:pPr>
            <w:r>
              <w:rPr>
                <w:sz w:val="19"/>
              </w:rPr>
              <w:t>Parquet für große Tabellen; Zeit als Sortier- und Filterspalte</w:t>
            </w:r>
          </w:p>
        </w:tc>
      </w:tr>
      <w:tr>
        <w:trPr/>
        <w:tc>
          <w:tcPr>
            <w:tcW w:type="dxa" w:w="2512"/>
          </w:tcPr>
          <w:p>
            <w:pPr>
              <w:spacing w:after="0"/>
            </w:pPr>
            <w:r>
              <w:rPr>
                <w:sz w:val="19"/>
              </w:rPr>
              <w:t>Verweise</w:t>
            </w:r>
          </w:p>
        </w:tc>
        <w:tc>
          <w:tcPr>
            <w:tcW w:type="dxa" w:w="6899"/>
          </w:tcPr>
          <w:p>
            <w:pPr>
              <w:spacing w:after="0"/>
            </w:pPr>
            <w:r>
              <w:rPr>
                <w:rFonts w:ascii="Courier New" w:hAnsi="Courier New"/>
                <w:sz w:val="17"/>
              </w:rPr>
              <w:t>03_notebooks_ITS-Data/zusatz_z1_speicherformate.ipynb</w:t>
            </w:r>
            <w:r>
              <w:rPr>
                <w:sz w:val="19"/>
              </w:rPr>
              <w:t xml:space="preserve"> · </w:t>
            </w:r>
            <w:hyperlink r:id="rId25">
              <w:r>
                <w:rPr>
                  <w:color w:val="0563C1"/>
                  <w:u w:val="single"/>
                </w:rPr>
                <w:t xml:space="preserve">z1_speicherformate.png</w:t>
              </w:r>
            </w:hyperlink>
            <w:r>
              <w:rPr>
                <w:sz w:val="19"/>
              </w:rPr>
              <w:t xml:space="preserve"> · E7, Z1</w:t>
            </w:r>
          </w:p>
        </w:tc>
      </w:tr>
      <w:tr>
        <w:trPr/>
        <w:tc>
          <w:tcPr>
            <w:tcW w:type="dxa" w:w="2512"/>
          </w:tcPr>
          <w:p>
            <w:pPr>
              <w:spacing w:after="0"/>
            </w:pPr>
            <w:r>
              <w:rPr>
                <w:sz w:val="19"/>
              </w:rPr>
              <w:t>Einfach erklärt</w:t>
            </w:r>
          </w:p>
        </w:tc>
        <w:tc>
          <w:tcPr>
            <w:tcW w:type="dxa" w:w="6899"/>
          </w:tcPr>
          <w:p>
            <w:pPr>
              <w:spacing w:after="0"/>
            </w:pPr>
            <w:r>
              <w:rPr>
                <w:sz w:val="19"/>
              </w:rPr>
              <w:t>Dieselben Daten brauchen als Parquet nur etwa ein Sechstel des Platzes von CSV. Weniger Platz heißt weniger Kosten und schnellere Läufe.</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5.3 – Dokumentformat und Verlinkung</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Welches Format lesen Stakeholder, und wie bleiben die Dateien klein?</w:t>
            </w:r>
          </w:p>
        </w:tc>
      </w:tr>
      <w:tr>
        <w:trPr/>
        <w:tc>
          <w:tcPr>
            <w:tcW w:type="dxa" w:w="2512"/>
          </w:tcPr>
          <w:p>
            <w:pPr>
              <w:spacing w:after="0"/>
            </w:pPr>
            <w:r>
              <w:rPr>
                <w:sz w:val="19"/>
              </w:rPr>
              <w:t>Eigene Erwartung</w:t>
            </w:r>
          </w:p>
        </w:tc>
        <w:tc>
          <w:tcPr>
            <w:tcW w:type="dxa" w:w="6899"/>
          </w:tcPr>
          <w:p>
            <w:pPr>
              <w:spacing w:after="0"/>
            </w:pPr>
            <w:r>
              <w:rPr>
                <w:sz w:val="19"/>
              </w:rPr>
              <w:t>Markdown genügt</w:t>
            </w:r>
          </w:p>
        </w:tc>
      </w:tr>
      <w:tr>
        <w:trPr/>
        <w:tc>
          <w:tcPr>
            <w:tcW w:type="dxa" w:w="2512"/>
          </w:tcPr>
          <w:p>
            <w:pPr>
              <w:spacing w:after="0"/>
            </w:pPr>
            <w:r>
              <w:rPr>
                <w:sz w:val="19"/>
              </w:rPr>
              <w:t>Erwartung laut Recherche</w:t>
            </w:r>
          </w:p>
        </w:tc>
        <w:tc>
          <w:tcPr>
            <w:tcW w:type="dxa" w:w="6899"/>
          </w:tcPr>
          <w:p>
            <w:pPr>
              <w:spacing w:after="0"/>
            </w:pPr>
            <w:r>
              <w:rPr>
                <w:sz w:val="19"/>
              </w:rPr>
              <w:t>Stakeholder und Arbeitgeber erwarten Word; Git vergleicht Text (Markdown) besser als Word</w:t>
            </w:r>
          </w:p>
        </w:tc>
      </w:tr>
      <w:tr>
        <w:trPr/>
        <w:tc>
          <w:tcPr>
            <w:tcW w:type="dxa" w:w="2512"/>
          </w:tcPr>
          <w:p>
            <w:pPr>
              <w:spacing w:after="0"/>
            </w:pPr>
            <w:r>
              <w:rPr>
                <w:sz w:val="19"/>
              </w:rPr>
              <w:t>Zwischenschritte</w:t>
            </w:r>
          </w:p>
        </w:tc>
        <w:tc>
          <w:tcPr>
            <w:tcW w:type="dxa" w:w="6899"/>
          </w:tcPr>
          <w:p>
            <w:pPr>
              <w:spacing w:after="0"/>
            </w:pPr>
            <w:r>
              <w:rPr>
                <w:sz w:val="19"/>
              </w:rPr>
              <w:t xml:space="preserve">1) Word als Hauptdokument, </w:t>
            </w:r>
            <w:r>
              <w:rPr>
                <w:rFonts w:ascii="Courier New" w:hAnsi="Courier New"/>
                <w:sz w:val="17"/>
              </w:rPr>
              <w:t>.md</w:t>
            </w:r>
            <w:r>
              <w:rPr>
                <w:sz w:val="19"/>
              </w:rPr>
              <w:t xml:space="preserve">-Quelle in </w:t>
            </w:r>
            <w:r>
              <w:rPr>
                <w:rFonts w:ascii="Courier New" w:hAnsi="Courier New"/>
                <w:sz w:val="17"/>
              </w:rPr>
              <w:t>_md/</w:t>
            </w:r>
            <w:r>
              <w:rPr>
                <w:sz w:val="19"/>
              </w:rPr>
              <w:t xml:space="preserve"> 2) Generator </w:t>
            </w:r>
            <w:r>
              <w:rPr>
                <w:rFonts w:ascii="Courier New" w:hAnsi="Courier New"/>
                <w:sz w:val="17"/>
              </w:rPr>
              <w:t>md2docx.py</w:t>
            </w:r>
            <w:r>
              <w:rPr>
                <w:sz w:val="19"/>
              </w:rPr>
              <w:t xml:space="preserve"> 3) Grafiken verlinken statt einbetten (Pfad wird für Word umgerechnet)</w:t>
            </w:r>
          </w:p>
        </w:tc>
      </w:tr>
      <w:tr>
        <w:trPr/>
        <w:tc>
          <w:tcPr>
            <w:tcW w:type="dxa" w:w="2512"/>
          </w:tcPr>
          <w:p>
            <w:pPr>
              <w:spacing w:after="0"/>
            </w:pPr>
            <w:r>
              <w:rPr>
                <w:sz w:val="19"/>
              </w:rPr>
              <w:t>Zwischenergebnis</w:t>
            </w:r>
          </w:p>
        </w:tc>
        <w:tc>
          <w:tcPr>
            <w:tcW w:type="dxa" w:w="6899"/>
          </w:tcPr>
          <w:p>
            <w:pPr>
              <w:spacing w:after="0"/>
            </w:pPr>
            <w:r>
              <w:rPr>
                <w:sz w:val="19"/>
              </w:rPr>
              <w:t>Eingebettete Grafiken würden jedes Dokument um mehrere MB vergrößern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Word aus Markdown erzeugt · </w:t>
            </w:r>
            <w:r>
              <w:rPr>
                <w:b/>
                <w:sz w:val="19"/>
              </w:rPr>
              <w:t>B</w:t>
            </w:r>
            <w:r>
              <w:rPr>
                <w:sz w:val="19"/>
              </w:rPr>
              <w:t xml:space="preserve"> nur Word (Änderungen schwer nachvollziehbar) · </w:t>
            </w:r>
            <w:r>
              <w:rPr>
                <w:b/>
                <w:sz w:val="19"/>
              </w:rPr>
              <w:t>C</w:t>
            </w:r>
            <w:r>
              <w:rPr>
                <w:sz w:val="19"/>
              </w:rPr>
              <w:t xml:space="preserve"> nur Markdown (für Stakeholder ungewohnt)</w:t>
            </w:r>
          </w:p>
        </w:tc>
      </w:tr>
      <w:tr>
        <w:trPr/>
        <w:tc>
          <w:tcPr>
            <w:tcW w:type="dxa" w:w="2512"/>
          </w:tcPr>
          <w:p>
            <w:pPr>
              <w:spacing w:after="0"/>
            </w:pPr>
            <w:r>
              <w:rPr>
                <w:sz w:val="19"/>
              </w:rPr>
              <w:t>Entscheidung + Begründung</w:t>
            </w:r>
          </w:p>
        </w:tc>
        <w:tc>
          <w:tcPr>
            <w:tcW w:type="dxa" w:w="6899"/>
          </w:tcPr>
          <w:p>
            <w:pPr>
              <w:spacing w:after="0"/>
            </w:pPr>
            <w:r>
              <w:rPr>
                <w:sz w:val="19"/>
              </w:rPr>
              <w:t>A (30.09.2026, Geschäftsführung/Projektleitung); Grafiken verlinkt</w:t>
            </w:r>
          </w:p>
        </w:tc>
      </w:tr>
      <w:tr>
        <w:trPr/>
        <w:tc>
          <w:tcPr>
            <w:tcW w:type="dxa" w:w="2512"/>
          </w:tcPr>
          <w:p>
            <w:pPr>
              <w:spacing w:after="0"/>
            </w:pPr>
            <w:r>
              <w:rPr>
                <w:sz w:val="19"/>
              </w:rPr>
              <w:t>Endergebnis</w:t>
            </w:r>
          </w:p>
        </w:tc>
        <w:tc>
          <w:tcPr>
            <w:tcW w:type="dxa" w:w="6899"/>
          </w:tcPr>
          <w:p>
            <w:pPr>
              <w:spacing w:after="0"/>
            </w:pPr>
            <w:r>
              <w:rPr>
                <w:sz w:val="19"/>
              </w:rPr>
              <w:t>BS, PP, PH als Word + Markdown; Links funktionieren auf GitHub und im Projektordner</w:t>
            </w:r>
          </w:p>
        </w:tc>
      </w:tr>
      <w:tr>
        <w:trPr/>
        <w:tc>
          <w:tcPr>
            <w:tcW w:type="dxa" w:w="2512"/>
          </w:tcPr>
          <w:p>
            <w:pPr>
              <w:spacing w:after="0"/>
            </w:pPr>
            <w:r>
              <w:rPr>
                <w:sz w:val="19"/>
              </w:rPr>
              <w:t>Hinweise / Gefahren</w:t>
            </w:r>
          </w:p>
        </w:tc>
        <w:tc>
          <w:tcPr>
            <w:tcW w:type="dxa" w:w="6899"/>
          </w:tcPr>
          <w:p>
            <w:pPr>
              <w:spacing w:after="0"/>
            </w:pPr>
            <w:r>
              <w:rPr>
                <w:sz w:val="19"/>
              </w:rPr>
              <w:t>Einzeln verschickte Word-Dateien haben tote Links → bei Bedarf PDF mit Bildern erzeugen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Agenten pflegen die Markdown-Quelle, nie das Word-Dokument direkt</w:t>
            </w:r>
          </w:p>
        </w:tc>
      </w:tr>
      <w:tr>
        <w:trPr/>
        <w:tc>
          <w:tcPr>
            <w:tcW w:type="dxa" w:w="2512"/>
          </w:tcPr>
          <w:p>
            <w:pPr>
              <w:spacing w:after="0"/>
            </w:pPr>
            <w:r>
              <w:rPr>
                <w:sz w:val="19"/>
              </w:rPr>
              <w:t>Verweise</w:t>
            </w:r>
          </w:p>
        </w:tc>
        <w:tc>
          <w:tcPr>
            <w:tcW w:type="dxa" w:w="6899"/>
          </w:tcPr>
          <w:p>
            <w:pPr>
              <w:spacing w:after="0"/>
            </w:pPr>
            <w:r>
              <w:rPr>
                <w:sz w:val="19"/>
              </w:rPr>
              <w:t>Idee I36 · Projektplan Kap. 6</w:t>
            </w:r>
          </w:p>
        </w:tc>
      </w:tr>
      <w:tr>
        <w:trPr/>
        <w:tc>
          <w:tcPr>
            <w:tcW w:type="dxa" w:w="2512"/>
          </w:tcPr>
          <w:p>
            <w:pPr>
              <w:spacing w:after="0"/>
            </w:pPr>
            <w:r>
              <w:rPr>
                <w:sz w:val="19"/>
              </w:rPr>
              <w:t>Einfach erklärt</w:t>
            </w:r>
          </w:p>
        </w:tc>
        <w:tc>
          <w:tcPr>
            <w:tcW w:type="dxa" w:w="6899"/>
          </w:tcPr>
          <w:p>
            <w:pPr>
              <w:spacing w:after="0"/>
            </w:pPr>
            <w:r>
              <w:rPr>
                <w:sz w:val="19"/>
              </w:rPr>
              <w:t>Die Dokumente werden als Word für Menschen erzeugt; Grafiken sind verlinkt, damit die Dateien klein bleiben und auf jedem Rechner funktionieren.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5.4 – Notebooks abgleichen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Stimmen Notebooks, Anleitung und Pflichtenheft überein? Wie passen unsere Notebooks zum Kurs-Muster?</w:t>
            </w:r>
          </w:p>
        </w:tc>
      </w:tr>
      <w:tr>
        <w:trPr/>
        <w:tc>
          <w:tcPr>
            <w:tcW w:type="dxa" w:w="2512"/>
          </w:tcPr>
          <w:p>
            <w:pPr>
              <w:spacing w:after="0"/>
            </w:pPr>
            <w:r>
              <w:rPr>
                <w:sz w:val="19"/>
              </w:rPr>
              <w:t>Eigene Erwartung</w:t>
            </w:r>
          </w:p>
        </w:tc>
        <w:tc>
          <w:tcPr>
            <w:tcW w:type="dxa" w:w="6899"/>
          </w:tcPr>
          <w:p>
            <w:pPr>
              <w:spacing w:after="0"/>
            </w:pPr>
            <w:r>
              <w:rPr>
                <w:sz w:val="19"/>
              </w:rPr>
              <w:t>Nur Verweise und Texte anpassen; Ergebnisse unverändert</w:t>
            </w:r>
          </w:p>
        </w:tc>
      </w:tr>
      <w:tr>
        <w:trPr/>
        <w:tc>
          <w:tcPr>
            <w:tcW w:type="dxa" w:w="2512"/>
          </w:tcPr>
          <w:p>
            <w:pPr>
              <w:spacing w:after="0"/>
            </w:pPr>
            <w:r>
              <w:rPr>
                <w:sz w:val="19"/>
              </w:rPr>
              <w:t>Erwartung laut Recherche</w:t>
            </w:r>
          </w:p>
        </w:tc>
        <w:tc>
          <w:tcPr>
            <w:tcW w:type="dxa" w:w="6899"/>
          </w:tcPr>
          <w:p>
            <w:pPr>
              <w:spacing w:after="0"/>
            </w:pPr>
            <w:r>
              <w:rPr>
                <w:sz w:val="19"/>
              </w:rPr>
              <w:t>Z1: Parquet 13–18 % von CSV [Q1][Q2]; Kurs-Notebooks 04 (Automatisierung) und 05 (Silver → Gold)</w:t>
            </w:r>
          </w:p>
        </w:tc>
      </w:tr>
      <w:tr>
        <w:trPr/>
        <w:tc>
          <w:tcPr>
            <w:tcW w:type="dxa" w:w="2512"/>
          </w:tcPr>
          <w:p>
            <w:pPr>
              <w:spacing w:after="0"/>
            </w:pPr>
            <w:r>
              <w:rPr>
                <w:sz w:val="19"/>
              </w:rPr>
              <w:t>Zwischenschritte</w:t>
            </w:r>
          </w:p>
        </w:tc>
        <w:tc>
          <w:tcPr>
            <w:tcW w:type="dxa" w:w="6899"/>
          </w:tcPr>
          <w:p>
            <w:pPr>
              <w:spacing w:after="0"/>
            </w:pPr>
            <w:r>
              <w:rPr>
                <w:sz w:val="19"/>
              </w:rPr>
              <w:t>1) veraltete Verweise („Pflichtenheft Kap. 4/4e“, „Analyse N3“) auf Schritt-Nummern umgestellt 2) Synapse-Kopien neu erzeugt 3) lokaler Testlauf der Kopien 4) Kurs-Notebooks 04/05 mit unseren verglichen (Hinweis Kursleitung)</w:t>
            </w:r>
          </w:p>
        </w:tc>
      </w:tr>
      <w:tr>
        <w:trPr/>
        <w:tc>
          <w:tcPr>
            <w:tcW w:type="dxa" w:w="2512"/>
          </w:tcPr>
          <w:p>
            <w:pPr>
              <w:spacing w:after="0"/>
            </w:pPr>
            <w:r>
              <w:rPr>
                <w:sz w:val="19"/>
              </w:rPr>
              <w:t>Zwischenergebnis</w:t>
            </w:r>
          </w:p>
        </w:tc>
        <w:tc>
          <w:tcPr>
            <w:tcW w:type="dxa" w:w="6899"/>
          </w:tcPr>
          <w:p>
            <w:pPr>
              <w:spacing w:after="0"/>
            </w:pPr>
            <w:r>
              <w:rPr>
                <w:sz w:val="19"/>
              </w:rPr>
              <w:t>Testlauf: alle Ergebnisse identisch (einzige Abweichung: interne Bright-Sky-Quellen-ID). Kurs-Muster: in der Pipeline laufen nur Automatisierung und Gold, nicht jedes Notebook einzeln</w:t>
            </w:r>
          </w:p>
        </w:tc>
      </w:tr>
      <w:tr>
        <w:trPr/>
        <w:tc>
          <w:tcPr>
            <w:tcW w:type="dxa" w:w="2512"/>
          </w:tcPr>
          <w:p>
            <w:pPr>
              <w:spacing w:after="0"/>
            </w:pPr>
            <w:r>
              <w:rPr>
                <w:sz w:val="19"/>
              </w:rPr>
              <w:t>Lösungswege</w:t>
            </w:r>
          </w:p>
        </w:tc>
        <w:tc>
          <w:tcPr>
            <w:tcW w:type="dxa" w:w="6899"/>
          </w:tcPr>
          <w:p>
            <w:pPr>
              <w:spacing w:after="0"/>
            </w:pPr>
            <w:r>
              <w:rPr>
                <w:sz w:val="19"/>
              </w:rPr>
              <w:t xml:space="preserve">Aufbau siehe Karte 4.1 (K6 a/b/c) · Speicherformat: </w:t>
            </w:r>
            <w:r>
              <w:rPr>
                <w:b/>
                <w:sz w:val="19"/>
              </w:rPr>
              <w:t>A</w:t>
            </w:r>
            <w:r>
              <w:rPr>
                <w:sz w:val="19"/>
              </w:rPr>
              <w:t xml:space="preserve"> Parquet in Azure, lokal CSV · </w:t>
            </w:r>
            <w:r>
              <w:rPr>
                <w:b/>
                <w:sz w:val="19"/>
              </w:rPr>
              <w:t>B</w:t>
            </w:r>
            <w:r>
              <w:rPr>
                <w:sz w:val="19"/>
              </w:rPr>
              <w:t xml:space="preserve"> überall CSV · </w:t>
            </w:r>
            <w:r>
              <w:rPr>
                <w:b/>
                <w:sz w:val="19"/>
              </w:rPr>
              <w:t>C</w:t>
            </w:r>
            <w:r>
              <w:rPr>
                <w:sz w:val="19"/>
              </w:rPr>
              <w:t xml:space="preserve"> überall Parquet</w:t>
            </w:r>
          </w:p>
        </w:tc>
      </w:tr>
      <w:tr>
        <w:trPr/>
        <w:tc>
          <w:tcPr>
            <w:tcW w:type="dxa" w:w="2512"/>
          </w:tcPr>
          <w:p>
            <w:pPr>
              <w:spacing w:after="0"/>
            </w:pPr>
            <w:r>
              <w:rPr>
                <w:sz w:val="19"/>
              </w:rPr>
              <w:t>Entscheidung + Begründung</w:t>
            </w:r>
          </w:p>
        </w:tc>
        <w:tc>
          <w:tcPr>
            <w:tcW w:type="dxa" w:w="6899"/>
          </w:tcPr>
          <w:p>
            <w:pPr>
              <w:spacing w:after="0"/>
            </w:pPr>
            <w:r>
              <w:rPr>
                <w:sz w:val="19"/>
              </w:rPr>
              <w:t>Aufbau K6 c, N4 Gold neu, Analyse → N5 (30.09.2026, Projektleitung). Speicherformat Silver: Parquet wie im Kurs-Notebook (Umsetzung mit Schritt 5.9)</w:t>
            </w:r>
          </w:p>
        </w:tc>
      </w:tr>
      <w:tr>
        <w:trPr/>
        <w:tc>
          <w:tcPr>
            <w:tcW w:type="dxa" w:w="2512"/>
          </w:tcPr>
          <w:p>
            <w:pPr>
              <w:spacing w:after="0"/>
            </w:pPr>
            <w:r>
              <w:rPr>
                <w:sz w:val="19"/>
              </w:rPr>
              <w:t>Endergebnis</w:t>
            </w:r>
          </w:p>
        </w:tc>
        <w:tc>
          <w:tcPr>
            <w:tcW w:type="dxa" w:w="6899"/>
          </w:tcPr>
          <w:p>
            <w:pPr>
              <w:spacing w:after="0"/>
            </w:pPr>
            <w:r>
              <w:rPr>
                <w:sz w:val="19"/>
              </w:rPr>
              <w:t>Verweise aktuell, Synapse-Kopien getestet (Protokoll Datenläufe Nr. 3)</w:t>
            </w:r>
          </w:p>
        </w:tc>
      </w:tr>
      <w:tr>
        <w:trPr/>
        <w:tc>
          <w:tcPr>
            <w:tcW w:type="dxa" w:w="2512"/>
          </w:tcPr>
          <w:p>
            <w:pPr>
              <w:spacing w:after="0"/>
            </w:pPr>
            <w:r>
              <w:rPr>
                <w:sz w:val="19"/>
              </w:rPr>
              <w:t>Hinweise / Gefahren</w:t>
            </w:r>
          </w:p>
        </w:tc>
        <w:tc>
          <w:tcPr>
            <w:tcW w:type="dxa" w:w="6899"/>
          </w:tcPr>
          <w:p>
            <w:pPr>
              <w:spacing w:after="0"/>
            </w:pPr>
            <w:r>
              <w:rPr>
                <w:sz w:val="19"/>
              </w:rPr>
              <w:t>Nach jeder Änderung Kontrollwerte prüfen und Synapse-Kopien neu erzeugen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Ein Code-Stand für lokal und Cloud, Unterschiede nur über Parameter</w:t>
            </w:r>
          </w:p>
        </w:tc>
      </w:tr>
      <w:tr>
        <w:trPr/>
        <w:tc>
          <w:tcPr>
            <w:tcW w:type="dxa" w:w="2512"/>
          </w:tcPr>
          <w:p>
            <w:pPr>
              <w:spacing w:after="0"/>
            </w:pPr>
            <w:r>
              <w:rPr>
                <w:sz w:val="19"/>
              </w:rPr>
              <w:t>Verweise</w:t>
            </w:r>
          </w:p>
        </w:tc>
        <w:tc>
          <w:tcPr>
            <w:tcW w:type="dxa" w:w="6899"/>
          </w:tcPr>
          <w:p>
            <w:pPr>
              <w:spacing w:after="0"/>
            </w:pPr>
            <w:r>
              <w:rPr>
                <w:sz w:val="19"/>
              </w:rPr>
              <w:t>Projektplan M5 Schritt 5.4 · N1–N4, Synapse-Kopien · Kurs-Notebooks 04/05 · Idee I43</w:t>
            </w:r>
          </w:p>
        </w:tc>
      </w:tr>
      <w:tr>
        <w:trPr/>
        <w:tc>
          <w:tcPr>
            <w:tcW w:type="dxa" w:w="2512"/>
          </w:tcPr>
          <w:p>
            <w:pPr>
              <w:spacing w:after="0"/>
            </w:pPr>
            <w:r>
              <w:rPr>
                <w:sz w:val="19"/>
              </w:rPr>
              <w:t>Einfach erklärt</w:t>
            </w:r>
          </w:p>
        </w:tc>
        <w:tc>
          <w:tcPr>
            <w:tcW w:type="dxa" w:w="6899"/>
          </w:tcPr>
          <w:p>
            <w:pPr>
              <w:spacing w:after="0"/>
            </w:pPr>
            <w:r>
              <w:rPr>
                <w:sz w:val="19"/>
              </w:rPr>
              <w:t>Notebooks, Anleitung und Pflichtenheft müssen dasselbe sagen. Hier wurde abgeglichen, damit keine Widersprüche entstehen.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5.5 – Standort-Tabelle hochladen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Die Notebooks in Azure brauchen die Standort-Tabelle (Koordinaten, Zeitzone je Stadt) im Data Lake</w:t>
            </w:r>
          </w:p>
        </w:tc>
      </w:tr>
      <w:tr>
        <w:trPr/>
        <w:tc>
          <w:tcPr>
            <w:tcW w:type="dxa" w:w="2512"/>
          </w:tcPr>
          <w:p>
            <w:pPr>
              <w:spacing w:after="0"/>
            </w:pPr>
            <w:r>
              <w:rPr>
                <w:sz w:val="19"/>
              </w:rPr>
              <w:t>Eigene Erwartung</w:t>
            </w:r>
          </w:p>
        </w:tc>
        <w:tc>
          <w:tcPr>
            <w:tcW w:type="dxa" w:w="6899"/>
          </w:tcPr>
          <w:p>
            <w:pPr>
              <w:spacing w:after="0"/>
            </w:pPr>
            <w:r>
              <w:rPr>
                <w:sz w:val="19"/>
              </w:rPr>
              <w:t>Upload über das Portal in wenigen Minuten</w:t>
            </w:r>
          </w:p>
        </w:tc>
      </w:tr>
      <w:tr>
        <w:trPr/>
        <w:tc>
          <w:tcPr>
            <w:tcW w:type="dxa" w:w="2512"/>
          </w:tcPr>
          <w:p>
            <w:pPr>
              <w:spacing w:after="0"/>
            </w:pPr>
            <w:r>
              <w:rPr>
                <w:sz w:val="19"/>
              </w:rPr>
              <w:t>Erwartung laut Recherche</w:t>
            </w:r>
          </w:p>
        </w:tc>
        <w:tc>
          <w:tcPr>
            <w:tcW w:type="dxa" w:w="6899"/>
          </w:tcPr>
          <w:p>
            <w:pPr>
              <w:spacing w:after="0"/>
            </w:pPr>
            <w:r>
              <w:rPr>
                <w:sz w:val="19"/>
              </w:rPr>
              <w:t>Portal: Container → Verzeichnis hinzufügen → Hochladen</w:t>
            </w:r>
          </w:p>
        </w:tc>
      </w:tr>
      <w:tr>
        <w:trPr/>
        <w:tc>
          <w:tcPr>
            <w:tcW w:type="dxa" w:w="2512"/>
          </w:tcPr>
          <w:p>
            <w:pPr>
              <w:spacing w:after="0"/>
            </w:pPr>
            <w:r>
              <w:rPr>
                <w:sz w:val="19"/>
              </w:rPr>
              <w:t>Zwischenschritte</w:t>
            </w:r>
          </w:p>
        </w:tc>
        <w:tc>
          <w:tcPr>
            <w:tcW w:type="dxa" w:w="6899"/>
          </w:tcPr>
          <w:p>
            <w:pPr>
              <w:spacing w:after="0"/>
            </w:pPr>
            <w:r>
              <w:rPr>
                <w:sz w:val="19"/>
              </w:rPr>
              <w:t xml:space="preserve">1) Ordner </w:t>
            </w:r>
            <w:r>
              <w:rPr>
                <w:rFonts w:ascii="Courier New" w:hAnsi="Courier New"/>
                <w:sz w:val="17"/>
              </w:rPr>
              <w:t>konfiguration</w:t>
            </w:r>
            <w:r>
              <w:rPr>
                <w:sz w:val="19"/>
              </w:rPr>
              <w:t xml:space="preserve"> im Container </w:t>
            </w:r>
            <w:r>
              <w:rPr>
                <w:rFonts w:ascii="Courier New" w:hAnsi="Courier New"/>
                <w:sz w:val="17"/>
              </w:rPr>
              <w:t>lakehouse</w:t>
            </w:r>
            <w:r>
              <w:rPr>
                <w:sz w:val="19"/>
              </w:rPr>
              <w:t xml:space="preserve"> angelegt 2) </w:t>
            </w:r>
            <w:r>
              <w:rPr>
                <w:rFonts w:ascii="Courier New" w:hAnsi="Courier New"/>
                <w:sz w:val="17"/>
              </w:rPr>
              <w:t>standorte.csv</w:t>
            </w:r>
            <w:r>
              <w:rPr>
                <w:sz w:val="19"/>
              </w:rPr>
              <w:t xml:space="preserve"> hochgeladen 3) Größe mit der lokalen Datei verglichen (142 B)</w:t>
            </w:r>
          </w:p>
        </w:tc>
      </w:tr>
      <w:tr>
        <w:trPr/>
        <w:tc>
          <w:tcPr>
            <w:tcW w:type="dxa" w:w="2512"/>
          </w:tcPr>
          <w:p>
            <w:pPr>
              <w:spacing w:after="0"/>
            </w:pPr>
            <w:r>
              <w:rPr>
                <w:sz w:val="19"/>
              </w:rPr>
              <w:t>Zwischenergebnis</w:t>
            </w:r>
          </w:p>
        </w:tc>
        <w:tc>
          <w:tcPr>
            <w:tcW w:type="dxa" w:w="6899"/>
          </w:tcPr>
          <w:p>
            <w:pPr>
              <w:spacing w:after="0"/>
            </w:pPr>
            <w:r>
              <w:rPr>
                <w:sz w:val="19"/>
              </w:rPr>
              <w:t>Bereinigte Silver-Daten müssen nicht hochgeladen werden – die Pipeline erzeugt sie künftig selbst (Parquet)</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Portal-Upload · </w:t>
            </w:r>
            <w:r>
              <w:rPr>
                <w:b/>
                <w:sz w:val="19"/>
              </w:rPr>
              <w:t>B</w:t>
            </w:r>
            <w:r>
              <w:rPr>
                <w:sz w:val="19"/>
              </w:rPr>
              <w:t xml:space="preserve"> Azure Storage Explorer · </w:t>
            </w:r>
            <w:r>
              <w:rPr>
                <w:b/>
                <w:sz w:val="19"/>
              </w:rPr>
              <w:t>C</w:t>
            </w:r>
            <w:r>
              <w:rPr>
                <w:sz w:val="19"/>
              </w:rPr>
              <w:t xml:space="preserve"> Kopie per Data Factory</w:t>
            </w:r>
          </w:p>
        </w:tc>
      </w:tr>
      <w:tr>
        <w:trPr/>
        <w:tc>
          <w:tcPr>
            <w:tcW w:type="dxa" w:w="2512"/>
          </w:tcPr>
          <w:p>
            <w:pPr>
              <w:spacing w:after="0"/>
            </w:pPr>
            <w:r>
              <w:rPr>
                <w:sz w:val="19"/>
              </w:rPr>
              <w:t>Entscheidung + Begründung</w:t>
            </w:r>
          </w:p>
        </w:tc>
        <w:tc>
          <w:tcPr>
            <w:tcW w:type="dxa" w:w="6899"/>
          </w:tcPr>
          <w:p>
            <w:pPr>
              <w:spacing w:after="0"/>
            </w:pPr>
            <w:r>
              <w:rPr>
                <w:sz w:val="19"/>
              </w:rPr>
              <w:t>A (30.09.2026): einmalige kleine Datei</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lakehouse/konfiguration/standorte.csv</w:t>
            </w:r>
            <w:r>
              <w:rPr>
                <w:sz w:val="19"/>
              </w:rPr>
              <w:t xml:space="preserve"> in Azure, identisch mit lokal</w:t>
            </w:r>
          </w:p>
        </w:tc>
      </w:tr>
      <w:tr>
        <w:trPr/>
        <w:tc>
          <w:tcPr>
            <w:tcW w:type="dxa" w:w="2512"/>
          </w:tcPr>
          <w:p>
            <w:pPr>
              <w:spacing w:after="0"/>
            </w:pPr>
            <w:r>
              <w:rPr>
                <w:sz w:val="19"/>
              </w:rPr>
              <w:t>Hinweise / Gefahren</w:t>
            </w:r>
          </w:p>
        </w:tc>
        <w:tc>
          <w:tcPr>
            <w:tcW w:type="dxa" w:w="6899"/>
          </w:tcPr>
          <w:p>
            <w:pPr>
              <w:spacing w:after="0"/>
            </w:pPr>
            <w:r>
              <w:rPr>
                <w:sz w:val="19"/>
              </w:rPr>
              <w:t xml:space="preserve">Neue Stadt = neue Zeile hier </w:t>
            </w:r>
            <w:r>
              <w:rPr>
                <w:b/>
                <w:sz w:val="19"/>
              </w:rPr>
              <w:t>und</w:t>
            </w:r>
            <w:r>
              <w:rPr>
                <w:sz w:val="19"/>
              </w:rPr>
              <w:t xml:space="preserve"> Dateien in der Quelle</w:t>
            </w:r>
          </w:p>
        </w:tc>
      </w:tr>
      <w:tr>
        <w:trPr/>
        <w:tc>
          <w:tcPr>
            <w:tcW w:type="dxa" w:w="2512"/>
          </w:tcPr>
          <w:p>
            <w:pPr>
              <w:spacing w:after="0"/>
            </w:pPr>
            <w:r>
              <w:rPr>
                <w:sz w:val="19"/>
              </w:rPr>
              <w:t>Klärung (Stand Abschluss)</w:t>
            </w:r>
          </w:p>
        </w:tc>
        <w:tc>
          <w:tcPr>
            <w:tcW w:type="dxa" w:w="6899"/>
          </w:tcPr>
          <w:p>
            <w:pPr>
              <w:spacing w:after="0"/>
            </w:pPr>
            <w:r>
              <w:rPr>
                <w:sz w:val="19"/>
              </w:rPr>
              <w:t xml:space="preserve">Zeile für Würzburg (Standort des HOBOS-Stocks recherchieren) → </w:t>
            </w:r>
            <w:r>
              <w:rPr>
                <w:b/>
                <w:sz w:val="19"/>
              </w:rPr>
              <w:t>Stand 05.10.2026:</w:t>
            </w:r>
            <w:r>
              <w:rPr>
                <w:sz w:val="19"/>
              </w:rPr>
              <w:t xml:space="preserve"> erledigt (5.9a, Campus Hubland ±500 m)</w:t>
            </w:r>
          </w:p>
        </w:tc>
      </w:tr>
      <w:tr>
        <w:trPr/>
        <w:tc>
          <w:tcPr>
            <w:tcW w:type="dxa" w:w="2512"/>
          </w:tcPr>
          <w:p>
            <w:pPr>
              <w:spacing w:after="0"/>
            </w:pPr>
            <w:r>
              <w:rPr>
                <w:sz w:val="19"/>
              </w:rPr>
              <w:t>Für Agenten / ML</w:t>
            </w:r>
          </w:p>
        </w:tc>
        <w:tc>
          <w:tcPr>
            <w:tcW w:type="dxa" w:w="6899"/>
          </w:tcPr>
          <w:p>
            <w:pPr>
              <w:spacing w:after="0"/>
            </w:pPr>
            <w:r>
              <w:rPr>
                <w:sz w:val="19"/>
              </w:rPr>
              <w:t>Konfiguration liegt zentral im Data Lake, nicht im Code</w:t>
            </w:r>
          </w:p>
        </w:tc>
      </w:tr>
      <w:tr>
        <w:trPr/>
        <w:tc>
          <w:tcPr>
            <w:tcW w:type="dxa" w:w="2512"/>
          </w:tcPr>
          <w:p>
            <w:pPr>
              <w:spacing w:after="0"/>
            </w:pPr>
            <w:r>
              <w:rPr>
                <w:sz w:val="19"/>
              </w:rPr>
              <w:t>Verweise</w:t>
            </w:r>
          </w:p>
        </w:tc>
        <w:tc>
          <w:tcPr>
            <w:tcW w:type="dxa" w:w="6899"/>
          </w:tcPr>
          <w:p>
            <w:pPr>
              <w:spacing w:after="0"/>
            </w:pPr>
            <w:r>
              <w:rPr>
                <w:sz w:val="19"/>
              </w:rPr>
              <w:t>Projektplan M5 Schritt 5.5 · Kap. 8.3 · AN-ITS-001 (neu)</w:t>
            </w:r>
          </w:p>
        </w:tc>
      </w:tr>
      <w:tr>
        <w:trPr/>
        <w:tc>
          <w:tcPr>
            <w:tcW w:type="dxa" w:w="2512"/>
          </w:tcPr>
          <w:p>
            <w:pPr>
              <w:spacing w:after="0"/>
            </w:pPr>
            <w:r>
              <w:rPr>
                <w:sz w:val="19"/>
              </w:rPr>
              <w:t>Einfach erklärt</w:t>
            </w:r>
          </w:p>
        </w:tc>
        <w:tc>
          <w:tcPr>
            <w:tcW w:type="dxa" w:w="6899"/>
          </w:tcPr>
          <w:p>
            <w:pPr>
              <w:spacing w:after="0"/>
            </w:pPr>
            <w:r>
              <w:rPr>
                <w:sz w:val="19"/>
              </w:rPr>
              <w:t>Die Notebooks in Azure brauchen dieselbe Standort-Tabelle wie lokal – sie wird deshalb in den Data Lake hochgeladen.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5.6 – Master-Pipeline dokumentieren und testen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Ist jede Aktivität verständlich beschrieben, und läuft die ganze Kette?</w:t>
            </w:r>
          </w:p>
        </w:tc>
      </w:tr>
      <w:tr>
        <w:trPr/>
        <w:tc>
          <w:tcPr>
            <w:tcW w:type="dxa" w:w="2512"/>
          </w:tcPr>
          <w:p>
            <w:pPr>
              <w:spacing w:after="0"/>
            </w:pPr>
            <w:r>
              <w:rPr>
                <w:sz w:val="19"/>
              </w:rPr>
              <w:t>Eigene Erwartung</w:t>
            </w:r>
          </w:p>
        </w:tc>
        <w:tc>
          <w:tcPr>
            <w:tcW w:type="dxa" w:w="6899"/>
          </w:tcPr>
          <w:p>
            <w:pPr>
              <w:spacing w:after="0"/>
            </w:pPr>
            <w:r>
              <w:rPr>
                <w:sz w:val="19"/>
              </w:rPr>
              <w:t>Lauf erfolgreich in wenigen Minuten</w:t>
            </w:r>
          </w:p>
        </w:tc>
      </w:tr>
      <w:tr>
        <w:trPr/>
        <w:tc>
          <w:tcPr>
            <w:tcW w:type="dxa" w:w="2512"/>
          </w:tcPr>
          <w:p>
            <w:pPr>
              <w:spacing w:after="0"/>
            </w:pPr>
            <w:r>
              <w:rPr>
                <w:sz w:val="19"/>
              </w:rPr>
              <w:t>Erwartung laut Recherche</w:t>
            </w:r>
          </w:p>
        </w:tc>
        <w:tc>
          <w:tcPr>
            <w:tcW w:type="dxa" w:w="6899"/>
          </w:tcPr>
          <w:p>
            <w:pPr>
              <w:spacing w:after="0"/>
            </w:pPr>
            <w:r>
              <w:rPr>
                <w:sz w:val="19"/>
              </w:rPr>
              <w:t>Feld „Beschreibung“ je Aktivität (Kommentar-Ersatz, ADF-Ausdrücke haben keine Kommentare); Debug-Lauf prüft den Entwurf, „Alle veröffentlichen“ speichert ihn</w:t>
            </w:r>
          </w:p>
        </w:tc>
      </w:tr>
      <w:tr>
        <w:trPr/>
        <w:tc>
          <w:tcPr>
            <w:tcW w:type="dxa" w:w="2512"/>
          </w:tcPr>
          <w:p>
            <w:pPr>
              <w:spacing w:after="0"/>
            </w:pPr>
            <w:r>
              <w:rPr>
                <w:sz w:val="19"/>
              </w:rPr>
              <w:t>Zwischenschritte</w:t>
            </w:r>
          </w:p>
        </w:tc>
        <w:tc>
          <w:tcPr>
            <w:tcW w:type="dxa" w:w="6899"/>
          </w:tcPr>
          <w:p>
            <w:pPr>
              <w:spacing w:after="0"/>
            </w:pPr>
            <w:r>
              <w:rPr>
                <w:sz w:val="19"/>
              </w:rPr>
              <w:t>1) Beschreibung je Aktivität eingetragen 2) Überprüfen 3) Alle veröffentlichen 4) Debuggen 5) Ordner im Data Lake geprüft</w:t>
            </w:r>
          </w:p>
        </w:tc>
      </w:tr>
      <w:tr>
        <w:trPr/>
        <w:tc>
          <w:tcPr>
            <w:tcW w:type="dxa" w:w="2512"/>
          </w:tcPr>
          <w:p>
            <w:pPr>
              <w:spacing w:after="0"/>
            </w:pPr>
            <w:r>
              <w:rPr>
                <w:sz w:val="19"/>
              </w:rPr>
              <w:t>Zwischenergebnis</w:t>
            </w:r>
          </w:p>
        </w:tc>
        <w:tc>
          <w:tcPr>
            <w:tcW w:type="dxa" w:w="6899"/>
          </w:tcPr>
          <w:p>
            <w:pPr>
              <w:spacing w:after="0"/>
            </w:pPr>
            <w:r>
              <w:rPr>
                <w:sz w:val="19"/>
              </w:rPr>
              <w:t xml:space="preserve">Laufzeiten: </w:t>
            </w:r>
            <w:r>
              <w:rPr>
                <w:rFonts w:ascii="Courier New" w:hAnsi="Courier New"/>
                <w:sz w:val="17"/>
              </w:rPr>
              <w:t>rohdaten_nach_bronze</w:t>
            </w:r>
            <w:r>
              <w:rPr>
                <w:sz w:val="19"/>
              </w:rPr>
              <w:t xml:space="preserve"> 23 s · </w:t>
            </w:r>
            <w:r>
              <w:rPr>
                <w:rFonts w:ascii="Courier New" w:hAnsi="Courier New"/>
                <w:sz w:val="17"/>
              </w:rPr>
              <w:t>bronze_nach_silver</w:t>
            </w:r>
            <w:r>
              <w:rPr>
                <w:sz w:val="19"/>
              </w:rPr>
              <w:t xml:space="preserve"> 41 s · </w:t>
            </w:r>
            <w:r>
              <w:rPr>
                <w:rFonts w:ascii="Courier New" w:hAnsi="Courier New"/>
                <w:sz w:val="17"/>
              </w:rPr>
              <w:t>bronze_archivieren</w:t>
            </w:r>
            <w:r>
              <w:rPr>
                <w:sz w:val="19"/>
              </w:rPr>
              <w:t xml:space="preserve"> 37 s</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Debug-Lauf mit Ordnerprüfung · </w:t>
            </w:r>
            <w:r>
              <w:rPr>
                <w:b/>
                <w:sz w:val="19"/>
              </w:rPr>
              <w:t>B</w:t>
            </w:r>
            <w:r>
              <w:rPr>
                <w:sz w:val="19"/>
              </w:rPr>
              <w:t xml:space="preserve"> nur Statusanzeige prüfen (zeigt nicht, ob Dateien am richtigen Ort liegen)</w:t>
            </w:r>
          </w:p>
        </w:tc>
      </w:tr>
      <w:tr>
        <w:trPr/>
        <w:tc>
          <w:tcPr>
            <w:tcW w:type="dxa" w:w="2512"/>
          </w:tcPr>
          <w:p>
            <w:pPr>
              <w:spacing w:after="0"/>
            </w:pPr>
            <w:r>
              <w:rPr>
                <w:sz w:val="19"/>
              </w:rPr>
              <w:t>Entscheidung + Begründung</w:t>
            </w:r>
          </w:p>
        </w:tc>
        <w:tc>
          <w:tcPr>
            <w:tcW w:type="dxa" w:w="6899"/>
          </w:tcPr>
          <w:p>
            <w:pPr>
              <w:spacing w:after="0"/>
            </w:pPr>
            <w:r>
              <w:rPr>
                <w:sz w:val="19"/>
              </w:rPr>
              <w:t>A (30.09.2026): „Erfolgreich“ heißt nur „kein Abbruch“ – die Ablage wird zusätzlich geprüft</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bronze/new</w:t>
            </w:r>
            <w:r>
              <w:rPr>
                <w:sz w:val="19"/>
              </w:rPr>
              <w:t xml:space="preserve"> leer · </w:t>
            </w:r>
            <w:r>
              <w:rPr>
                <w:rFonts w:ascii="Courier New" w:hAnsi="Courier New"/>
                <w:sz w:val="17"/>
              </w:rPr>
              <w:t>bronze/archive/&lt;sensor&gt;_schwartau_raw/</w:t>
            </w:r>
            <w:r>
              <w:rPr>
                <w:sz w:val="19"/>
              </w:rPr>
              <w:t xml:space="preserve"> mit neuer Datei (UTC-Zeitstempel) · </w:t>
            </w:r>
            <w:r>
              <w:rPr>
                <w:rFonts w:ascii="Courier New" w:hAnsi="Courier New"/>
                <w:sz w:val="17"/>
              </w:rPr>
              <w:t>silver/processing/schwartau/&lt;sensor&gt;/</w:t>
            </w:r>
            <w:r>
              <w:rPr>
                <w:sz w:val="19"/>
              </w:rPr>
              <w:t xml:space="preserve"> aktualisiert; Protokoll Datenläufe Nr. 4</w:t>
            </w:r>
          </w:p>
        </w:tc>
      </w:tr>
      <w:tr>
        <w:trPr/>
        <w:tc>
          <w:tcPr>
            <w:tcW w:type="dxa" w:w="2512"/>
          </w:tcPr>
          <w:p>
            <w:pPr>
              <w:spacing w:after="0"/>
            </w:pPr>
            <w:r>
              <w:rPr>
                <w:sz w:val="19"/>
              </w:rPr>
              <w:t>Hinweise / Gefahren</w:t>
            </w:r>
          </w:p>
        </w:tc>
        <w:tc>
          <w:tcPr>
            <w:tcW w:type="dxa" w:w="6899"/>
          </w:tcPr>
          <w:p>
            <w:pPr>
              <w:spacing w:after="0"/>
            </w:pPr>
            <w:r>
              <w:rPr>
                <w:sz w:val="19"/>
              </w:rPr>
              <w:t>Ohne „Alle veröffentlichen“ bleibt die Änderung nur im Entwurf (Punkt ● und Zähler an der Schaltfläche) · „Sichere Eingabe“ aus lassen, sonst fehlen Eingaben im Monitor</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Nach jeder Änderung: veröffentlichen, testen, Ablage prüfen, protokollieren</w:t>
            </w:r>
          </w:p>
        </w:tc>
      </w:tr>
      <w:tr>
        <w:trPr/>
        <w:tc>
          <w:tcPr>
            <w:tcW w:type="dxa" w:w="2512"/>
          </w:tcPr>
          <w:p>
            <w:pPr>
              <w:spacing w:after="0"/>
            </w:pPr>
            <w:r>
              <w:rPr>
                <w:sz w:val="19"/>
              </w:rPr>
              <w:t>Verweise</w:t>
            </w:r>
          </w:p>
        </w:tc>
        <w:tc>
          <w:tcPr>
            <w:tcW w:type="dxa" w:w="6899"/>
          </w:tcPr>
          <w:p>
            <w:pPr>
              <w:spacing w:after="0"/>
            </w:pPr>
            <w:r>
              <w:rPr>
                <w:sz w:val="19"/>
              </w:rPr>
              <w:t>Projektplan M5 Schritt 5.6 · Schritt 3.8, 4.1 · AN-ITS-001 (neu)</w:t>
            </w:r>
          </w:p>
        </w:tc>
      </w:tr>
      <w:tr>
        <w:trPr/>
        <w:tc>
          <w:tcPr>
            <w:tcW w:type="dxa" w:w="2512"/>
          </w:tcPr>
          <w:p>
            <w:pPr>
              <w:spacing w:after="0"/>
            </w:pPr>
            <w:r>
              <w:rPr>
                <w:sz w:val="19"/>
              </w:rPr>
              <w:t>Einfach erklärt</w:t>
            </w:r>
          </w:p>
        </w:tc>
        <w:tc>
          <w:tcPr>
            <w:tcW w:type="dxa" w:w="6899"/>
          </w:tcPr>
          <w:p>
            <w:pPr>
              <w:spacing w:after="0"/>
            </w:pPr>
            <w:r>
              <w:rPr>
                <w:sz w:val="19"/>
              </w:rPr>
              <w:t>Wie eine Probefahrt: Der Testlauf zeigt, dass alle Stationen der Kette funktionieren; danach schaut man nach, ob die Daten auch am richtigen Ziel angekommen sind.</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5.7 – Budget-Warnung einrichten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Kosten früh bemerken, bevor kostenpflichtige Notebook-Läufe starten</w:t>
            </w:r>
          </w:p>
        </w:tc>
      </w:tr>
      <w:tr>
        <w:trPr/>
        <w:tc>
          <w:tcPr>
            <w:tcW w:type="dxa" w:w="2512"/>
          </w:tcPr>
          <w:p>
            <w:pPr>
              <w:spacing w:after="0"/>
            </w:pPr>
            <w:r>
              <w:rPr>
                <w:sz w:val="19"/>
              </w:rPr>
              <w:t>Eigene Erwartung</w:t>
            </w:r>
          </w:p>
        </w:tc>
        <w:tc>
          <w:tcPr>
            <w:tcW w:type="dxa" w:w="6899"/>
          </w:tcPr>
          <w:p>
            <w:pPr>
              <w:spacing w:after="0"/>
            </w:pPr>
            <w:r>
              <w:rPr>
                <w:sz w:val="19"/>
              </w:rPr>
              <w:t>E-Mail bei Erreichen der Schwellen</w:t>
            </w:r>
          </w:p>
        </w:tc>
      </w:tr>
      <w:tr>
        <w:trPr/>
        <w:tc>
          <w:tcPr>
            <w:tcW w:type="dxa" w:w="2512"/>
          </w:tcPr>
          <w:p>
            <w:pPr>
              <w:spacing w:after="0"/>
            </w:pPr>
            <w:r>
              <w:rPr>
                <w:sz w:val="19"/>
              </w:rPr>
              <w:t>Erwartung laut Recherche</w:t>
            </w:r>
          </w:p>
        </w:tc>
        <w:tc>
          <w:tcPr>
            <w:tcW w:type="dxa" w:w="6899"/>
          </w:tcPr>
          <w:p>
            <w:pPr>
              <w:spacing w:after="0"/>
            </w:pPr>
            <w:r>
              <w:rPr>
                <w:sz w:val="19"/>
              </w:rPr>
              <w:t>Azure Cost Management: Budget am Abonnement mit Schwellen für tatsächliche und prognostizierte Kosten</w:t>
            </w:r>
          </w:p>
        </w:tc>
      </w:tr>
      <w:tr>
        <w:trPr/>
        <w:tc>
          <w:tcPr>
            <w:tcW w:type="dxa" w:w="2512"/>
          </w:tcPr>
          <w:p>
            <w:pPr>
              <w:spacing w:after="0"/>
            </w:pPr>
            <w:r>
              <w:rPr>
                <w:sz w:val="19"/>
              </w:rPr>
              <w:t>Zwischenschritte</w:t>
            </w:r>
          </w:p>
        </w:tc>
        <w:tc>
          <w:tcPr>
            <w:tcW w:type="dxa" w:w="6899"/>
          </w:tcPr>
          <w:p>
            <w:pPr>
              <w:spacing w:after="0"/>
            </w:pPr>
            <w:r>
              <w:rPr>
                <w:sz w:val="19"/>
              </w:rPr>
              <w:t>1) Abonnement → Kostenverwaltung → Budgets 2) Budget anlegen 3) Warnungen und Empfänger festlegen</w:t>
            </w:r>
          </w:p>
        </w:tc>
      </w:tr>
      <w:tr>
        <w:trPr/>
        <w:tc>
          <w:tcPr>
            <w:tcW w:type="dxa" w:w="2512"/>
          </w:tcPr>
          <w:p>
            <w:pPr>
              <w:spacing w:after="0"/>
            </w:pPr>
            <w:r>
              <w:rPr>
                <w:sz w:val="19"/>
              </w:rPr>
              <w:t>Zwischenergebnis</w:t>
            </w:r>
          </w:p>
        </w:tc>
        <w:tc>
          <w:tcPr>
            <w:tcW w:type="dxa" w:w="6899"/>
          </w:tcPr>
          <w:p>
            <w:pPr>
              <w:spacing w:after="0"/>
            </w:pPr>
            <w:r>
              <w:rPr>
                <w:sz w:val="19"/>
              </w:rPr>
              <w:t>Bisherige Kosten 0,51 €; Prognose für den Monat ca. 3 €</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10 € mit 50/80/100 % und Prognose 100 % · </w:t>
            </w:r>
            <w:r>
              <w:rPr>
                <w:b/>
                <w:sz w:val="19"/>
              </w:rPr>
              <w:t>B</w:t>
            </w:r>
            <w:r>
              <w:rPr>
                <w:sz w:val="19"/>
              </w:rPr>
              <w:t xml:space="preserve"> Budget nahe am Guthaben (Warnung käme zu spät)</w:t>
            </w:r>
          </w:p>
        </w:tc>
      </w:tr>
      <w:tr>
        <w:trPr/>
        <w:tc>
          <w:tcPr>
            <w:tcW w:type="dxa" w:w="2512"/>
          </w:tcPr>
          <w:p>
            <w:pPr>
              <w:spacing w:after="0"/>
            </w:pPr>
            <w:r>
              <w:rPr>
                <w:sz w:val="19"/>
              </w:rPr>
              <w:t>Entscheidung + Begründung</w:t>
            </w:r>
          </w:p>
        </w:tc>
        <w:tc>
          <w:tcPr>
            <w:tcW w:type="dxa" w:w="6899"/>
          </w:tcPr>
          <w:p>
            <w:pPr>
              <w:spacing w:after="0"/>
            </w:pPr>
            <w:r>
              <w:rPr>
                <w:sz w:val="19"/>
              </w:rPr>
              <w:t>A (30.09.2026): genug Spielraum über der Prognose, frühe Warnung</w:t>
            </w:r>
          </w:p>
        </w:tc>
      </w:tr>
      <w:tr>
        <w:trPr/>
        <w:tc>
          <w:tcPr>
            <w:tcW w:type="dxa" w:w="2512"/>
          </w:tcPr>
          <w:p>
            <w:pPr>
              <w:spacing w:after="0"/>
            </w:pPr>
            <w:r>
              <w:rPr>
                <w:sz w:val="19"/>
              </w:rPr>
              <w:t>Endergebnis</w:t>
            </w:r>
          </w:p>
        </w:tc>
        <w:tc>
          <w:tcPr>
            <w:tcW w:type="dxa" w:w="6899"/>
          </w:tcPr>
          <w:p>
            <w:pPr>
              <w:spacing w:after="0"/>
            </w:pPr>
            <w:r>
              <w:rPr>
                <w:rFonts w:ascii="Courier New" w:hAnsi="Courier New"/>
                <w:sz w:val="17"/>
              </w:rPr>
              <w:t>budget-beehaven-dev</w:t>
            </w:r>
            <w:r>
              <w:rPr>
                <w:sz w:val="19"/>
              </w:rPr>
              <w:t>: 10 € je Monat, 01.09.–31.12.2026, Warnungen bei 5 €, 8 €, 10 € und bei prognostizierten 10 €, E-Mail auf Deutsch</w:t>
            </w:r>
          </w:p>
        </w:tc>
      </w:tr>
      <w:tr>
        <w:trPr/>
        <w:tc>
          <w:tcPr>
            <w:tcW w:type="dxa" w:w="2512"/>
          </w:tcPr>
          <w:p>
            <w:pPr>
              <w:spacing w:after="0"/>
            </w:pPr>
            <w:r>
              <w:rPr>
                <w:sz w:val="19"/>
              </w:rPr>
              <w:t>Hinweise / Gefahren</w:t>
            </w:r>
          </w:p>
        </w:tc>
        <w:tc>
          <w:tcPr>
            <w:tcW w:type="dxa" w:w="6899"/>
          </w:tcPr>
          <w:p>
            <w:pPr>
              <w:spacing w:after="0"/>
            </w:pPr>
            <w:r>
              <w:rPr>
                <w:sz w:val="19"/>
              </w:rPr>
              <w:t xml:space="preserve">Die Warnung stoppt nichts – sie informiert nur · Auswertung beginnt erst einige Stunden nach dem Anlegen · Absender </w:t>
            </w:r>
            <w:r>
              <w:rPr>
                <w:rFonts w:ascii="Courier New" w:hAnsi="Courier New"/>
                <w:sz w:val="17"/>
              </w:rPr>
              <w:t>azure-noreply@microsoft.com</w:t>
            </w:r>
            <w:r>
              <w:rPr>
                <w:sz w:val="19"/>
              </w:rPr>
              <w:t xml:space="preserve"> im Adressbuch aufnehmen</w:t>
            </w:r>
          </w:p>
        </w:tc>
      </w:tr>
      <w:tr>
        <w:trPr/>
        <w:tc>
          <w:tcPr>
            <w:tcW w:type="dxa" w:w="2512"/>
          </w:tcPr>
          <w:p>
            <w:pPr>
              <w:spacing w:after="0"/>
            </w:pPr>
            <w:r>
              <w:rPr>
                <w:sz w:val="19"/>
              </w:rPr>
              <w:t>Klärung (Stand Abschluss)</w:t>
            </w:r>
          </w:p>
        </w:tc>
        <w:tc>
          <w:tcPr>
            <w:tcW w:type="dxa" w:w="6899"/>
          </w:tcPr>
          <w:p>
            <w:pPr>
              <w:spacing w:after="0"/>
            </w:pPr>
            <w:r>
              <w:rPr>
                <w:sz w:val="19"/>
              </w:rPr>
              <w:t>–</w:t>
            </w:r>
          </w:p>
        </w:tc>
      </w:tr>
      <w:tr>
        <w:trPr/>
        <w:tc>
          <w:tcPr>
            <w:tcW w:type="dxa" w:w="2512"/>
          </w:tcPr>
          <w:p>
            <w:pPr>
              <w:spacing w:after="0"/>
            </w:pPr>
            <w:r>
              <w:rPr>
                <w:sz w:val="19"/>
              </w:rPr>
              <w:t>Für Agenten / ML</w:t>
            </w:r>
          </w:p>
        </w:tc>
        <w:tc>
          <w:tcPr>
            <w:tcW w:type="dxa" w:w="6899"/>
          </w:tcPr>
          <w:p>
            <w:pPr>
              <w:spacing w:after="0"/>
            </w:pPr>
            <w:r>
              <w:rPr>
                <w:sz w:val="19"/>
              </w:rPr>
              <w:t>Kosten-Schwellen als Auslöser für eine Freigabe (Human Loop)</w:t>
            </w:r>
          </w:p>
        </w:tc>
      </w:tr>
      <w:tr>
        <w:trPr/>
        <w:tc>
          <w:tcPr>
            <w:tcW w:type="dxa" w:w="2512"/>
          </w:tcPr>
          <w:p>
            <w:pPr>
              <w:spacing w:after="0"/>
            </w:pPr>
            <w:r>
              <w:rPr>
                <w:sz w:val="19"/>
              </w:rPr>
              <w:t>Verweise</w:t>
            </w:r>
          </w:p>
        </w:tc>
        <w:tc>
          <w:tcPr>
            <w:tcW w:type="dxa" w:w="6899"/>
          </w:tcPr>
          <w:p>
            <w:pPr>
              <w:spacing w:after="0"/>
            </w:pPr>
            <w:r>
              <w:rPr>
                <w:sz w:val="19"/>
              </w:rPr>
              <w:t>Projektplan M5 Schritt 5.7 · Schritt 1.1, Risiko 1 · AN-ITS-001 (neu)</w:t>
            </w:r>
          </w:p>
        </w:tc>
      </w:tr>
      <w:tr>
        <w:trPr/>
        <w:tc>
          <w:tcPr>
            <w:tcW w:type="dxa" w:w="2512"/>
          </w:tcPr>
          <w:p>
            <w:pPr>
              <w:spacing w:after="0"/>
            </w:pPr>
            <w:r>
              <w:rPr>
                <w:sz w:val="19"/>
              </w:rPr>
              <w:t>Einfach erklärt</w:t>
            </w:r>
          </w:p>
        </w:tc>
        <w:tc>
          <w:tcPr>
            <w:tcW w:type="dxa" w:w="6899"/>
          </w:tcPr>
          <w:p>
            <w:pPr>
              <w:spacing w:after="0"/>
            </w:pPr>
            <w:r>
              <w:rPr>
                <w:sz w:val="19"/>
              </w:rPr>
              <w:t>Wie eine Tankanzeige mit Warnlampe: Sie meldet sich, bevor der Tank leer ist, fährt aber nicht selbst rechts ran.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5.8 – Kosten eines Notebook-Laufs schätzen und freigeben</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Was kostet ein Tageslauf mit den Notebooks, und wie bleibt der Spark-Pool günstig?</w:t>
            </w:r>
          </w:p>
        </w:tc>
      </w:tr>
      <w:tr>
        <w:trPr/>
        <w:tc>
          <w:tcPr>
            <w:tcW w:type="dxa" w:w="2512"/>
          </w:tcPr>
          <w:p>
            <w:pPr>
              <w:spacing w:after="0"/>
            </w:pPr>
            <w:r>
              <w:rPr>
                <w:sz w:val="19"/>
              </w:rPr>
              <w:t>Eigene Erwartung</w:t>
            </w:r>
          </w:p>
        </w:tc>
        <w:tc>
          <w:tcPr>
            <w:tcW w:type="dxa" w:w="6899"/>
          </w:tcPr>
          <w:p>
            <w:pPr>
              <w:spacing w:after="0"/>
            </w:pPr>
            <w:r>
              <w:rPr>
                <w:sz w:val="19"/>
              </w:rPr>
              <w:t>wenige Cent bis Euro je Lauf, abhängig von Knotengröße und Laufzeit</w:t>
            </w:r>
          </w:p>
        </w:tc>
      </w:tr>
      <w:tr>
        <w:trPr/>
        <w:tc>
          <w:tcPr>
            <w:tcW w:type="dxa" w:w="2512"/>
          </w:tcPr>
          <w:p>
            <w:pPr>
              <w:spacing w:after="0"/>
            </w:pPr>
            <w:r>
              <w:rPr>
                <w:sz w:val="19"/>
              </w:rPr>
              <w:t>Erwartung laut Recherche</w:t>
            </w:r>
          </w:p>
        </w:tc>
        <w:tc>
          <w:tcPr>
            <w:tcW w:type="dxa" w:w="6899"/>
          </w:tcPr>
          <w:p>
            <w:pPr>
              <w:spacing w:after="0"/>
            </w:pPr>
            <w:r>
              <w:rPr>
                <w:sz w:val="19"/>
              </w:rPr>
              <w:t>Spark-Pool je vCore-Stunde, minutengenau, Auto-pause; jede Notebook-Aktivität startet eine eigene Sitzung (Microsoft Learn)</w:t>
            </w:r>
          </w:p>
        </w:tc>
      </w:tr>
      <w:tr>
        <w:trPr/>
        <w:tc>
          <w:tcPr>
            <w:tcW w:type="dxa" w:w="2512"/>
          </w:tcPr>
          <w:p>
            <w:pPr>
              <w:spacing w:after="0"/>
            </w:pPr>
            <w:r>
              <w:rPr>
                <w:sz w:val="19"/>
              </w:rPr>
              <w:t>Zwischenschritte</w:t>
            </w:r>
          </w:p>
        </w:tc>
        <w:tc>
          <w:tcPr>
            <w:tcW w:type="dxa" w:w="6899"/>
          </w:tcPr>
          <w:p>
            <w:pPr>
              <w:spacing w:after="0"/>
            </w:pPr>
            <w:r>
              <w:rPr>
                <w:sz w:val="19"/>
              </w:rPr>
              <w:t>1) Preis im Portal ablesen (Pool Small, 3 Knoten) 2) Freigabe Synapse-Test (Human Loop) 3) Synapse-Arbeitsbereich anlegen (nur Entra ID, Tags) 4) Spark-Pool anlegen</w:t>
            </w:r>
          </w:p>
        </w:tc>
      </w:tr>
      <w:tr>
        <w:trPr/>
        <w:tc>
          <w:tcPr>
            <w:tcW w:type="dxa" w:w="2512"/>
          </w:tcPr>
          <w:p>
            <w:pPr>
              <w:spacing w:after="0"/>
            </w:pPr>
            <w:r>
              <w:rPr>
                <w:sz w:val="19"/>
              </w:rPr>
              <w:t>Zwischenergebnis</w:t>
            </w:r>
          </w:p>
        </w:tc>
        <w:tc>
          <w:tcPr>
            <w:tcW w:type="dxa" w:w="6899"/>
          </w:tcPr>
          <w:p>
            <w:pPr>
              <w:spacing w:after="0"/>
            </w:pPr>
            <w:r>
              <w:rPr>
                <w:sz w:val="19"/>
              </w:rPr>
              <w:t>Portal-Anzeige: 1,80 USD je Stunde, nur während der Pool läuft; Start einer Sitzung ca. 3–4 Min.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kleinster Pool, Auto-pause kurz · </w:t>
            </w:r>
            <w:r>
              <w:rPr>
                <w:b/>
                <w:sz w:val="19"/>
              </w:rPr>
              <w:t>B</w:t>
            </w:r>
            <w:r>
              <w:rPr>
                <w:sz w:val="19"/>
              </w:rPr>
              <w:t xml:space="preserve"> ein Notebook für alles (günstiger, siehe K3) · </w:t>
            </w:r>
            <w:r>
              <w:rPr>
                <w:b/>
                <w:sz w:val="19"/>
              </w:rPr>
              <w:t>C</w:t>
            </w:r>
            <w:r>
              <w:rPr>
                <w:sz w:val="19"/>
              </w:rPr>
              <w:t xml:space="preserve"> Azure-Lauf nur einmal zur Vorführung</w:t>
            </w:r>
          </w:p>
        </w:tc>
      </w:tr>
      <w:tr>
        <w:trPr/>
        <w:tc>
          <w:tcPr>
            <w:tcW w:type="dxa" w:w="2512"/>
          </w:tcPr>
          <w:p>
            <w:pPr>
              <w:spacing w:after="0"/>
            </w:pPr>
            <w:r>
              <w:rPr>
                <w:sz w:val="19"/>
              </w:rPr>
              <w:t>Entscheidung + Begründung</w:t>
            </w:r>
          </w:p>
        </w:tc>
        <w:tc>
          <w:tcPr>
            <w:tcW w:type="dxa" w:w="6899"/>
          </w:tcPr>
          <w:p>
            <w:pPr>
              <w:spacing w:after="0"/>
            </w:pPr>
            <w:r>
              <w:rPr>
                <w:sz w:val="19"/>
              </w:rPr>
              <w:t>A zusammen mit dem Steuer-Notebook (K6 c, eine Sitzung für N1–N3) – freigegeben 30.09.2026 (Protokoll Freigaben Nr. 17): Kosten grob &lt; 1 € je Lauf, Trigger bleibt aus, Budget-Warnung 10 € aktiv</w:t>
            </w:r>
          </w:p>
        </w:tc>
      </w:tr>
      <w:tr>
        <w:trPr/>
        <w:tc>
          <w:tcPr>
            <w:tcW w:type="dxa" w:w="2512"/>
          </w:tcPr>
          <w:p>
            <w:pPr>
              <w:spacing w:after="0"/>
            </w:pPr>
            <w:r>
              <w:rPr>
                <w:sz w:val="19"/>
              </w:rPr>
              <w:t>Endergebnis</w:t>
            </w:r>
          </w:p>
        </w:tc>
        <w:tc>
          <w:tcPr>
            <w:tcW w:type="dxa" w:w="6899"/>
          </w:tcPr>
          <w:p>
            <w:pPr>
              <w:spacing w:after="0"/>
            </w:pPr>
            <w:r>
              <w:rPr>
                <w:sz w:val="19"/>
              </w:rPr>
              <w:t xml:space="preserve">Arbeitsbereich </w:t>
            </w:r>
            <w:r>
              <w:rPr>
                <w:rFonts w:ascii="Courier New" w:hAnsi="Courier New"/>
                <w:sz w:val="17"/>
              </w:rPr>
              <w:t>syn-beehaven-dev-gwc</w:t>
            </w:r>
            <w:r>
              <w:rPr>
                <w:sz w:val="19"/>
              </w:rPr>
              <w:t xml:space="preserve"> (Germany West Central, Dateisystem </w:t>
            </w:r>
            <w:r>
              <w:rPr>
                <w:rFonts w:ascii="Courier New" w:hAnsi="Courier New"/>
                <w:sz w:val="17"/>
              </w:rPr>
              <w:t>synapse</w:t>
            </w:r>
            <w:r>
              <w:rPr>
                <w:sz w:val="19"/>
              </w:rPr>
              <w:t xml:space="preserve"> auf </w:t>
            </w:r>
            <w:r>
              <w:rPr>
                <w:rFonts w:ascii="Courier New" w:hAnsi="Courier New"/>
                <w:sz w:val="17"/>
              </w:rPr>
              <w:t>mabeehavenlakehouse</w:t>
            </w:r>
            <w:r>
              <w:rPr>
                <w:sz w:val="19"/>
              </w:rPr>
              <w:t xml:space="preserve">) · Spark-Pool </w:t>
            </w:r>
            <w:r>
              <w:rPr>
                <w:rFonts w:ascii="Courier New" w:hAnsi="Courier New"/>
                <w:sz w:val="17"/>
              </w:rPr>
              <w:t>sparkbeehaven</w:t>
            </w:r>
            <w:r>
              <w:rPr>
                <w:sz w:val="19"/>
              </w:rPr>
              <w:t>: Small (4 vCores/32 GB je Knoten), 3 Knoten fest, Auto-pause 5 Min., Spark 3.5 / Python 3.11 · Tests 30.09.: geschätzt 1,80–2,70 USD (Pool ca. 1–1,5 h aktiv inkl. Leerlauf; genaue Werte aus der Kostenanalyse folgen, Protokoll Kosten Nr. 1)</w:t>
            </w:r>
          </w:p>
        </w:tc>
      </w:tr>
      <w:tr>
        <w:trPr/>
        <w:tc>
          <w:tcPr>
            <w:tcW w:type="dxa" w:w="2512"/>
          </w:tcPr>
          <w:p>
            <w:pPr>
              <w:spacing w:after="0"/>
            </w:pPr>
            <w:r>
              <w:rPr>
                <w:sz w:val="19"/>
              </w:rPr>
              <w:t>Hinweise / Gefahren</w:t>
            </w:r>
          </w:p>
        </w:tc>
        <w:tc>
          <w:tcPr>
            <w:tcW w:type="dxa" w:w="6899"/>
          </w:tcPr>
          <w:p>
            <w:pPr>
              <w:spacing w:after="0"/>
            </w:pPr>
            <w:r>
              <w:rPr>
                <w:sz w:val="19"/>
              </w:rPr>
              <w:t xml:space="preserve">Leerlauf kostet mit: nach dem Testen </w:t>
            </w:r>
            <w:r>
              <w:rPr>
                <w:b/>
                <w:sz w:val="19"/>
              </w:rPr>
              <w:t>Sitzung beenden</w:t>
            </w:r>
            <w:r>
              <w:rPr>
                <w:sz w:val="19"/>
              </w:rPr>
              <w:t xml:space="preserve"> (sonst läuft der Pool bis zur Auto-pause weiter) · Kontingent des Arbeitsbereichs 12 vCores → nur </w:t>
            </w:r>
            <w:r>
              <w:rPr>
                <w:b/>
                <w:sz w:val="19"/>
              </w:rPr>
              <w:t>eine</w:t>
            </w:r>
            <w:r>
              <w:rPr>
                <w:sz w:val="19"/>
              </w:rPr>
              <w:t xml:space="preserve"> Sitzung gleichzeitig</w:t>
            </w:r>
          </w:p>
        </w:tc>
      </w:tr>
      <w:tr>
        <w:trPr/>
        <w:tc>
          <w:tcPr>
            <w:tcW w:type="dxa" w:w="2512"/>
          </w:tcPr>
          <w:p>
            <w:pPr>
              <w:spacing w:after="0"/>
            </w:pPr>
            <w:r>
              <w:rPr>
                <w:sz w:val="19"/>
              </w:rPr>
              <w:t>Klärung (Stand Abschluss)</w:t>
            </w:r>
          </w:p>
        </w:tc>
        <w:tc>
          <w:tcPr>
            <w:tcW w:type="dxa" w:w="6899"/>
          </w:tcPr>
          <w:p>
            <w:pPr>
              <w:spacing w:after="0"/>
            </w:pPr>
            <w:r>
              <w:rPr>
                <w:sz w:val="19"/>
              </w:rPr>
              <w:t xml:space="preserve">Tatsächliche Kosten je Tageslauf nach dem ersten Pipeline-Lauf (5.10) → </w:t>
            </w:r>
            <w:r>
              <w:rPr>
                <w:b/>
                <w:sz w:val="19"/>
              </w:rPr>
              <w:t>Stand 05.10.2026:</w:t>
            </w:r>
            <w:r>
              <w:rPr>
                <w:sz w:val="19"/>
              </w:rPr>
              <w:t xml:space="preserve"> erledigt (ca. 0,50 € je Tageslauf mit zwei Städten)</w:t>
            </w:r>
          </w:p>
        </w:tc>
      </w:tr>
      <w:tr>
        <w:trPr/>
        <w:tc>
          <w:tcPr>
            <w:tcW w:type="dxa" w:w="2512"/>
          </w:tcPr>
          <w:p>
            <w:pPr>
              <w:spacing w:after="0"/>
            </w:pPr>
            <w:r>
              <w:rPr>
                <w:sz w:val="19"/>
              </w:rPr>
              <w:t>Für Agenten / ML</w:t>
            </w:r>
          </w:p>
        </w:tc>
        <w:tc>
          <w:tcPr>
            <w:tcW w:type="dxa" w:w="6899"/>
          </w:tcPr>
          <w:p>
            <w:pPr>
              <w:spacing w:after="0"/>
            </w:pPr>
            <w:r>
              <w:rPr>
                <w:sz w:val="19"/>
              </w:rPr>
              <w:t>Kosten je Lauf als Kennzahl melden (Finanzen)</w:t>
            </w:r>
          </w:p>
        </w:tc>
      </w:tr>
      <w:tr>
        <w:trPr/>
        <w:tc>
          <w:tcPr>
            <w:tcW w:type="dxa" w:w="2512"/>
          </w:tcPr>
          <w:p>
            <w:pPr>
              <w:spacing w:after="0"/>
            </w:pPr>
            <w:r>
              <w:rPr>
                <w:sz w:val="19"/>
              </w:rPr>
              <w:t>Verweise</w:t>
            </w:r>
          </w:p>
        </w:tc>
        <w:tc>
          <w:tcPr>
            <w:tcW w:type="dxa" w:w="6899"/>
          </w:tcPr>
          <w:p>
            <w:pPr>
              <w:spacing w:after="0"/>
            </w:pPr>
            <w:r>
              <w:rPr>
                <w:sz w:val="19"/>
              </w:rPr>
              <w:t>Projektplan M5 Schritt 5.8 · F5, Risiko 1, Projektplan Kap. 4 · AN-ITS-001 Phase 3</w:t>
            </w:r>
          </w:p>
        </w:tc>
      </w:tr>
      <w:tr>
        <w:trPr/>
        <w:tc>
          <w:tcPr>
            <w:tcW w:type="dxa" w:w="2512"/>
          </w:tcPr>
          <w:p>
            <w:pPr>
              <w:spacing w:after="0"/>
            </w:pPr>
            <w:r>
              <w:rPr>
                <w:sz w:val="19"/>
              </w:rPr>
              <w:t>Einfach erklärt</w:t>
            </w:r>
          </w:p>
        </w:tc>
        <w:tc>
          <w:tcPr>
            <w:tcW w:type="dxa" w:w="6899"/>
          </w:tcPr>
          <w:p>
            <w:pPr>
              <w:spacing w:after="0"/>
            </w:pPr>
            <w:r>
              <w:rPr>
                <w:sz w:val="19"/>
              </w:rPr>
              <w:t>Wie ein Mietwagen, der minutengenau abgerechnet wird: Man nimmt das kleinste passende Modell und gibt ihn gleich nach der Fahrt zurück.</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5.9 – Notebooks nach Kurs-Muster und in Azure, Gold-Tabelle (erreicht 01.10.2026)</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Läuft die Verarbeitung vollständig in der Cloud – mit Steuer-Notebook (N1–N3), N4 Gold (neu, Lücken + Kennzeichen) und N5 Analyse (bisher N4)? Funktioniert sie auch für eine zweite Stadt (Würzburg)?</w:t>
            </w:r>
          </w:p>
        </w:tc>
      </w:tr>
      <w:tr>
        <w:trPr/>
        <w:tc>
          <w:tcPr>
            <w:tcW w:type="dxa" w:w="2512"/>
          </w:tcPr>
          <w:p>
            <w:pPr>
              <w:spacing w:after="0"/>
            </w:pPr>
            <w:r>
              <w:rPr>
                <w:sz w:val="19"/>
              </w:rPr>
              <w:t>Eigene Erwartung</w:t>
            </w:r>
          </w:p>
        </w:tc>
        <w:tc>
          <w:tcPr>
            <w:tcW w:type="dxa" w:w="6899"/>
          </w:tcPr>
          <w:p>
            <w:pPr>
              <w:spacing w:after="0"/>
            </w:pPr>
            <w:r>
              <w:rPr>
                <w:sz w:val="19"/>
              </w:rPr>
              <w:t>Ergebnisse identisch mit lokal</w:t>
            </w:r>
          </w:p>
        </w:tc>
      </w:tr>
      <w:tr>
        <w:trPr/>
        <w:tc>
          <w:tcPr>
            <w:tcW w:type="dxa" w:w="2512"/>
          </w:tcPr>
          <w:p>
            <w:pPr>
              <w:spacing w:after="0"/>
            </w:pPr>
            <w:r>
              <w:rPr>
                <w:sz w:val="19"/>
              </w:rPr>
              <w:t>Erwartung laut Recherche</w:t>
            </w:r>
          </w:p>
        </w:tc>
        <w:tc>
          <w:tcPr>
            <w:tcW w:type="dxa" w:w="6899"/>
          </w:tcPr>
          <w:p>
            <w:pPr>
              <w:spacing w:after="0"/>
            </w:pPr>
            <w:r>
              <w:rPr>
                <w:sz w:val="19"/>
              </w:rPr>
              <w:t xml:space="preserve">Synapse-Notebook-Aktivität mit Parameterzelle, Zugriff über Identität des Arbeitsbereichs; </w:t>
            </w:r>
            <w:r>
              <w:rPr>
                <w:rFonts w:ascii="Courier New" w:hAnsi="Courier New"/>
                <w:sz w:val="17"/>
              </w:rPr>
              <w:t>mssparkutils.notebook.runMultiple</w:t>
            </w:r>
            <w:r>
              <w:rPr>
                <w:sz w:val="19"/>
              </w:rPr>
              <w:t xml:space="preserve"> führt mehrere Notebooks in einer Sitzung aus</w:t>
            </w:r>
          </w:p>
        </w:tc>
      </w:tr>
      <w:tr>
        <w:trPr/>
        <w:tc>
          <w:tcPr>
            <w:tcW w:type="dxa" w:w="2512"/>
          </w:tcPr>
          <w:p>
            <w:pPr>
              <w:spacing w:after="0"/>
            </w:pPr>
            <w:r>
              <w:rPr>
                <w:sz w:val="19"/>
              </w:rPr>
              <w:t>Zwischenschritte</w:t>
            </w:r>
          </w:p>
        </w:tc>
        <w:tc>
          <w:tcPr>
            <w:tcW w:type="dxa" w:w="6899"/>
          </w:tcPr>
          <w:p>
            <w:pPr>
              <w:spacing w:after="0"/>
            </w:pPr>
            <w:r>
              <w:rPr>
                <w:sz w:val="19"/>
              </w:rPr>
              <w:t xml:space="preserve">1) Synapse Studio → Entwickeln → Importieren (5 Notebooks aus </w:t>
            </w:r>
            <w:r>
              <w:rPr>
                <w:rFonts w:ascii="Courier New" w:hAnsi="Courier New"/>
                <w:sz w:val="17"/>
              </w:rPr>
              <w:t>synapse/</w:t>
            </w:r>
            <w:r>
              <w:rPr>
                <w:sz w:val="19"/>
              </w:rPr>
              <w:t xml:space="preserve">) 2) je Notebook „Anfügen an“ </w:t>
            </w:r>
            <w:r>
              <w:rPr>
                <w:rFonts w:ascii="Courier New" w:hAnsi="Courier New"/>
                <w:sz w:val="17"/>
              </w:rPr>
              <w:t>sparkbeehaven</w:t>
            </w:r>
            <w:r>
              <w:rPr>
                <w:sz w:val="19"/>
              </w:rPr>
              <w:t xml:space="preserve"> 3) Alle veröffentlichen 4) Test N4 → Fehler 1 5) Test Steuer-Notebook → Fehler 2 6) Korrektur im Generator, Zeile in Synapse ersetzt, veröffentlicht 7) Steuer-Notebook erneut 8) N4 erneut 9) Ablage im Data Lake geprüft</w:t>
            </w:r>
          </w:p>
        </w:tc>
      </w:tr>
      <w:tr>
        <w:trPr/>
        <w:tc>
          <w:tcPr>
            <w:tcW w:type="dxa" w:w="2512"/>
          </w:tcPr>
          <w:p>
            <w:pPr>
              <w:spacing w:after="0"/>
            </w:pPr>
            <w:r>
              <w:rPr>
                <w:sz w:val="19"/>
              </w:rPr>
              <w:t>Zwischenergebnis</w:t>
            </w:r>
          </w:p>
        </w:tc>
        <w:tc>
          <w:tcPr>
            <w:tcW w:type="dxa" w:w="6899"/>
          </w:tcPr>
          <w:p>
            <w:pPr>
              <w:spacing w:after="0"/>
            </w:pPr>
            <w:r>
              <w:rPr>
                <w:b/>
                <w:sz w:val="19"/>
              </w:rPr>
              <w:t>Fehler 1:</w:t>
            </w:r>
            <w:r>
              <w:rPr>
                <w:sz w:val="19"/>
              </w:rPr>
              <w:t xml:space="preserve"> N4 </w:t>
            </w:r>
            <w:r>
              <w:rPr>
                <w:rFonts w:ascii="Courier New" w:hAnsi="Courier New"/>
                <w:sz w:val="17"/>
              </w:rPr>
              <w:t>IndexError</w:t>
            </w:r>
            <w:r>
              <w:rPr>
                <w:sz w:val="19"/>
              </w:rPr>
              <w:t xml:space="preserve"> – </w:t>
            </w:r>
            <w:r>
              <w:rPr>
                <w:rFonts w:ascii="Courier New" w:hAnsi="Courier New"/>
                <w:sz w:val="17"/>
              </w:rPr>
              <w:t>silver/cleaned</w:t>
            </w:r>
            <w:r>
              <w:rPr>
                <w:sz w:val="19"/>
              </w:rPr>
              <w:t xml:space="preserve"> in Azure noch leer (bereinigte Dateien entstehen erst durch N1–N3). </w:t>
            </w:r>
            <w:r>
              <w:rPr>
                <w:b/>
                <w:sz w:val="19"/>
              </w:rPr>
              <w:t>Fehler 2:</w:t>
            </w:r>
            <w:r>
              <w:rPr>
                <w:sz w:val="19"/>
              </w:rPr>
              <w:t xml:space="preserve"> N1 </w:t>
            </w:r>
            <w:r>
              <w:rPr>
                <w:rFonts w:ascii="Courier New" w:hAnsi="Courier New"/>
                <w:sz w:val="17"/>
              </w:rPr>
              <w:t>ArrowNotImplementedError: … compiled without Azure Blob File System support</w:t>
            </w:r>
            <w:r>
              <w:rPr>
                <w:sz w:val="19"/>
              </w:rPr>
              <w:t xml:space="preserve"> beim Speichern als Parquet – Lesen (CSV) und Rechnen liefen. </w:t>
            </w:r>
            <w:r>
              <w:rPr>
                <w:b/>
                <w:sz w:val="19"/>
              </w:rPr>
              <w:t>Nebenbefunde:</w:t>
            </w:r>
            <w:r>
              <w:rPr>
                <w:sz w:val="19"/>
              </w:rPr>
              <w:t xml:space="preserve"> Sitzung läuft ab (</w:t>
            </w:r>
            <w:r>
              <w:rPr>
                <w:rFonts w:ascii="Courier New" w:hAnsi="Courier New"/>
                <w:sz w:val="17"/>
              </w:rPr>
              <w:t>LIVY_JOB_TIMED_OUT</w:t>
            </w:r>
            <w:r>
              <w:rPr>
                <w:sz w:val="19"/>
              </w:rPr>
              <w:t>) → neu starten; zweite Sitzung scheitert (</w:t>
            </w:r>
            <w:r>
              <w:rPr>
                <w:rFonts w:ascii="Courier New" w:hAnsi="Courier New"/>
                <w:sz w:val="17"/>
              </w:rPr>
              <w:t>AVAILABLE_WORKSPACE_CAPACITY_EXCEEDED</w:t>
            </w:r>
            <w:r>
              <w:rPr>
                <w:sz w:val="19"/>
              </w:rPr>
              <w:t xml:space="preserve">); Import zeigt 01 als </w:t>
            </w:r>
            <w:r>
              <w:rPr>
                <w:rFonts w:ascii="Courier New" w:hAnsi="Courier New"/>
                <w:sz w:val="17"/>
              </w:rPr>
              <w:t>01_Bereinigung_Synapse</w:t>
            </w:r>
            <w:r>
              <w:rPr>
                <w:sz w:val="19"/>
              </w:rPr>
              <w:t xml:space="preserve">, der interne Name ist klein – </w:t>
            </w:r>
            <w:r>
              <w:rPr>
                <w:rFonts w:ascii="Courier New" w:hAnsi="Courier New"/>
                <w:sz w:val="17"/>
              </w:rPr>
              <w:t>runMultiple</w:t>
            </w:r>
            <w:r>
              <w:rPr>
                <w:sz w:val="19"/>
              </w:rPr>
              <w:t xml:space="preserve"> findet es. Vorprüfung Würzburg (Kaggle, 30.09.2026): Gewicht in </w:t>
            </w:r>
            <w:r>
              <w:rPr>
                <w:b/>
                <w:sz w:val="19"/>
              </w:rPr>
              <w:t>kg</w:t>
            </w:r>
            <w:r>
              <w:rPr>
                <w:sz w:val="19"/>
              </w:rPr>
              <w:t xml:space="preserve"> und </w:t>
            </w:r>
            <w:r>
              <w:rPr>
                <w:b/>
                <w:sz w:val="19"/>
              </w:rPr>
              <w:t>minütlich</w:t>
            </w:r>
            <w:r>
              <w:rPr>
                <w:sz w:val="19"/>
              </w:rPr>
              <w:t xml:space="preserve"> (Schwartau: Gramm, 12 Std.) → R5 (&lt; 20.000 g) würde alles verwerfen; Feuchte </w:t>
            </w:r>
            <w:r>
              <w:rPr>
                <w:b/>
                <w:sz w:val="19"/>
              </w:rPr>
              <w:t>stündlich</w:t>
            </w:r>
            <w:r>
              <w:rPr>
                <w:sz w:val="19"/>
              </w:rPr>
              <w:t xml:space="preserve">; Temperatur mit Fehlerwerten bis −227 °C und 164.580 fehlenden Werten; flow </w:t>
            </w:r>
            <w:r>
              <w:rPr>
                <w:b/>
                <w:sz w:val="19"/>
              </w:rPr>
              <w:t>nicht sauber in zwei Reihen</w:t>
            </w:r>
            <w:r>
              <w:rPr>
                <w:sz w:val="19"/>
              </w:rPr>
              <w:t>; Lücke von 146 Tagen (Mai–Okt. 2018) – darf nicht aufgefüllt werden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Synapse (Vorgabe) · </w:t>
            </w:r>
            <w:r>
              <w:rPr>
                <w:b/>
                <w:sz w:val="19"/>
              </w:rPr>
              <w:t>B</w:t>
            </w:r>
            <w:r>
              <w:rPr>
                <w:sz w:val="19"/>
              </w:rPr>
              <w:t xml:space="preserve"> Databricks · </w:t>
            </w:r>
            <w:r>
              <w:rPr>
                <w:b/>
                <w:sz w:val="19"/>
              </w:rPr>
              <w:t>C</w:t>
            </w:r>
            <w:r>
              <w:rPr>
                <w:sz w:val="19"/>
              </w:rPr>
              <w:t xml:space="preserve"> lokal weiter, Azure nur Speicher (siehe K2). Für Fehler 2: </w:t>
            </w:r>
            <w:r>
              <w:rPr>
                <w:b/>
                <w:sz w:val="19"/>
              </w:rPr>
              <w:t>a</w:t>
            </w:r>
            <w:r>
              <w:rPr>
                <w:sz w:val="19"/>
              </w:rPr>
              <w:t xml:space="preserve"> </w:t>
            </w:r>
            <w:r>
              <w:rPr>
                <w:rFonts w:ascii="Courier New" w:hAnsi="Courier New"/>
                <w:sz w:val="17"/>
              </w:rPr>
              <w:t>storage_options={}</w:t>
            </w:r>
            <w:r>
              <w:rPr>
                <w:sz w:val="19"/>
              </w:rPr>
              <w:t xml:space="preserve"> statt </w:t>
            </w:r>
            <w:r>
              <w:rPr>
                <w:rFonts w:ascii="Courier New" w:hAnsi="Courier New"/>
                <w:sz w:val="17"/>
              </w:rPr>
              <w:t>None</w:t>
            </w:r>
            <w:r>
              <w:rPr>
                <w:sz w:val="19"/>
              </w:rPr>
              <w:t xml:space="preserve"> (pandas nimmt dann fsspec, wie beim CSV-Lesen) · </w:t>
            </w:r>
            <w:r>
              <w:rPr>
                <w:b/>
                <w:sz w:val="19"/>
              </w:rPr>
              <w:t>b</w:t>
            </w:r>
            <w:r>
              <w:rPr>
                <w:sz w:val="19"/>
              </w:rPr>
              <w:t xml:space="preserve"> Speichern über Spark statt pandas (größerer Umbau) · </w:t>
            </w:r>
            <w:r>
              <w:rPr>
                <w:b/>
                <w:sz w:val="19"/>
              </w:rPr>
              <w:t>c</w:t>
            </w:r>
            <w:r>
              <w:rPr>
                <w:sz w:val="19"/>
              </w:rPr>
              <w:t xml:space="preserve"> Parquet erst lokal schreiben und mit </w:t>
            </w:r>
            <w:r>
              <w:rPr>
                <w:rFonts w:ascii="Courier New" w:hAnsi="Courier New"/>
                <w:sz w:val="17"/>
              </w:rPr>
              <w:t>mssparkutils.fs.cp</w:t>
            </w:r>
            <w:r>
              <w:rPr>
                <w:sz w:val="19"/>
              </w:rPr>
              <w:t xml:space="preserve"> kopieren (Umweg)</w:t>
            </w:r>
          </w:p>
        </w:tc>
      </w:tr>
      <w:tr>
        <w:trPr/>
        <w:tc>
          <w:tcPr>
            <w:tcW w:type="dxa" w:w="2512"/>
          </w:tcPr>
          <w:p>
            <w:pPr>
              <w:spacing w:after="0"/>
            </w:pPr>
            <w:r>
              <w:rPr>
                <w:sz w:val="19"/>
              </w:rPr>
              <w:t>Entscheidung + Begründung</w:t>
            </w:r>
          </w:p>
        </w:tc>
        <w:tc>
          <w:tcPr>
            <w:tcW w:type="dxa" w:w="6899"/>
          </w:tcPr>
          <w:p>
            <w:pPr>
              <w:spacing w:after="0"/>
            </w:pPr>
            <w:r>
              <w:rPr>
                <w:sz w:val="19"/>
              </w:rPr>
              <w:t xml:space="preserve">A (Vorgabe). Fehler 2: </w:t>
            </w:r>
            <w:r>
              <w:rPr>
                <w:b/>
                <w:sz w:val="19"/>
              </w:rPr>
              <w:t>a</w:t>
            </w:r>
            <w:r>
              <w:rPr>
                <w:sz w:val="19"/>
              </w:rPr>
              <w:t xml:space="preserve"> (30.09.2026) – eine Zeile im Generator, keine Änderung an der Logik; Ursache: pandas versucht bei </w:t>
            </w:r>
            <w:r>
              <w:rPr>
                <w:rFonts w:ascii="Courier New" w:hAnsi="Courier New"/>
                <w:sz w:val="17"/>
              </w:rPr>
              <w:t>storage_options=None</w:t>
            </w:r>
            <w:r>
              <w:rPr>
                <w:sz w:val="19"/>
              </w:rPr>
              <w:t xml:space="preserve"> zuerst pyarrow direkt mit </w:t>
            </w:r>
            <w:r>
              <w:rPr>
                <w:rFonts w:ascii="Courier New" w:hAnsi="Courier New"/>
                <w:sz w:val="17"/>
              </w:rPr>
              <w:t>abfss://</w:t>
            </w:r>
            <w:r>
              <w:rPr>
                <w:sz w:val="19"/>
              </w:rPr>
              <w:t>. Reihenfolge fest: erst Silver-Stufe, dann N4</w:t>
            </w:r>
          </w:p>
        </w:tc>
      </w:tr>
      <w:tr>
        <w:trPr/>
        <w:tc>
          <w:tcPr>
            <w:tcW w:type="dxa" w:w="2512"/>
          </w:tcPr>
          <w:p>
            <w:pPr>
              <w:spacing w:after="0"/>
            </w:pPr>
            <w:r>
              <w:rPr>
                <w:sz w:val="19"/>
              </w:rPr>
              <w:t>Endergebnis</w:t>
            </w:r>
          </w:p>
        </w:tc>
        <w:tc>
          <w:tcPr>
            <w:tcW w:type="dxa" w:w="6899"/>
          </w:tcPr>
          <w:p>
            <w:pPr>
              <w:spacing w:after="0"/>
            </w:pPr>
            <w:r>
              <w:rPr>
                <w:b/>
                <w:sz w:val="19"/>
              </w:rPr>
              <w:t>Silver in Azure:</w:t>
            </w:r>
            <w:r>
              <w:rPr>
                <w:sz w:val="19"/>
              </w:rPr>
              <w:t xml:space="preserve"> Steuer-Notebook </w:t>
            </w:r>
            <w:r>
              <w:rPr>
                <w:rFonts w:ascii="Courier New" w:hAnsi="Courier New"/>
                <w:sz w:val="17"/>
              </w:rPr>
              <w:t>00_steuerung_silver</w:t>
            </w:r>
            <w:r>
              <w:rPr>
                <w:sz w:val="19"/>
              </w:rPr>
              <w:t xml:space="preserve"> → </w:t>
            </w:r>
            <w:r>
              <w:rPr>
                <w:rFonts w:ascii="Courier New" w:hAnsi="Courier New"/>
                <w:sz w:val="17"/>
              </w:rPr>
              <w:t>runMultiple</w:t>
            </w:r>
            <w:r>
              <w:rPr>
                <w:sz w:val="19"/>
              </w:rPr>
              <w:t xml:space="preserve"> N1 → N2 → N3 (Schwartau) in </w:t>
            </w:r>
            <w:r>
              <w:rPr>
                <w:b/>
                <w:sz w:val="19"/>
              </w:rPr>
              <w:t>44 s</w:t>
            </w:r>
            <w:r>
              <w:rPr>
                <w:sz w:val="19"/>
              </w:rPr>
              <w:t xml:space="preserve">, alle ohne Ausnahme · </w:t>
            </w:r>
            <w:r>
              <w:rPr>
                <w:b/>
                <w:sz w:val="19"/>
              </w:rPr>
              <w:t>Gold in Azure:</w:t>
            </w:r>
            <w:r>
              <w:rPr>
                <w:sz w:val="19"/>
              </w:rPr>
              <w:t xml:space="preserve"> N4 → </w:t>
            </w:r>
            <w:r>
              <w:rPr>
                <w:rFonts w:ascii="Courier New" w:hAnsi="Courier New"/>
                <w:sz w:val="17"/>
              </w:rPr>
              <w:t>gold/schwartau/stunden_schwartau.parquet</w:t>
            </w:r>
            <w:r>
              <w:rPr>
                <w:sz w:val="19"/>
              </w:rPr>
              <w:t xml:space="preserve"> 976 KB, </w:t>
            </w:r>
            <w:r>
              <w:rPr>
                <w:rFonts w:ascii="Courier New" w:hAnsi="Courier New"/>
                <w:sz w:val="17"/>
              </w:rPr>
              <w:t>tageswerte_schwartau.parquet</w:t>
            </w:r>
            <w:r>
              <w:rPr>
                <w:sz w:val="19"/>
              </w:rPr>
              <w:t xml:space="preserve"> 48 KB (+ CSV zum Ansehen) – Größen wie lokal · Protokoll Datenläufe Nr. 10–13 · danach (erreicht 01.10., Karte 5.9 unten): Data-Factory-Aktivitäten </w:t>
            </w:r>
            <w:r>
              <w:rPr>
                <w:rFonts w:ascii="Courier New" w:hAnsi="Courier New"/>
                <w:sz w:val="17"/>
              </w:rPr>
              <w:t>silver_automatisierung</w:t>
            </w:r>
            <w:r>
              <w:rPr>
                <w:sz w:val="19"/>
              </w:rPr>
              <w:t xml:space="preserve">, </w:t>
            </w:r>
            <w:r>
              <w:rPr>
                <w:rFonts w:ascii="Courier New" w:hAnsi="Courier New"/>
                <w:sz w:val="17"/>
              </w:rPr>
              <w:t>n4_gold</w:t>
            </w:r>
            <w:r>
              <w:rPr>
                <w:sz w:val="19"/>
              </w:rPr>
              <w:t xml:space="preserve">, Pipeline </w:t>
            </w:r>
            <w:r>
              <w:rPr>
                <w:rFonts w:ascii="Courier New" w:hAnsi="Courier New"/>
                <w:sz w:val="17"/>
              </w:rPr>
              <w:t>pl_silver_to_gold</w:t>
            </w:r>
            <w:r>
              <w:rPr>
                <w:sz w:val="19"/>
              </w:rPr>
              <w:t>; Würzburg (5.24)</w:t>
            </w:r>
          </w:p>
        </w:tc>
      </w:tr>
      <w:tr>
        <w:trPr/>
        <w:tc>
          <w:tcPr>
            <w:tcW w:type="dxa" w:w="2512"/>
          </w:tcPr>
          <w:p>
            <w:pPr>
              <w:spacing w:after="0"/>
            </w:pPr>
            <w:r>
              <w:rPr>
                <w:sz w:val="19"/>
              </w:rPr>
              <w:t>Hinweise / Gefahren</w:t>
            </w:r>
          </w:p>
        </w:tc>
        <w:tc>
          <w:tcPr>
            <w:tcW w:type="dxa" w:w="6899"/>
          </w:tcPr>
          <w:p>
            <w:pPr>
              <w:spacing w:after="0"/>
            </w:pPr>
            <w:r>
              <w:rPr>
                <w:sz w:val="19"/>
              </w:rPr>
              <w:t>Jede Notebook-Registerkarte startet eine eigene Sitzung → vor dem nächsten Notebook Sitzung im anderen Tab beenden · Nach langem Bearbeiten ist die Sitzung abgelaufen – einfach neu ausführen · Code in Synapse nur als ganze Zeile ersetzen (Zeilenumbruch nicht mitmarkieren) · Synapse-Kopien nicht von Hand ändern, sondern Generator – Ausnahme 30.09. dokumentiert, saubere Fassung bei der Pipeline-Einrichtung neu importieren</w:t>
            </w:r>
          </w:p>
        </w:tc>
      </w:tr>
      <w:tr>
        <w:trPr/>
        <w:tc>
          <w:tcPr>
            <w:tcW w:type="dxa" w:w="2512"/>
          </w:tcPr>
          <w:p>
            <w:pPr>
              <w:spacing w:after="0"/>
            </w:pPr>
            <w:r>
              <w:rPr>
                <w:sz w:val="19"/>
              </w:rPr>
              <w:t>Fortsetzung 01.10.2026 – Data Factory ↔ Synapse</w:t>
            </w:r>
          </w:p>
        </w:tc>
        <w:tc>
          <w:tcPr>
            <w:tcW w:type="dxa" w:w="6899"/>
          </w:tcPr>
          <w:p>
            <w:pPr>
              <w:spacing w:after="0"/>
            </w:pPr>
            <w:r>
              <w:rPr>
                <w:sz w:val="19"/>
              </w:rPr>
              <w:t xml:space="preserve">1) Linked Service (verknüpfter Dienst) </w:t>
            </w:r>
            <w:r>
              <w:rPr>
                <w:rFonts w:ascii="Courier New" w:hAnsi="Courier New"/>
                <w:sz w:val="17"/>
              </w:rPr>
              <w:t>ls_synapse_beehaven</w:t>
            </w:r>
            <w:r>
              <w:rPr>
                <w:sz w:val="19"/>
              </w:rPr>
              <w:t xml:space="preserve">, Typ Azure Synapse Analytics (Artifacts), verwaltete Identität der Data Factory 2) Synapse-Zugriffssteuerung: Rollen für </w:t>
            </w:r>
            <w:r>
              <w:rPr>
                <w:rFonts w:ascii="Courier New" w:hAnsi="Courier New"/>
                <w:sz w:val="17"/>
              </w:rPr>
              <w:t>adf-beehaven-dev-gwc</w:t>
            </w:r>
            <w:r>
              <w:rPr>
                <w:sz w:val="19"/>
              </w:rPr>
              <w:t xml:space="preserve"> 3) </w:t>
            </w:r>
            <w:r>
              <w:rPr>
                <w:rFonts w:ascii="Courier New" w:hAnsi="Courier New"/>
                <w:sz w:val="17"/>
              </w:rPr>
              <w:t>pl_bronze_to_silver</w:t>
            </w:r>
            <w:r>
              <w:rPr>
                <w:sz w:val="19"/>
              </w:rPr>
              <w:t xml:space="preserve">: Notebook-Aktivität </w:t>
            </w:r>
            <w:r>
              <w:rPr>
                <w:rFonts w:ascii="Courier New" w:hAnsi="Courier New"/>
                <w:sz w:val="17"/>
              </w:rPr>
              <w:t>silver_automatisierung</w:t>
            </w:r>
            <w:r>
              <w:rPr>
                <w:sz w:val="19"/>
              </w:rPr>
              <w:t xml:space="preserve"> (</w:t>
            </w:r>
            <w:r>
              <w:rPr>
                <w:rFonts w:ascii="Courier New" w:hAnsi="Courier New"/>
                <w:sz w:val="17"/>
              </w:rPr>
              <w:t>00_steuerung_silver</w:t>
            </w:r>
            <w:r>
              <w:rPr>
                <w:sz w:val="19"/>
              </w:rPr>
              <w:t xml:space="preserve">, Pool </w:t>
            </w:r>
            <w:r>
              <w:rPr>
                <w:rFonts w:ascii="Courier New" w:hAnsi="Courier New"/>
                <w:sz w:val="17"/>
              </w:rPr>
              <w:t>sparkbeehaven</w:t>
            </w:r>
            <w:r>
              <w:rPr>
                <w:sz w:val="19"/>
              </w:rPr>
              <w:t xml:space="preserve">, Executors 2, Timeout 0.00:30:00, Wiederholen 1, Intervall 360 s) → bei Erfolg Löschen-Aktivität </w:t>
            </w:r>
            <w:r>
              <w:rPr>
                <w:rFonts w:ascii="Courier New" w:hAnsi="Courier New"/>
                <w:sz w:val="17"/>
              </w:rPr>
              <w:t>processing_leeren</w:t>
            </w:r>
            <w:r>
              <w:rPr>
                <w:sz w:val="19"/>
              </w:rPr>
              <w:t xml:space="preserve"> (</w:t>
            </w:r>
            <w:r>
              <w:rPr>
                <w:rFonts w:ascii="Courier New" w:hAnsi="Courier New"/>
                <w:sz w:val="17"/>
              </w:rPr>
              <w:t>silver/processing</w:t>
            </w:r>
            <w:r>
              <w:rPr>
                <w:sz w:val="19"/>
              </w:rPr>
              <w:t xml:space="preserve">, Platzhalter </w:t>
            </w:r>
            <w:r>
              <w:rPr>
                <w:rFonts w:ascii="Courier New" w:hAnsi="Courier New"/>
                <w:sz w:val="17"/>
              </w:rPr>
              <w:t>*.csv</w:t>
            </w:r>
            <w:r>
              <w:rPr>
                <w:sz w:val="19"/>
              </w:rPr>
              <w:t xml:space="preserve">, rekursiv) 4) Dataset </w:t>
            </w:r>
            <w:r>
              <w:rPr>
                <w:rFonts w:ascii="Courier New" w:hAnsi="Courier New"/>
                <w:sz w:val="17"/>
              </w:rPr>
              <w:t>ds_lake_konfiguration_standorte_csv</w:t>
            </w:r>
            <w:r>
              <w:rPr>
                <w:sz w:val="19"/>
              </w:rPr>
              <w:t xml:space="preserve">, Pipeline </w:t>
            </w:r>
            <w:r>
              <w:rPr>
                <w:rFonts w:ascii="Courier New" w:hAnsi="Courier New"/>
                <w:sz w:val="17"/>
              </w:rPr>
              <w:t>pl_silver_to_gold</w:t>
            </w:r>
            <w:r>
              <w:rPr>
                <w:sz w:val="19"/>
              </w:rPr>
              <w:t xml:space="preserve">: Suche </w:t>
            </w:r>
            <w:r>
              <w:rPr>
                <w:rFonts w:ascii="Courier New" w:hAnsi="Courier New"/>
                <w:sz w:val="17"/>
              </w:rPr>
              <w:t>standorte_lesen</w:t>
            </w:r>
            <w:r>
              <w:rPr>
                <w:sz w:val="19"/>
              </w:rPr>
              <w:t xml:space="preserve"> → ForEach </w:t>
            </w:r>
            <w:r>
              <w:rPr>
                <w:rFonts w:ascii="Courier New" w:hAnsi="Courier New"/>
                <w:sz w:val="17"/>
              </w:rPr>
              <w:t>foreach_stadt</w:t>
            </w:r>
            <w:r>
              <w:rPr>
                <w:sz w:val="19"/>
              </w:rPr>
              <w:t xml:space="preserve"> (sequenziell) → Notebook </w:t>
            </w:r>
            <w:r>
              <w:rPr>
                <w:rFonts w:ascii="Courier New" w:hAnsi="Courier New"/>
                <w:sz w:val="17"/>
              </w:rPr>
              <w:t>n4_gold</w:t>
            </w:r>
            <w:r>
              <w:rPr>
                <w:sz w:val="19"/>
              </w:rPr>
              <w:t xml:space="preserve"> mit Basisparameter </w:t>
            </w:r>
            <w:r>
              <w:rPr>
                <w:rFonts w:ascii="Courier New" w:hAnsi="Courier New"/>
                <w:sz w:val="17"/>
              </w:rPr>
              <w:t>STADT = @item().stadt</w:t>
            </w:r>
            <w:r>
              <w:rPr>
                <w:sz w:val="19"/>
              </w:rPr>
              <w:t xml:space="preserve"> 5) </w:t>
            </w:r>
            <w:r>
              <w:rPr>
                <w:rFonts w:ascii="Courier New" w:hAnsi="Courier New"/>
                <w:sz w:val="17"/>
              </w:rPr>
              <w:t>pl_daily_processing</w:t>
            </w:r>
            <w:r>
              <w:rPr>
                <w:sz w:val="19"/>
              </w:rPr>
              <w:t xml:space="preserve"> um Stufe </w:t>
            </w:r>
            <w:r>
              <w:rPr>
                <w:rFonts w:ascii="Courier New" w:hAnsi="Courier New"/>
                <w:sz w:val="17"/>
              </w:rPr>
              <w:t>silver_nach_gold</w:t>
            </w:r>
            <w:r>
              <w:rPr>
                <w:sz w:val="19"/>
              </w:rPr>
              <w:t xml:space="preserve"> vor </w:t>
            </w:r>
            <w:r>
              <w:rPr>
                <w:rFonts w:ascii="Courier New" w:hAnsi="Courier New"/>
                <w:sz w:val="17"/>
              </w:rPr>
              <w:t>bronze_archivieren</w:t>
            </w:r>
            <w:r>
              <w:rPr>
                <w:sz w:val="19"/>
              </w:rPr>
              <w:t xml:space="preserve"> erweitert 6) Debug-Läufe und Gesamtlauf mit Gegenprobe</w:t>
            </w:r>
          </w:p>
        </w:tc>
      </w:tr>
      <w:tr>
        <w:trPr/>
        <w:tc>
          <w:tcPr>
            <w:tcW w:type="dxa" w:w="2512"/>
          </w:tcPr>
          <w:p>
            <w:pPr>
              <w:spacing w:after="0"/>
            </w:pPr>
            <w:r>
              <w:rPr>
                <w:sz w:val="19"/>
              </w:rPr>
              <w:t>Lösungswege Rechte</w:t>
            </w:r>
          </w:p>
        </w:tc>
        <w:tc>
          <w:tcPr>
            <w:tcW w:type="dxa" w:w="6899"/>
          </w:tcPr>
          <w:p>
            <w:pPr>
              <w:spacing w:after="0"/>
            </w:pPr>
            <w:r>
              <w:rPr>
                <w:b/>
                <w:sz w:val="19"/>
              </w:rPr>
              <w:t>A</w:t>
            </w:r>
            <w:r>
              <w:rPr>
                <w:sz w:val="19"/>
              </w:rPr>
              <w:t xml:space="preserve"> drei Synapse-Rollen nach dem Prinzip der geringsten Rechte (Least Privilege): Synapse Compute Operator, Synapse Artifact User, Synapse Credential User · </w:t>
            </w:r>
            <w:r>
              <w:rPr>
                <w:b/>
                <w:sz w:val="19"/>
              </w:rPr>
              <w:t>B</w:t>
            </w:r>
            <w:r>
              <w:rPr>
                <w:sz w:val="19"/>
              </w:rPr>
              <w:t xml:space="preserve"> Synapse Administrator (Kursvorgabe, volle Rechte) · </w:t>
            </w:r>
            <w:r>
              <w:rPr>
                <w:b/>
                <w:sz w:val="19"/>
              </w:rPr>
              <w:t>C</w:t>
            </w:r>
            <w:r>
              <w:rPr>
                <w:sz w:val="19"/>
              </w:rPr>
              <w:t xml:space="preserve"> Synapse Contributor (darf Notebooks ändern)</w:t>
            </w:r>
          </w:p>
        </w:tc>
      </w:tr>
      <w:tr>
        <w:trPr/>
        <w:tc>
          <w:tcPr>
            <w:tcW w:type="dxa" w:w="2512"/>
          </w:tcPr>
          <w:p>
            <w:pPr>
              <w:spacing w:after="0"/>
            </w:pPr>
            <w:r>
              <w:rPr>
                <w:sz w:val="19"/>
              </w:rPr>
              <w:t>Entscheidung Rechte</w:t>
            </w:r>
          </w:p>
        </w:tc>
        <w:tc>
          <w:tcPr>
            <w:tcW w:type="dxa" w:w="6899"/>
          </w:tcPr>
          <w:p>
            <w:pPr>
              <w:spacing w:after="0"/>
            </w:pPr>
            <w:r>
              <w:rPr>
                <w:b/>
                <w:sz w:val="19"/>
              </w:rPr>
              <w:t>A</w:t>
            </w:r>
            <w:r>
              <w:rPr>
                <w:sz w:val="19"/>
              </w:rPr>
              <w:t xml:space="preserve"> (Anforderung Projektleitung 01.10.2026) – ein Automatik-Dienst erhält nur, was er benötigt; Prüfungsthema DP-900</w:t>
            </w:r>
          </w:p>
        </w:tc>
      </w:tr>
      <w:tr>
        <w:trPr/>
        <w:tc>
          <w:tcPr>
            <w:tcW w:type="dxa" w:w="2512"/>
          </w:tcPr>
          <w:p>
            <w:pPr>
              <w:spacing w:after="0"/>
            </w:pPr>
            <w:r>
              <w:rPr>
                <w:sz w:val="19"/>
              </w:rPr>
              <w:t>Lösungswege mehrere Städte (Gold)</w:t>
            </w:r>
          </w:p>
        </w:tc>
        <w:tc>
          <w:tcPr>
            <w:tcW w:type="dxa" w:w="6899"/>
          </w:tcPr>
          <w:p>
            <w:pPr>
              <w:spacing w:after="0"/>
            </w:pPr>
            <w:r>
              <w:rPr>
                <w:b/>
                <w:sz w:val="19"/>
              </w:rPr>
              <w:t>A</w:t>
            </w:r>
            <w:r>
              <w:rPr>
                <w:sz w:val="19"/>
              </w:rPr>
              <w:t xml:space="preserve"> Suche auf Standort-Tabelle → ForEach je Stadt → Notebook · </w:t>
            </w:r>
            <w:r>
              <w:rPr>
                <w:b/>
                <w:sz w:val="19"/>
              </w:rPr>
              <w:t>B</w:t>
            </w:r>
            <w:r>
              <w:rPr>
                <w:sz w:val="19"/>
              </w:rPr>
              <w:t xml:space="preserve"> Stadt fest im Parameter · </w:t>
            </w:r>
            <w:r>
              <w:rPr>
                <w:b/>
                <w:sz w:val="19"/>
              </w:rPr>
              <w:t>C</w:t>
            </w:r>
            <w:r>
              <w:rPr>
                <w:sz w:val="19"/>
              </w:rPr>
              <w:t xml:space="preserve"> Gold-Steuer-Notebook mit </w:t>
            </w:r>
            <w:r>
              <w:rPr>
                <w:rFonts w:ascii="Courier New" w:hAnsi="Courier New"/>
                <w:sz w:val="17"/>
              </w:rPr>
              <w:t>runMultiple</w:t>
            </w:r>
            <w:r>
              <w:rPr>
                <w:sz w:val="19"/>
              </w:rPr>
              <w:t xml:space="preserve"> (eine Sitzung für alle Städte)</w:t>
            </w:r>
          </w:p>
        </w:tc>
      </w:tr>
      <w:tr>
        <w:trPr/>
        <w:tc>
          <w:tcPr>
            <w:tcW w:type="dxa" w:w="2512"/>
          </w:tcPr>
          <w:p>
            <w:pPr>
              <w:spacing w:after="0"/>
            </w:pPr>
            <w:r>
              <w:rPr>
                <w:sz w:val="19"/>
              </w:rPr>
              <w:t>Entscheidung mehrere Städte</w:t>
            </w:r>
          </w:p>
        </w:tc>
        <w:tc>
          <w:tcPr>
            <w:tcW w:type="dxa" w:w="6899"/>
          </w:tcPr>
          <w:p>
            <w:pPr>
              <w:spacing w:after="0"/>
            </w:pPr>
            <w:r>
              <w:rPr>
                <w:b/>
                <w:sz w:val="19"/>
              </w:rPr>
              <w:t>A</w:t>
            </w:r>
            <w:r>
              <w:rPr>
                <w:sz w:val="19"/>
              </w:rPr>
              <w:t xml:space="preserve"> – neue Stadt = neue Zeile in </w:t>
            </w:r>
            <w:r>
              <w:rPr>
                <w:rFonts w:ascii="Courier New" w:hAnsi="Courier New"/>
                <w:sz w:val="17"/>
              </w:rPr>
              <w:t>standorte.csv</w:t>
            </w:r>
            <w:r>
              <w:rPr>
                <w:sz w:val="19"/>
              </w:rPr>
              <w:t xml:space="preserve">, ohne Pipeline-Umbau; </w:t>
            </w:r>
            <w:r>
              <w:rPr>
                <w:b/>
                <w:sz w:val="19"/>
              </w:rPr>
              <w:t>C</w:t>
            </w:r>
            <w:r>
              <w:rPr>
                <w:sz w:val="19"/>
              </w:rPr>
              <w:t xml:space="preserve"> als Ausbaustufe ab ca. drei Städten (YAGNI, „You Aren't Gonna Need It“ – erst bauen, wenn nötig)</w:t>
            </w:r>
          </w:p>
        </w:tc>
      </w:tr>
      <w:tr>
        <w:trPr/>
        <w:tc>
          <w:tcPr>
            <w:tcW w:type="dxa" w:w="2512"/>
          </w:tcPr>
          <w:p>
            <w:pPr>
              <w:spacing w:after="0"/>
            </w:pPr>
            <w:r>
              <w:rPr>
                <w:sz w:val="19"/>
              </w:rPr>
              <w:t>Ergebnis 01.10.2026</w:t>
            </w:r>
          </w:p>
        </w:tc>
        <w:tc>
          <w:tcPr>
            <w:tcW w:type="dxa" w:w="6899"/>
          </w:tcPr>
          <w:p>
            <w:pPr>
              <w:spacing w:after="0"/>
            </w:pPr>
            <w:r>
              <w:rPr>
                <w:sz w:val="19"/>
              </w:rPr>
              <w:t xml:space="preserve">Debug </w:t>
            </w:r>
            <w:r>
              <w:rPr>
                <w:rFonts w:ascii="Courier New" w:hAnsi="Courier New"/>
                <w:sz w:val="17"/>
              </w:rPr>
              <w:t>pl_bronze_to_silver</w:t>
            </w:r>
            <w:r>
              <w:rPr>
                <w:sz w:val="19"/>
              </w:rPr>
              <w:t xml:space="preserve"> 4 Min. 24 s · Erfolgspfad nach einem Fehlversuch bestanden (Löschen meldete „Erfolgreich“ ohne Treffer – Platzhalter nicht gespeichert, Präfix </w:t>
            </w:r>
            <w:r>
              <w:rPr>
                <w:rFonts w:ascii="Courier New" w:hAnsi="Courier New"/>
                <w:sz w:val="17"/>
              </w:rPr>
              <w:t>silver/</w:t>
            </w:r>
            <w:r>
              <w:rPr>
                <w:sz w:val="19"/>
              </w:rPr>
              <w:t xml:space="preserve"> doppelt) · </w:t>
            </w:r>
            <w:r>
              <w:rPr>
                <w:rFonts w:ascii="Courier New" w:hAnsi="Courier New"/>
                <w:sz w:val="17"/>
              </w:rPr>
              <w:t>pl_silver_to_gold</w:t>
            </w:r>
            <w:r>
              <w:rPr>
                <w:sz w:val="19"/>
              </w:rPr>
              <w:t xml:space="preserve"> 3 Min. 24 s · </w:t>
            </w:r>
            <w:r>
              <w:rPr>
                <w:b/>
                <w:sz w:val="19"/>
              </w:rPr>
              <w:t>Gesamtlauf `pl_daily_processing` ca. 9 Min.</w:t>
            </w:r>
            <w:r>
              <w:rPr>
                <w:sz w:val="19"/>
              </w:rPr>
              <w:t xml:space="preserve"> (27 s / 6 Min. 2 s / 1 Min. 43 s / 38 s) · Gegenprobe aller Stufen bestanden: </w:t>
            </w:r>
            <w:r>
              <w:rPr>
                <w:rFonts w:ascii="Courier New" w:hAnsi="Courier New"/>
                <w:sz w:val="17"/>
              </w:rPr>
              <w:t>bronze/new</w:t>
            </w:r>
            <w:r>
              <w:rPr>
                <w:sz w:val="19"/>
              </w:rPr>
              <w:t xml:space="preserve"> leer, Rohdatei mit UTC-Stempel im Archiv, </w:t>
            </w:r>
            <w:r>
              <w:rPr>
                <w:rFonts w:ascii="Courier New" w:hAnsi="Courier New"/>
                <w:sz w:val="17"/>
              </w:rPr>
              <w:t>silver/processing</w:t>
            </w:r>
            <w:r>
              <w:rPr>
                <w:sz w:val="19"/>
              </w:rPr>
              <w:t xml:space="preserve"> leer, </w:t>
            </w:r>
            <w:r>
              <w:rPr>
                <w:rFonts w:ascii="Courier New" w:hAnsi="Courier New"/>
                <w:sz w:val="17"/>
              </w:rPr>
              <w:t>silver/cleaned</w:t>
            </w:r>
            <w:r>
              <w:rPr>
                <w:sz w:val="19"/>
              </w:rPr>
              <w:t xml:space="preserve"> neu (flow 15,55 MiB), Gold identisch (953,25 KiB / 46,51 KiB), Vorgänger in </w:t>
            </w:r>
            <w:r>
              <w:rPr>
                <w:rFonts w:ascii="Courier New" w:hAnsi="Courier New"/>
                <w:sz w:val="17"/>
              </w:rPr>
              <w:t>_archiv</w:t>
            </w:r>
            <w:r>
              <w:rPr>
                <w:sz w:val="19"/>
              </w:rPr>
              <w:t xml:space="preserve"> · Protokoll Datenläufe Nr. 14–20, Freigaben (Veröffentlichung)</w:t>
            </w:r>
          </w:p>
        </w:tc>
      </w:tr>
      <w:tr>
        <w:trPr/>
        <w:tc>
          <w:tcPr>
            <w:tcW w:type="dxa" w:w="2512"/>
          </w:tcPr>
          <w:p>
            <w:pPr>
              <w:spacing w:after="0"/>
            </w:pPr>
            <w:r>
              <w:rPr>
                <w:sz w:val="19"/>
              </w:rPr>
              <w:t>Klärung (Stand Abschluss)</w:t>
            </w:r>
          </w:p>
        </w:tc>
        <w:tc>
          <w:tcPr>
            <w:tcW w:type="dxa" w:w="6899"/>
          </w:tcPr>
          <w:p>
            <w:pPr>
              <w:spacing w:after="0"/>
            </w:pPr>
            <w:r>
              <w:rPr>
                <w:sz w:val="19"/>
              </w:rPr>
              <w:t>keine zur Anbindung; Rückgabewert des Steuer-Notebooks (</w:t>
            </w:r>
            <w:r>
              <w:rPr>
                <w:rFonts w:ascii="Courier New" w:hAnsi="Courier New"/>
                <w:sz w:val="17"/>
              </w:rPr>
              <w:t>mssparkutils.notebook.exit</w:t>
            </w:r>
            <w:r>
              <w:rPr>
                <w:sz w:val="19"/>
              </w:rPr>
              <w:t xml:space="preserve">) als Verbesserung vorgemerkt → </w:t>
            </w:r>
            <w:r>
              <w:rPr>
                <w:b/>
                <w:sz w:val="19"/>
              </w:rPr>
              <w:t>Stand 05.10.2026:</w:t>
            </w:r>
            <w:r>
              <w:rPr>
                <w:sz w:val="19"/>
              </w:rPr>
              <w:t xml:space="preserve"> Folgeprojekt FP-1</w:t>
            </w:r>
          </w:p>
        </w:tc>
      </w:tr>
      <w:tr>
        <w:trPr/>
        <w:tc>
          <w:tcPr>
            <w:tcW w:type="dxa" w:w="2512"/>
          </w:tcPr>
          <w:p>
            <w:pPr>
              <w:spacing w:after="0"/>
            </w:pPr>
            <w:r>
              <w:rPr>
                <w:sz w:val="19"/>
              </w:rPr>
              <w:t>Für Agenten / ML</w:t>
            </w:r>
          </w:p>
        </w:tc>
        <w:tc>
          <w:tcPr>
            <w:tcW w:type="dxa" w:w="6899"/>
          </w:tcPr>
          <w:p>
            <w:pPr>
              <w:spacing w:after="0"/>
            </w:pPr>
            <w:r>
              <w:rPr>
                <w:sz w:val="19"/>
              </w:rPr>
              <w:t>Gold-Tabelle = Datenbasis für Dashboard und Modelle · Fehler zuerst im Snapshot des Teil-Notebooks suchen (Link „Notebookausführung anzeigen“), letzte Zeile der Meldung zählt</w:t>
            </w:r>
          </w:p>
        </w:tc>
      </w:tr>
      <w:tr>
        <w:trPr/>
        <w:tc>
          <w:tcPr>
            <w:tcW w:type="dxa" w:w="2512"/>
          </w:tcPr>
          <w:p>
            <w:pPr>
              <w:spacing w:after="0"/>
            </w:pPr>
            <w:r>
              <w:rPr>
                <w:sz w:val="19"/>
              </w:rPr>
              <w:t>Verweise</w:t>
            </w:r>
          </w:p>
        </w:tc>
        <w:tc>
          <w:tcPr>
            <w:tcW w:type="dxa" w:w="6899"/>
          </w:tcPr>
          <w:p>
            <w:pPr>
              <w:spacing w:after="0"/>
            </w:pPr>
            <w:r>
              <w:rPr>
                <w:sz w:val="19"/>
              </w:rPr>
              <w:t>Projektplan M5 Schritt 5.9 · Schritt 3.9, 4.1, 5.2, Kap. 8.6 · Protokoll Datenläufe Nr. 10–13 · AN-ITS-001 Phase 3</w:t>
            </w:r>
          </w:p>
        </w:tc>
      </w:tr>
      <w:tr>
        <w:trPr/>
        <w:tc>
          <w:tcPr>
            <w:tcW w:type="dxa" w:w="2512"/>
          </w:tcPr>
          <w:p>
            <w:pPr>
              <w:spacing w:after="0"/>
            </w:pPr>
            <w:r>
              <w:rPr>
                <w:sz w:val="19"/>
              </w:rPr>
              <w:t>Einfach erklärt</w:t>
            </w:r>
          </w:p>
        </w:tc>
        <w:tc>
          <w:tcPr>
            <w:tcW w:type="dxa" w:w="6899"/>
          </w:tcPr>
          <w:p>
            <w:pPr>
              <w:spacing w:after="0"/>
            </w:pPr>
            <w:r>
              <w:rPr>
                <w:sz w:val="19"/>
              </w:rPr>
              <w:t>Wie ein Umzug in eine neue Küche: Die Rezepte (Notebooks) bleiben gleich, aber ein Gerät (das Speichern als Parquet) passte nicht in die neue Steckdose – ein Adapter (eine Zeile Code) löst es.</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5.9a – Zweiter Standort Würzburg, Standortregeln aus der Konfiguration (erreicht 02.10.2026, lokal und in Azure)</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Gilt „neue Stadt = neue Zeile“ auch für die Notebooks? Kursaufgabe „New Data Drop“ (06.10.2026) mit Würzburg</w:t>
            </w:r>
          </w:p>
        </w:tc>
      </w:tr>
      <w:tr>
        <w:trPr/>
        <w:tc>
          <w:tcPr>
            <w:tcW w:type="dxa" w:w="2512"/>
          </w:tcPr>
          <w:p>
            <w:pPr>
              <w:spacing w:after="0"/>
            </w:pPr>
            <w:r>
              <w:rPr>
                <w:sz w:val="19"/>
              </w:rPr>
              <w:t>Eigene Erwartung</w:t>
            </w:r>
          </w:p>
        </w:tc>
        <w:tc>
          <w:tcPr>
            <w:tcW w:type="dxa" w:w="6899"/>
          </w:tcPr>
          <w:p>
            <w:pPr>
              <w:spacing w:after="0"/>
            </w:pPr>
            <w:r>
              <w:rPr>
                <w:sz w:val="19"/>
              </w:rPr>
              <w:t xml:space="preserve">Pipeline unverändert; Notebooks laufen mit </w:t>
            </w:r>
            <w:r>
              <w:rPr>
                <w:rFonts w:ascii="Courier New" w:hAnsi="Courier New"/>
                <w:sz w:val="17"/>
              </w:rPr>
              <w:t>STADT = "wurzburg"</w:t>
            </w:r>
          </w:p>
        </w:tc>
      </w:tr>
      <w:tr>
        <w:trPr/>
        <w:tc>
          <w:tcPr>
            <w:tcW w:type="dxa" w:w="2512"/>
          </w:tcPr>
          <w:p>
            <w:pPr>
              <w:spacing w:after="0"/>
            </w:pPr>
            <w:r>
              <w:rPr>
                <w:sz w:val="19"/>
              </w:rPr>
              <w:t>Erwartung laut Recherche</w:t>
            </w:r>
          </w:p>
        </w:tc>
        <w:tc>
          <w:tcPr>
            <w:tcW w:type="dxa" w:w="6899"/>
          </w:tcPr>
          <w:p>
            <w:pPr>
              <w:spacing w:after="0"/>
            </w:pPr>
            <w:r>
              <w:rPr>
                <w:sz w:val="19"/>
              </w:rPr>
              <w:t>HOBOS-Bienenstation Universität Würzburg, Campus Hubland (Koordinaten ca. ±500 m); Wetterstation Würzburg 1,5 km</w:t>
            </w:r>
          </w:p>
        </w:tc>
      </w:tr>
      <w:tr>
        <w:trPr/>
        <w:tc>
          <w:tcPr>
            <w:tcW w:type="dxa" w:w="2512"/>
          </w:tcPr>
          <w:p>
            <w:pPr>
              <w:spacing w:after="0"/>
            </w:pPr>
            <w:r>
              <w:rPr>
                <w:sz w:val="19"/>
              </w:rPr>
              <w:t>Zwischenschritte</w:t>
            </w:r>
          </w:p>
        </w:tc>
        <w:tc>
          <w:tcPr>
            <w:tcW w:type="dxa" w:w="6899"/>
          </w:tcPr>
          <w:p>
            <w:pPr>
              <w:spacing w:after="0"/>
            </w:pPr>
            <w:r>
              <w:rPr>
                <w:sz w:val="19"/>
              </w:rPr>
              <w:t xml:space="preserve">1) Kursfassung </w:t>
            </w:r>
            <w:r>
              <w:rPr>
                <w:rFonts w:ascii="Courier New" w:hAnsi="Courier New"/>
                <w:sz w:val="17"/>
              </w:rPr>
              <w:t>data_2022.zip</w:t>
            </w:r>
            <w:r>
              <w:rPr>
                <w:sz w:val="19"/>
              </w:rPr>
              <w:t xml:space="preserve"> mit vorhandener Kaggle-Fassung verglichen (Prüfsummen) 2) Würzburg in </w:t>
            </w:r>
            <w:r>
              <w:rPr>
                <w:rFonts w:ascii="Courier New" w:hAnsi="Courier New"/>
                <w:sz w:val="17"/>
              </w:rPr>
              <w:t>standorte.csv</w:t>
            </w:r>
            <w:r>
              <w:rPr>
                <w:sz w:val="19"/>
              </w:rPr>
              <w:t xml:space="preserve"> 3) Würzburg-Fassungen N1–N5 lokal erzeugt und ausgeführt 4) Befunde 5) Standortregeln in Konfiguration 6) Schwartau zur Kontrolle neu gerechnet 7) Würzburg neu gerechnet 8) Synapse-Notebooks neu erzeugt</w:t>
            </w:r>
          </w:p>
        </w:tc>
      </w:tr>
      <w:tr>
        <w:trPr/>
        <w:tc>
          <w:tcPr>
            <w:tcW w:type="dxa" w:w="2512"/>
          </w:tcPr>
          <w:p>
            <w:pPr>
              <w:spacing w:after="0"/>
            </w:pPr>
            <w:r>
              <w:rPr>
                <w:sz w:val="19"/>
              </w:rPr>
              <w:t>Zwischenergebnis</w:t>
            </w:r>
          </w:p>
        </w:tc>
        <w:tc>
          <w:tcPr>
            <w:tcW w:type="dxa" w:w="6899"/>
          </w:tcPr>
          <w:p>
            <w:pPr>
              <w:spacing w:after="0"/>
            </w:pPr>
            <w:r>
              <w:rPr>
                <w:sz w:val="19"/>
              </w:rPr>
              <w:t xml:space="preserve">humidity/weight/temperature identisch mit Kaggle; </w:t>
            </w:r>
            <w:r>
              <w:rPr>
                <w:b/>
                <w:sz w:val="19"/>
              </w:rPr>
              <w:t>flow (Kurs) ohne Stunde 00:00–00:59 ab 02.01.2019</w:t>
            </w:r>
            <w:r>
              <w:rPr>
                <w:sz w:val="19"/>
              </w:rPr>
              <w:t xml:space="preserve"> (8.100 Minuten). Erster Lauf: </w:t>
            </w:r>
            <w:r>
              <w:rPr>
                <w:b/>
                <w:sz w:val="19"/>
              </w:rPr>
              <w:t>Gewicht zu 100 % ungültig</w:t>
            </w:r>
            <w:r>
              <w:rPr>
                <w:sz w:val="19"/>
              </w:rPr>
              <w:t xml:space="preserve"> (Würzburg in kg, Schwartau in g; Regel rechnete in g) · Zeitraum E5 (Schwartau) wurde auf Würzburg angewendet · </w:t>
            </w:r>
            <w:r>
              <w:rPr>
                <w:b/>
                <w:sz w:val="19"/>
              </w:rPr>
              <w:t>−227 °C</w:t>
            </w:r>
            <w:r>
              <w:rPr>
                <w:sz w:val="19"/>
              </w:rPr>
              <w:t xml:space="preserve"> galt als gültig · Honig-Auswertung H1 leer (Gewicht minütlich statt 00:00/12:00 UTC)</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Regeln je Standort in Konfigurationstabellen · </w:t>
            </w:r>
            <w:r>
              <w:rPr>
                <w:b/>
                <w:sz w:val="19"/>
              </w:rPr>
              <w:t>B</w:t>
            </w:r>
            <w:r>
              <w:rPr>
                <w:sz w:val="19"/>
              </w:rPr>
              <w:t xml:space="preserve"> Sonderfälle im Code (</w:t>
            </w:r>
            <w:r>
              <w:rPr>
                <w:rFonts w:ascii="Courier New" w:hAnsi="Courier New"/>
                <w:sz w:val="17"/>
              </w:rPr>
              <w:t>if STADT == …</w:t>
            </w:r>
            <w:r>
              <w:rPr>
                <w:sz w:val="19"/>
              </w:rPr>
              <w:t xml:space="preserve">) · </w:t>
            </w:r>
            <w:r>
              <w:rPr>
                <w:b/>
                <w:sz w:val="19"/>
              </w:rPr>
              <w:t>C</w:t>
            </w:r>
            <w:r>
              <w:rPr>
                <w:sz w:val="19"/>
              </w:rPr>
              <w:t xml:space="preserve"> Daten vorab von Hand angleichen</w:t>
            </w:r>
          </w:p>
        </w:tc>
      </w:tr>
      <w:tr>
        <w:trPr/>
        <w:tc>
          <w:tcPr>
            <w:tcW w:type="dxa" w:w="2512"/>
          </w:tcPr>
          <w:p>
            <w:pPr>
              <w:spacing w:after="0"/>
            </w:pPr>
            <w:r>
              <w:rPr>
                <w:sz w:val="19"/>
              </w:rPr>
              <w:t>Entscheidung + Begründung</w:t>
            </w:r>
          </w:p>
        </w:tc>
        <w:tc>
          <w:tcPr>
            <w:tcW w:type="dxa" w:w="6899"/>
          </w:tcPr>
          <w:p>
            <w:pPr>
              <w:spacing w:after="0"/>
            </w:pPr>
            <w:r>
              <w:rPr>
                <w:b/>
                <w:sz w:val="19"/>
              </w:rPr>
              <w:t>A</w:t>
            </w:r>
            <w:r>
              <w:rPr>
                <w:sz w:val="19"/>
              </w:rPr>
              <w:t xml:space="preserve"> (Anforderung Projektleitung 01.10.2026): </w:t>
            </w:r>
            <w:r>
              <w:rPr>
                <w:rFonts w:ascii="Courier New" w:hAnsi="Courier New"/>
                <w:sz w:val="17"/>
              </w:rPr>
              <w:t>lakehouse/konfiguration/sensoren.csv</w:t>
            </w:r>
            <w:r>
              <w:rPr>
                <w:sz w:val="19"/>
              </w:rPr>
              <w:t xml:space="preserve"> (stadt, sensor, einheit_roh, min, max) und </w:t>
            </w:r>
            <w:r>
              <w:rPr>
                <w:rFonts w:ascii="Courier New" w:hAnsi="Courier New"/>
                <w:sz w:val="17"/>
              </w:rPr>
              <w:t>ausschluesse.csv</w:t>
            </w:r>
            <w:r>
              <w:rPr>
                <w:sz w:val="19"/>
              </w:rPr>
              <w:t xml:space="preserve"> (stadt, sensor, von_utc, bis_utc, grund); N1 rechnet Gewicht einheitlich in Gramm um; N2 liest Grenzen und Ausfallzeiträume; Temperatur gültig −40 … 60 °C; N5 (F1, H1) datengesteuert; Kursfassung von flow verwendet (Kaggle-Fassung im </w:t>
            </w:r>
            <w:r>
              <w:rPr>
                <w:rFonts w:ascii="Courier New" w:hAnsi="Courier New"/>
                <w:sz w:val="17"/>
              </w:rPr>
              <w:t>_archiv</w:t>
            </w:r>
            <w:r>
              <w:rPr>
                <w:sz w:val="19"/>
              </w:rPr>
              <w:t>)</w:t>
            </w:r>
          </w:p>
        </w:tc>
      </w:tr>
      <w:tr>
        <w:trPr/>
        <w:tc>
          <w:tcPr>
            <w:tcW w:type="dxa" w:w="2512"/>
          </w:tcPr>
          <w:p>
            <w:pPr>
              <w:spacing w:after="0"/>
            </w:pPr>
            <w:r>
              <w:rPr>
                <w:sz w:val="19"/>
              </w:rPr>
              <w:t>Endergebnis</w:t>
            </w:r>
          </w:p>
        </w:tc>
        <w:tc>
          <w:tcPr>
            <w:tcW w:type="dxa" w:w="6899"/>
          </w:tcPr>
          <w:p>
            <w:pPr>
              <w:spacing w:after="0"/>
            </w:pPr>
            <w:r>
              <w:rPr>
                <w:b/>
                <w:sz w:val="19"/>
              </w:rPr>
              <w:t>Schwartau identisch</w:t>
            </w:r>
            <w:r>
              <w:rPr>
                <w:sz w:val="19"/>
              </w:rPr>
              <w:t xml:space="preserve"> (Gold auf das Byte gleich, H1-Kennzahlen gleich) · </w:t>
            </w:r>
            <w:r>
              <w:rPr>
                <w:b/>
                <w:sz w:val="19"/>
              </w:rPr>
              <w:t>Würzburg N1–N5 fehlerfrei</w:t>
            </w:r>
            <w:r>
              <w:rPr>
                <w:sz w:val="19"/>
              </w:rPr>
              <w:t xml:space="preserve">: Gewicht 1.015.006 gültige Werte, Tagesminimum −10 °C, 249 auswertbare Saisontage · Vergleich (vorläufig): Gewicht Median 60 kg vs. 53,7 kg, Honig je Einflug 6,3 vs. 7,8 mg, Verbrauch ohne Flug 259 vs. 156 g/Tag, Gewinnschwelle 41.500 vs. 20.000 Einflüge/Tag → Würzburg kleineres Volk · Ergebnisse </w:t>
            </w:r>
            <w:r>
              <w:rPr>
                <w:rFonts w:ascii="Courier New" w:hAnsi="Courier New"/>
                <w:sz w:val="17"/>
              </w:rPr>
              <w:t>03_notebooks_ITS-Data/wurzburg/README.md</w:t>
            </w:r>
            <w:r>
              <w:rPr>
                <w:sz w:val="19"/>
              </w:rPr>
              <w:t xml:space="preserve">, Bilder </w:t>
            </w:r>
            <w:r>
              <w:rPr>
                <w:rFonts w:ascii="Courier New" w:hAnsi="Courier New"/>
                <w:sz w:val="17"/>
              </w:rPr>
              <w:t>04_images/wurzburg/</w:t>
            </w:r>
          </w:p>
        </w:tc>
      </w:tr>
      <w:tr>
        <w:trPr/>
        <w:tc>
          <w:tcPr>
            <w:tcW w:type="dxa" w:w="2512"/>
          </w:tcPr>
          <w:p>
            <w:pPr>
              <w:spacing w:after="0"/>
            </w:pPr>
            <w:r>
              <w:rPr>
                <w:sz w:val="19"/>
              </w:rPr>
              <w:t>Hinweise / Gefahren</w:t>
            </w:r>
          </w:p>
        </w:tc>
        <w:tc>
          <w:tcPr>
            <w:tcW w:type="dxa" w:w="6899"/>
          </w:tcPr>
          <w:p>
            <w:pPr>
              <w:spacing w:after="0"/>
            </w:pPr>
            <w:r>
              <w:rPr>
                <w:sz w:val="19"/>
              </w:rPr>
              <w:t>Würzburg: Datenlücke Mai–Okt. 2018 (146 Tage), leere Waage Jan. 2019 (wird durch &lt; 20 kg erfasst), keine deutliche Ernte erkennbar · Einheiten immer in der Konfiguration angeben</w:t>
            </w:r>
          </w:p>
        </w:tc>
      </w:tr>
      <w:tr>
        <w:trPr/>
        <w:tc>
          <w:tcPr>
            <w:tcW w:type="dxa" w:w="2512"/>
          </w:tcPr>
          <w:p>
            <w:pPr>
              <w:spacing w:after="0"/>
            </w:pPr>
            <w:r>
              <w:rPr>
                <w:sz w:val="19"/>
              </w:rPr>
              <w:t>Ergebnis in Azure (02.10.2026)</w:t>
            </w:r>
          </w:p>
        </w:tc>
        <w:tc>
          <w:tcPr>
            <w:tcW w:type="dxa" w:w="6899"/>
          </w:tcPr>
          <w:p>
            <w:pPr>
              <w:spacing w:after="0"/>
            </w:pPr>
            <w:r>
              <w:rPr>
                <w:sz w:val="19"/>
              </w:rPr>
              <w:t xml:space="preserve">Konfiguration hochgeladen (113 / 506 / 289 Byte, wie lokal) · Synapse 01–04 neu importiert (Stolpersteine: zuerst die lokalen statt der </w:t>
            </w:r>
            <w:r>
              <w:rPr>
                <w:rFonts w:ascii="Courier New" w:hAnsi="Courier New"/>
                <w:sz w:val="17"/>
              </w:rPr>
              <w:t>synapse/</w:t>
            </w:r>
            <w:r>
              <w:rPr>
                <w:sz w:val="19"/>
              </w:rPr>
              <w:t xml:space="preserve">-Fassungen gewählt → gelöscht; „Ersetzen“ griff beim Mehrfach-Import nicht → einzeln importiert, Inhalt stichprobenartig geprüft) · Würzburg-Rohdaten nach </w:t>
            </w:r>
            <w:r>
              <w:rPr>
                <w:rFonts w:ascii="Courier New" w:hAnsi="Courier New"/>
                <w:sz w:val="17"/>
              </w:rPr>
              <w:t>mabeehavenraw/source-data</w:t>
            </w:r>
            <w:r>
              <w:rPr>
                <w:sz w:val="19"/>
              </w:rPr>
              <w:t xml:space="preserve"> · </w:t>
            </w:r>
            <w:r>
              <w:rPr>
                <w:b/>
                <w:sz w:val="19"/>
              </w:rPr>
              <w:t>Gesamtlauf beider Städte</w:t>
            </w:r>
            <w:r>
              <w:rPr>
                <w:sz w:val="19"/>
              </w:rPr>
              <w:t xml:space="preserve"> 23 s / 8 Min. 9 s / 3 Min. 43 s / 56 s · Gegenprobe </w:t>
            </w:r>
            <w:r>
              <w:rPr>
                <w:rFonts w:ascii="Courier New" w:hAnsi="Courier New"/>
                <w:sz w:val="17"/>
              </w:rPr>
              <w:t>gold/wurzburg</w:t>
            </w:r>
            <w:r>
              <w:rPr>
                <w:sz w:val="19"/>
              </w:rPr>
              <w:t>: CSV identisch mit lokal (3,48 MiB / 66,33 KiB), Parquet ±0,5 % (andere pyarrow-Version in Synapse, Inhalt gleich) → Gegenprobe künftig über die CSV-Größe</w:t>
            </w:r>
          </w:p>
        </w:tc>
      </w:tr>
      <w:tr>
        <w:trPr/>
        <w:tc>
          <w:tcPr>
            <w:tcW w:type="dxa" w:w="2512"/>
          </w:tcPr>
          <w:p>
            <w:pPr>
              <w:spacing w:after="0"/>
            </w:pPr>
            <w:r>
              <w:rPr>
                <w:sz w:val="19"/>
              </w:rPr>
              <w:t xml:space="preserve">Honigproduktion (Notebook </w:t>
            </w:r>
            <w:r>
              <w:rPr>
                <w:rFonts w:ascii="Courier New" w:hAnsi="Courier New"/>
                <w:sz w:val="17"/>
              </w:rPr>
              <w:t>06_vergleich_standorte</w:t>
            </w:r>
            <w:r>
              <w:rPr>
                <w:sz w:val="19"/>
              </w:rPr>
              <w:t>)</w:t>
            </w:r>
          </w:p>
        </w:tc>
        <w:tc>
          <w:tcPr>
            <w:tcW w:type="dxa" w:w="6899"/>
          </w:tcPr>
          <w:p>
            <w:pPr>
              <w:spacing w:after="0"/>
            </w:pPr>
            <w:r>
              <w:rPr>
                <w:sz w:val="19"/>
              </w:rPr>
              <w:t xml:space="preserve">Saison 1.4.–30.9.; Ernte = ≥ 3 kg Verlust in 2 Tagen; Saisonertrag = Nettozunahme + Ernte nach Höchststand (Untergrenze); nur 2017 vergleichbar (Abdeckung ≥ 80 %): </w:t>
            </w:r>
            <w:r>
              <w:rPr>
                <w:b/>
                <w:sz w:val="19"/>
              </w:rPr>
              <w:t>Schwartau ca. 74 kg</w:t>
            </w:r>
            <w:r>
              <w:rPr>
                <w:sz w:val="19"/>
              </w:rPr>
              <w:t xml:space="preserve"> (+41,9 kg, Ernte −32,1 kg am 24.07.), </w:t>
            </w:r>
            <w:r>
              <w:rPr>
                <w:b/>
                <w:sz w:val="19"/>
              </w:rPr>
              <w:t>Würzburg ca. 24 kg</w:t>
            </w:r>
            <w:r>
              <w:rPr>
                <w:sz w:val="19"/>
              </w:rPr>
              <w:t xml:space="preserve"> (+19,1 kg, −4,6 kg am 29.08., eher Eingriff) · Grafik </w:t>
            </w:r>
            <w:r>
              <w:rPr>
                <w:rFonts w:ascii="Courier New" w:hAnsi="Courier New"/>
                <w:sz w:val="17"/>
              </w:rPr>
              <w:t>04_images/v1_honig_saison.png</w:t>
            </w:r>
            <w:r>
              <w:rPr>
                <w:sz w:val="19"/>
              </w:rPr>
              <w:t xml:space="preserve">, Tabelle </w:t>
            </w:r>
            <w:r>
              <w:rPr>
                <w:rFonts w:ascii="Courier New" w:hAnsi="Courier New"/>
                <w:sz w:val="17"/>
              </w:rPr>
              <w:t>gold/vergleich/honig_saison.csv</w:t>
            </w:r>
          </w:p>
        </w:tc>
      </w:tr>
      <w:tr>
        <w:trPr/>
        <w:tc>
          <w:tcPr>
            <w:tcW w:type="dxa" w:w="2512"/>
          </w:tcPr>
          <w:p>
            <w:pPr>
              <w:spacing w:after="0"/>
            </w:pPr>
            <w:r>
              <w:rPr>
                <w:sz w:val="19"/>
              </w:rPr>
              <w:t>Klärung (Stand Abschluss)</w:t>
            </w:r>
          </w:p>
        </w:tc>
        <w:tc>
          <w:tcPr>
            <w:tcW w:type="dxa" w:w="6899"/>
          </w:tcPr>
          <w:p>
            <w:pPr>
              <w:spacing w:after="0"/>
            </w:pPr>
            <w:r>
              <w:rPr>
                <w:sz w:val="19"/>
              </w:rPr>
              <w:t xml:space="preserve">Annahmen der Ernte-Erkennung durch eine Imkerei bestätigen lassen; Würzburg-Ergebnistexte in den Notebooks → </w:t>
            </w:r>
            <w:r>
              <w:rPr>
                <w:b/>
                <w:sz w:val="19"/>
              </w:rPr>
              <w:t>Stand 05.10.2026:</w:t>
            </w:r>
            <w:r>
              <w:rPr>
                <w:sz w:val="19"/>
              </w:rPr>
              <w:t xml:space="preserve"> Ergebnistexte erledigt 05.10. (neutral für alle Standorte); Ernte-Erkennung → Folgeprojekt FP-2 (mit einer Imkerei bestätigen)</w:t>
            </w:r>
          </w:p>
        </w:tc>
      </w:tr>
      <w:tr>
        <w:trPr/>
        <w:tc>
          <w:tcPr>
            <w:tcW w:type="dxa" w:w="2512"/>
          </w:tcPr>
          <w:p>
            <w:pPr>
              <w:spacing w:after="0"/>
            </w:pPr>
            <w:r>
              <w:rPr>
                <w:sz w:val="19"/>
              </w:rPr>
              <w:t>Für Agenten / ML</w:t>
            </w:r>
          </w:p>
        </w:tc>
        <w:tc>
          <w:tcPr>
            <w:tcW w:type="dxa" w:w="6899"/>
          </w:tcPr>
          <w:p>
            <w:pPr>
              <w:spacing w:after="0"/>
            </w:pPr>
            <w:r>
              <w:rPr>
                <w:sz w:val="19"/>
              </w:rPr>
              <w:t>Standortregeln gehören in Stammdaten-/Konfigurationstabellen, nicht in Code; jede neue Datenquelle zuerst mit den Prüffragen (WB-ITS-002 Abschnitt 5) untersuchen</w:t>
            </w:r>
          </w:p>
        </w:tc>
      </w:tr>
      <w:tr>
        <w:trPr/>
        <w:tc>
          <w:tcPr>
            <w:tcW w:type="dxa" w:w="2512"/>
          </w:tcPr>
          <w:p>
            <w:pPr>
              <w:spacing w:after="0"/>
            </w:pPr>
            <w:r>
              <w:rPr>
                <w:sz w:val="19"/>
              </w:rPr>
              <w:t>Verweise</w:t>
            </w:r>
          </w:p>
        </w:tc>
        <w:tc>
          <w:tcPr>
            <w:tcW w:type="dxa" w:w="6899"/>
          </w:tcPr>
          <w:p>
            <w:pPr>
              <w:spacing w:after="0"/>
            </w:pPr>
            <w:r>
              <w:rPr>
                <w:sz w:val="19"/>
              </w:rPr>
              <w:t xml:space="preserve">Schritt 5.9, Kap. 8.2, 8.6, 8.7 · Protokoll Dateivorgänge (Kursfassung), </w:t>
            </w:r>
            <w:r>
              <w:rPr>
                <w:rFonts w:ascii="Courier New" w:hAnsi="Courier New"/>
                <w:sz w:val="17"/>
              </w:rPr>
              <w:t>quelle/README.md</w:t>
            </w:r>
          </w:p>
        </w:tc>
      </w:tr>
      <w:tr>
        <w:trPr/>
        <w:tc>
          <w:tcPr>
            <w:tcW w:type="dxa" w:w="2512"/>
          </w:tcPr>
          <w:p>
            <w:pPr>
              <w:spacing w:after="0"/>
            </w:pPr>
            <w:r>
              <w:rPr>
                <w:sz w:val="19"/>
              </w:rPr>
              <w:t>Einfach erklärt</w:t>
            </w:r>
          </w:p>
        </w:tc>
        <w:tc>
          <w:tcPr>
            <w:tcW w:type="dxa" w:w="6899"/>
          </w:tcPr>
          <w:p>
            <w:pPr>
              <w:spacing w:after="0"/>
            </w:pPr>
            <w:r>
              <w:rPr>
                <w:sz w:val="19"/>
              </w:rPr>
              <w:t>Zwei Waagen zeigen dasselbe Gewicht, die eine in Gramm, die andere in Kilogramm. Ohne Umrechnung hält das Programm den zweiten Stock für fast leer.</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5.10 – Trigger, Fehlerbenachrichtigung, Laufprotokoll (erreicht 02.10.2026)</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Läuft die Kette täglich ohne Handarbeit, und werden Fehler bemerkt?</w:t>
            </w:r>
          </w:p>
        </w:tc>
      </w:tr>
      <w:tr>
        <w:trPr/>
        <w:tc>
          <w:tcPr>
            <w:tcW w:type="dxa" w:w="2512"/>
          </w:tcPr>
          <w:p>
            <w:pPr>
              <w:spacing w:after="0"/>
            </w:pPr>
            <w:r>
              <w:rPr>
                <w:sz w:val="19"/>
              </w:rPr>
              <w:t>Eigene Erwartung</w:t>
            </w:r>
          </w:p>
        </w:tc>
        <w:tc>
          <w:tcPr>
            <w:tcW w:type="dxa" w:w="6899"/>
          </w:tcPr>
          <w:p>
            <w:pPr>
              <w:spacing w:after="0"/>
            </w:pPr>
            <w:r>
              <w:rPr>
                <w:sz w:val="19"/>
              </w:rPr>
              <w:t>ein Lauf täglich 00:00 UTC; bei Fehler E-Mail</w:t>
            </w:r>
          </w:p>
        </w:tc>
      </w:tr>
      <w:tr>
        <w:trPr/>
        <w:tc>
          <w:tcPr>
            <w:tcW w:type="dxa" w:w="2512"/>
          </w:tcPr>
          <w:p>
            <w:pPr>
              <w:spacing w:after="0"/>
            </w:pPr>
            <w:r>
              <w:rPr>
                <w:sz w:val="19"/>
              </w:rPr>
              <w:t>Erwartung laut Recherche</w:t>
            </w:r>
          </w:p>
        </w:tc>
        <w:tc>
          <w:tcPr>
            <w:tcW w:type="dxa" w:w="6899"/>
          </w:tcPr>
          <w:p>
            <w:pPr>
              <w:spacing w:after="0"/>
            </w:pPr>
            <w:r>
              <w:rPr>
                <w:sz w:val="19"/>
              </w:rPr>
              <w:t>Trigger „Planen“ (Schedule); Azure Monitor Alert bei fehlgeschlagenem Pipeline-Lauf</w:t>
            </w:r>
          </w:p>
        </w:tc>
      </w:tr>
      <w:tr>
        <w:trPr/>
        <w:tc>
          <w:tcPr>
            <w:tcW w:type="dxa" w:w="2512"/>
          </w:tcPr>
          <w:p>
            <w:pPr>
              <w:spacing w:after="0"/>
            </w:pPr>
            <w:r>
              <w:rPr>
                <w:sz w:val="19"/>
              </w:rPr>
              <w:t>Zwischenschritte</w:t>
            </w:r>
          </w:p>
        </w:tc>
        <w:tc>
          <w:tcPr>
            <w:tcW w:type="dxa" w:w="6899"/>
          </w:tcPr>
          <w:p>
            <w:pPr>
              <w:spacing w:after="0"/>
            </w:pPr>
            <w:r>
              <w:rPr>
                <w:sz w:val="19"/>
              </w:rPr>
              <w:t xml:space="preserve">1) Trigger anlegen (Erstellen → Pipeline → Trigger hinzufügen → Neu/Bearbeiten; im Menü „Auslöser“) 2) Nebenläufigkeit und Laufzeit-Metrik an </w:t>
            </w:r>
            <w:r>
              <w:rPr>
                <w:rFonts w:ascii="Courier New" w:hAnsi="Courier New"/>
                <w:sz w:val="17"/>
              </w:rPr>
              <w:t>pl_daily_processing</w:t>
            </w:r>
            <w:r>
              <w:rPr>
                <w:sz w:val="19"/>
              </w:rPr>
              <w:t xml:space="preserve"> 3) Warnregeln in ADF (Überwachen → Warnungen und Metriken) 4) Fehler „MissingSubscriptionRegistration“ → Ressourcenanbieter </w:t>
            </w:r>
            <w:r>
              <w:rPr>
                <w:rFonts w:ascii="Courier New" w:hAnsi="Courier New"/>
                <w:sz w:val="17"/>
              </w:rPr>
              <w:t>microsoft.insights</w:t>
            </w:r>
            <w:r>
              <w:rPr>
                <w:sz w:val="19"/>
              </w:rPr>
              <w:t xml:space="preserve"> im Abonnement registrieren 5) Aktionsgruppe mit E-Mail, Adresse per Code bestätigt</w:t>
            </w:r>
          </w:p>
        </w:tc>
      </w:tr>
      <w:tr>
        <w:trPr/>
        <w:tc>
          <w:tcPr>
            <w:tcW w:type="dxa" w:w="2512"/>
          </w:tcPr>
          <w:p>
            <w:pPr>
              <w:spacing w:after="0"/>
            </w:pPr>
            <w:r>
              <w:rPr>
                <w:sz w:val="19"/>
              </w:rPr>
              <w:t>Zwischenergebnis</w:t>
            </w:r>
          </w:p>
        </w:tc>
        <w:tc>
          <w:tcPr>
            <w:tcW w:type="dxa" w:w="6899"/>
          </w:tcPr>
          <w:p>
            <w:pPr>
              <w:spacing w:after="0"/>
            </w:pPr>
            <w:r>
              <w:rPr>
                <w:sz w:val="19"/>
              </w:rPr>
              <w:t>Zeitzonen-Falle: Suche „utc“ wählt „UTC-12“, richtig ist „Coordinated Universal Time (UTC)“ (nicht London: Sommerzeit) · Warnregel scheiterte zuerst am nicht registrierten Ressourcenanbieter (Formular blieb im ersten Tab erhalten)</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Zeitplan täglich · </w:t>
            </w:r>
            <w:r>
              <w:rPr>
                <w:b/>
                <w:sz w:val="19"/>
              </w:rPr>
              <w:t>B</w:t>
            </w:r>
            <w:r>
              <w:rPr>
                <w:sz w:val="19"/>
              </w:rPr>
              <w:t xml:space="preserve"> Ereignis-Trigger bei neuer Datei (Storage Event) · </w:t>
            </w:r>
            <w:r>
              <w:rPr>
                <w:b/>
                <w:sz w:val="19"/>
              </w:rPr>
              <w:t>C</w:t>
            </w:r>
            <w:r>
              <w:rPr>
                <w:sz w:val="19"/>
              </w:rPr>
              <w:t xml:space="preserve"> nur manuell</w:t>
            </w:r>
          </w:p>
        </w:tc>
      </w:tr>
      <w:tr>
        <w:trPr/>
        <w:tc>
          <w:tcPr>
            <w:tcW w:type="dxa" w:w="2512"/>
          </w:tcPr>
          <w:p>
            <w:pPr>
              <w:spacing w:after="0"/>
            </w:pPr>
            <w:r>
              <w:rPr>
                <w:sz w:val="19"/>
              </w:rPr>
              <w:t>Entscheidung + Begründung</w:t>
            </w:r>
          </w:p>
        </w:tc>
        <w:tc>
          <w:tcPr>
            <w:tcW w:type="dxa" w:w="6899"/>
          </w:tcPr>
          <w:p>
            <w:pPr>
              <w:spacing w:after="0"/>
            </w:pPr>
            <w:r>
              <w:rPr>
                <w:b/>
                <w:sz w:val="19"/>
              </w:rPr>
              <w:t>A</w:t>
            </w:r>
            <w:r>
              <w:rPr>
                <w:sz w:val="19"/>
              </w:rPr>
              <w:t xml:space="preserve"> angelegt, aber </w:t>
            </w:r>
            <w:r>
              <w:rPr>
                <w:b/>
                <w:sz w:val="19"/>
              </w:rPr>
              <w:t>nicht gestartet</w:t>
            </w:r>
            <w:r>
              <w:rPr>
                <w:sz w:val="19"/>
              </w:rPr>
              <w:t xml:space="preserve"> (Kosten ca. 0,50 € je Lauf mit zwei Städten; Aktivierung nur nach Freigabe) · Nebenläufigkeit </w:t>
            </w:r>
            <w:r>
              <w:rPr>
                <w:b/>
                <w:sz w:val="19"/>
              </w:rPr>
              <w:t>1</w:t>
            </w:r>
            <w:r>
              <w:rPr>
                <w:sz w:val="19"/>
              </w:rPr>
              <w:t xml:space="preserve"> (keine überlappenden Läufe) · Laufzeit-Metrik </w:t>
            </w:r>
            <w:r>
              <w:rPr>
                <w:b/>
                <w:sz w:val="19"/>
              </w:rPr>
              <w:t>0.00:30:00</w:t>
            </w:r>
            <w:r>
              <w:rPr>
                <w:sz w:val="19"/>
              </w:rPr>
              <w:t xml:space="preserve"> (normaler Lauf ca. 13 Min.) · zwei Warnregeln per E-Mail (freigegeben, ca. 0,10 USD je Regel und Monat)</w:t>
            </w:r>
          </w:p>
        </w:tc>
      </w:tr>
      <w:tr>
        <w:trPr/>
        <w:tc>
          <w:tcPr>
            <w:tcW w:type="dxa" w:w="2512"/>
          </w:tcPr>
          <w:p>
            <w:pPr>
              <w:spacing w:after="0"/>
            </w:pPr>
            <w:r>
              <w:rPr>
                <w:sz w:val="19"/>
              </w:rPr>
              <w:t>Endergebnis</w:t>
            </w:r>
          </w:p>
        </w:tc>
        <w:tc>
          <w:tcPr>
            <w:tcW w:type="dxa" w:w="6899"/>
          </w:tcPr>
          <w:p>
            <w:pPr>
              <w:spacing w:after="0"/>
            </w:pPr>
            <w:r>
              <w:rPr>
                <w:sz w:val="19"/>
              </w:rPr>
              <w:t xml:space="preserve">Trigger </w:t>
            </w:r>
            <w:r>
              <w:rPr>
                <w:rFonts w:ascii="Courier New" w:hAnsi="Courier New"/>
                <w:sz w:val="17"/>
              </w:rPr>
              <w:t>tr_taeglich_0000_utc</w:t>
            </w:r>
            <w:r>
              <w:rPr>
                <w:sz w:val="19"/>
              </w:rPr>
              <w:t xml:space="preserve"> (täglich 00:00 UTC ab 06.10.2026, Status Beendet) · Aktionsgruppe </w:t>
            </w:r>
            <w:r>
              <w:rPr>
                <w:rFonts w:ascii="Courier New" w:hAnsi="Courier New"/>
                <w:sz w:val="17"/>
              </w:rPr>
              <w:t>ag_beehaven_mail</w:t>
            </w:r>
            <w:r>
              <w:rPr>
                <w:sz w:val="19"/>
              </w:rPr>
              <w:t xml:space="preserve"> · </w:t>
            </w:r>
            <w:r>
              <w:rPr>
                <w:rFonts w:ascii="Courier New" w:hAnsi="Courier New"/>
                <w:sz w:val="17"/>
              </w:rPr>
              <w:t>al_pipeline_fehler</w:t>
            </w:r>
            <w:r>
              <w:rPr>
                <w:sz w:val="19"/>
              </w:rPr>
              <w:t xml:space="preserve"> (Schweregrad 1, Failed Runs &gt; 0, 5 Min.) · </w:t>
            </w:r>
            <w:r>
              <w:rPr>
                <w:rFonts w:ascii="Courier New" w:hAnsi="Courier New"/>
                <w:sz w:val="17"/>
              </w:rPr>
              <w:t>al_pipeline_laufzeit</w:t>
            </w:r>
            <w:r>
              <w:rPr>
                <w:sz w:val="19"/>
              </w:rPr>
              <w:t xml:space="preserve"> (Schweregrad 2, Elapsed Time &gt; 0) · beide aktiv · Protokoll Freigaben</w:t>
            </w:r>
          </w:p>
        </w:tc>
      </w:tr>
      <w:tr>
        <w:trPr/>
        <w:tc>
          <w:tcPr>
            <w:tcW w:type="dxa" w:w="2512"/>
          </w:tcPr>
          <w:p>
            <w:pPr>
              <w:spacing w:after="0"/>
            </w:pPr>
            <w:r>
              <w:rPr>
                <w:sz w:val="19"/>
              </w:rPr>
              <w:t>Hinweise / Gefahren</w:t>
            </w:r>
          </w:p>
        </w:tc>
        <w:tc>
          <w:tcPr>
            <w:tcW w:type="dxa" w:w="6899"/>
          </w:tcPr>
          <w:p>
            <w:pPr>
              <w:spacing w:after="0"/>
            </w:pPr>
            <w:r>
              <w:rPr>
                <w:sz w:val="19"/>
              </w:rPr>
              <w:t>Trigger erst nach Kostenfreigabe; jeder Lauf kostet ca. 0,30 € (Gesamtlauf 01.10.: ca. 9 Min., zwei Spark-Sitzungen) · Trigger kann angelegt, aber deaktiviert bleiben („Gestartet: Nein“)</w:t>
            </w:r>
          </w:p>
        </w:tc>
      </w:tr>
      <w:tr>
        <w:trPr/>
        <w:tc>
          <w:tcPr>
            <w:tcW w:type="dxa" w:w="2512"/>
          </w:tcPr>
          <w:p>
            <w:pPr>
              <w:spacing w:after="0"/>
            </w:pPr>
            <w:r>
              <w:rPr>
                <w:sz w:val="19"/>
              </w:rPr>
              <w:t>Klärung (Stand Abschluss)</w:t>
            </w:r>
          </w:p>
        </w:tc>
        <w:tc>
          <w:tcPr>
            <w:tcW w:type="dxa" w:w="6899"/>
          </w:tcPr>
          <w:p>
            <w:pPr>
              <w:spacing w:after="0"/>
            </w:pPr>
            <w:r>
              <w:rPr>
                <w:sz w:val="19"/>
              </w:rPr>
              <w:t>keine; Ausbau (Ereignis-Trigger, befristeter Trigger, Prüfordner im Fehlerfall) → Folgeprojekt FP-1</w:t>
            </w:r>
          </w:p>
        </w:tc>
      </w:tr>
      <w:tr>
        <w:trPr/>
        <w:tc>
          <w:tcPr>
            <w:tcW w:type="dxa" w:w="2512"/>
          </w:tcPr>
          <w:p>
            <w:pPr>
              <w:spacing w:after="0"/>
            </w:pPr>
            <w:r>
              <w:rPr>
                <w:sz w:val="19"/>
              </w:rPr>
              <w:t>Für Agenten / ML</w:t>
            </w:r>
          </w:p>
        </w:tc>
        <w:tc>
          <w:tcPr>
            <w:tcW w:type="dxa" w:w="6899"/>
          </w:tcPr>
          <w:p>
            <w:pPr>
              <w:spacing w:after="0"/>
            </w:pPr>
            <w:r>
              <w:rPr>
                <w:sz w:val="19"/>
              </w:rPr>
              <w:t>Laufstatus als Datenquelle für einen Überwachungs-Agenten</w:t>
            </w:r>
          </w:p>
        </w:tc>
      </w:tr>
      <w:tr>
        <w:trPr/>
        <w:tc>
          <w:tcPr>
            <w:tcW w:type="dxa" w:w="2512"/>
          </w:tcPr>
          <w:p>
            <w:pPr>
              <w:spacing w:after="0"/>
            </w:pPr>
            <w:r>
              <w:rPr>
                <w:sz w:val="19"/>
              </w:rPr>
              <w:t>Verweise</w:t>
            </w:r>
          </w:p>
        </w:tc>
        <w:tc>
          <w:tcPr>
            <w:tcW w:type="dxa" w:w="6899"/>
          </w:tcPr>
          <w:p>
            <w:pPr>
              <w:spacing w:after="0"/>
            </w:pPr>
            <w:r>
              <w:rPr>
                <w:sz w:val="19"/>
              </w:rPr>
              <w:t>Projektplan M5 Schritt 5.10 · Schritt 3.8, Kap. 8.6</w:t>
            </w:r>
          </w:p>
        </w:tc>
      </w:tr>
      <w:tr>
        <w:trPr/>
        <w:tc>
          <w:tcPr>
            <w:tcW w:type="dxa" w:w="2512"/>
          </w:tcPr>
          <w:p>
            <w:pPr>
              <w:spacing w:after="0"/>
            </w:pPr>
            <w:r>
              <w:rPr>
                <w:sz w:val="19"/>
              </w:rPr>
              <w:t>Einfach erklärt</w:t>
            </w:r>
          </w:p>
        </w:tc>
        <w:tc>
          <w:tcPr>
            <w:tcW w:type="dxa" w:w="6899"/>
          </w:tcPr>
          <w:p>
            <w:pPr>
              <w:spacing w:after="0"/>
            </w:pPr>
            <w:r>
              <w:rPr>
                <w:sz w:val="19"/>
              </w:rPr>
              <w:t>Ein Zeitplan startet alles jede Nacht automatisch. Geht etwas schief oder dauert es zu lange, kommt eine E-Mail – niemand muss nachsehen.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5.11 – Dashboard mit Warnhinweisen (Folgeprojekt FP-2)</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Wie sehen Imkerei oder Fachbereich den Zustand des Volkes auf einen Blick?</w:t>
            </w:r>
          </w:p>
        </w:tc>
      </w:tr>
      <w:tr>
        <w:trPr/>
        <w:tc>
          <w:tcPr>
            <w:tcW w:type="dxa" w:w="2512"/>
          </w:tcPr>
          <w:p>
            <w:pPr>
              <w:spacing w:after="0"/>
            </w:pPr>
            <w:r>
              <w:rPr>
                <w:sz w:val="19"/>
              </w:rPr>
              <w:t>Eigene Erwartung</w:t>
            </w:r>
          </w:p>
        </w:tc>
        <w:tc>
          <w:tcPr>
            <w:tcW w:type="dxa" w:w="6899"/>
          </w:tcPr>
          <w:p>
            <w:pPr>
              <w:spacing w:after="0"/>
            </w:pPr>
            <w:r>
              <w:rPr>
                <w:sz w:val="19"/>
              </w:rPr>
              <w:t>Tageswerte, Flug, Gewicht, Wetter; Ampel bei Warnungen</w:t>
            </w:r>
          </w:p>
        </w:tc>
      </w:tr>
      <w:tr>
        <w:trPr/>
        <w:tc>
          <w:tcPr>
            <w:tcW w:type="dxa" w:w="2512"/>
          </w:tcPr>
          <w:p>
            <w:pPr>
              <w:spacing w:after="0"/>
            </w:pPr>
            <w:r>
              <w:rPr>
                <w:sz w:val="19"/>
              </w:rPr>
              <w:t>Erwartung laut Recherche</w:t>
            </w:r>
          </w:p>
        </w:tc>
        <w:tc>
          <w:tcPr>
            <w:tcW w:type="dxa" w:w="6899"/>
          </w:tcPr>
          <w:p>
            <w:pPr>
              <w:spacing w:after="0"/>
            </w:pPr>
            <w:r>
              <w:rPr>
                <w:sz w:val="19"/>
              </w:rPr>
              <w:t>5-Sekunden-Regel; Warnhinweis P5 (kurzer vs. anhaltender Temperaturabfall)</w:t>
            </w:r>
          </w:p>
        </w:tc>
      </w:tr>
      <w:tr>
        <w:trPr/>
        <w:tc>
          <w:tcPr>
            <w:tcW w:type="dxa" w:w="2512"/>
          </w:tcPr>
          <w:p>
            <w:pPr>
              <w:spacing w:after="0"/>
            </w:pPr>
            <w:r>
              <w:rPr>
                <w:sz w:val="19"/>
              </w:rPr>
              <w:t>Zwischenschritte</w:t>
            </w:r>
          </w:p>
        </w:tc>
        <w:tc>
          <w:tcPr>
            <w:tcW w:type="dxa" w:w="6899"/>
          </w:tcPr>
          <w:p>
            <w:pPr>
              <w:spacing w:after="0"/>
            </w:pPr>
            <w:r>
              <w:rPr>
                <w:sz w:val="19"/>
              </w:rPr>
              <w:t>Gold-Tabellen je Stadt (Stunden, Tageswerte) und Honig-Kennzahlen (</w:t>
            </w:r>
            <w:r>
              <w:rPr>
                <w:rFonts w:ascii="Courier New" w:hAnsi="Courier New"/>
                <w:sz w:val="17"/>
              </w:rPr>
              <w:t>gold/vergleich/honig_saison.csv</w:t>
            </w:r>
            <w:r>
              <w:rPr>
                <w:sz w:val="19"/>
              </w:rPr>
              <w:t>) als Datenbasis fertig</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Power BI · </w:t>
            </w:r>
            <w:r>
              <w:rPr>
                <w:b/>
                <w:sz w:val="19"/>
              </w:rPr>
              <w:t>B</w:t>
            </w:r>
            <w:r>
              <w:rPr>
                <w:sz w:val="19"/>
              </w:rPr>
              <w:t xml:space="preserve"> Web-Dashboard (z. B. Streamlit) · </w:t>
            </w:r>
            <w:r>
              <w:rPr>
                <w:b/>
                <w:sz w:val="19"/>
              </w:rPr>
              <w:t>C</w:t>
            </w:r>
            <w:r>
              <w:rPr>
                <w:sz w:val="19"/>
              </w:rPr>
              <w:t xml:space="preserve"> statische Grafiken</w:t>
            </w:r>
          </w:p>
        </w:tc>
      </w:tr>
      <w:tr>
        <w:trPr/>
        <w:tc>
          <w:tcPr>
            <w:tcW w:type="dxa" w:w="2512"/>
          </w:tcPr>
          <w:p>
            <w:pPr>
              <w:spacing w:after="0"/>
            </w:pPr>
            <w:r>
              <w:rPr>
                <w:sz w:val="19"/>
              </w:rPr>
              <w:t>Entscheidung + Begründung</w:t>
            </w:r>
          </w:p>
        </w:tc>
        <w:tc>
          <w:tcPr>
            <w:tcW w:type="dxa" w:w="6899"/>
          </w:tcPr>
          <w:p>
            <w:pPr>
              <w:spacing w:after="0"/>
            </w:pPr>
            <w:r>
              <w:rPr>
                <w:sz w:val="19"/>
              </w:rPr>
              <w:t xml:space="preserve">Umsetzung als </w:t>
            </w:r>
            <w:r>
              <w:rPr>
                <w:b/>
                <w:sz w:val="19"/>
              </w:rPr>
              <w:t>Folgeprojekt FP-2</w:t>
            </w:r>
            <w:r>
              <w:rPr>
                <w:sz w:val="19"/>
              </w:rPr>
              <w:t xml:space="preserve"> (Projektplan Kap. 8): nicht Kursumfang; die Datenbasis liegt vor. Im Projekt: Kennzahlen-Konzept in </w:t>
            </w:r>
            <w:r>
              <w:rPr>
                <w:rFonts w:ascii="Courier New" w:hAnsi="Courier New"/>
                <w:sz w:val="17"/>
              </w:rPr>
              <w:t>08_dashboard_ITS-DA</w:t>
            </w:r>
            <w:r>
              <w:rPr>
                <w:sz w:val="19"/>
              </w:rPr>
              <w:t xml:space="preserve"> (intern, nicht veröffentlicht; Schritt 5.12)</w:t>
            </w:r>
          </w:p>
        </w:tc>
      </w:tr>
      <w:tr>
        <w:trPr/>
        <w:tc>
          <w:tcPr>
            <w:tcW w:type="dxa" w:w="2512"/>
          </w:tcPr>
          <w:p>
            <w:pPr>
              <w:spacing w:after="0"/>
            </w:pPr>
            <w:r>
              <w:rPr>
                <w:sz w:val="19"/>
              </w:rPr>
              <w:t>Endergebnis</w:t>
            </w:r>
          </w:p>
        </w:tc>
        <w:tc>
          <w:tcPr>
            <w:tcW w:type="dxa" w:w="6899"/>
          </w:tcPr>
          <w:p>
            <w:pPr>
              <w:spacing w:after="0"/>
            </w:pPr>
            <w:r>
              <w:rPr>
                <w:sz w:val="19"/>
              </w:rPr>
              <w:t>Kennzahlen-Konzept als Übergabe an FP-2</w:t>
            </w:r>
          </w:p>
        </w:tc>
      </w:tr>
      <w:tr>
        <w:trPr/>
        <w:tc>
          <w:tcPr>
            <w:tcW w:type="dxa" w:w="2512"/>
          </w:tcPr>
          <w:p>
            <w:pPr>
              <w:spacing w:after="0"/>
            </w:pPr>
            <w:r>
              <w:rPr>
                <w:sz w:val="19"/>
              </w:rPr>
              <w:t>Hinweise / Gefahren</w:t>
            </w:r>
          </w:p>
        </w:tc>
        <w:tc>
          <w:tcPr>
            <w:tcW w:type="dxa" w:w="6899"/>
          </w:tcPr>
          <w:p>
            <w:pPr>
              <w:spacing w:after="0"/>
            </w:pPr>
            <w:r>
              <w:rPr>
                <w:sz w:val="19"/>
              </w:rPr>
              <w:t>Grenzwerte für Warnungen fachlich belegen (FP-2, mit einer Imkerei)</w:t>
            </w:r>
          </w:p>
        </w:tc>
      </w:tr>
      <w:tr>
        <w:trPr/>
        <w:tc>
          <w:tcPr>
            <w:tcW w:type="dxa" w:w="2512"/>
          </w:tcPr>
          <w:p>
            <w:pPr>
              <w:spacing w:after="0"/>
            </w:pPr>
            <w:r>
              <w:rPr>
                <w:sz w:val="19"/>
              </w:rPr>
              <w:t>Für Agenten / ML</w:t>
            </w:r>
          </w:p>
        </w:tc>
        <w:tc>
          <w:tcPr>
            <w:tcW w:type="dxa" w:w="6899"/>
          </w:tcPr>
          <w:p>
            <w:pPr>
              <w:spacing w:after="0"/>
            </w:pPr>
            <w:r>
              <w:rPr>
                <w:sz w:val="19"/>
              </w:rPr>
              <w:t>Warnregeln als Grundlage für automatische Meldungen</w:t>
            </w:r>
          </w:p>
        </w:tc>
      </w:tr>
      <w:tr>
        <w:trPr/>
        <w:tc>
          <w:tcPr>
            <w:tcW w:type="dxa" w:w="2512"/>
          </w:tcPr>
          <w:p>
            <w:pPr>
              <w:spacing w:after="0"/>
            </w:pPr>
            <w:r>
              <w:rPr>
                <w:sz w:val="19"/>
              </w:rPr>
              <w:t>Verweise</w:t>
            </w:r>
          </w:p>
        </w:tc>
        <w:tc>
          <w:tcPr>
            <w:tcW w:type="dxa" w:w="6899"/>
          </w:tcPr>
          <w:p>
            <w:pPr>
              <w:spacing w:after="0"/>
            </w:pPr>
            <w:r>
              <w:rPr>
                <w:sz w:val="19"/>
              </w:rPr>
              <w:t xml:space="preserve">Projektplan M5 Schritt 5.11, Kap. 8 · P5, </w:t>
            </w:r>
            <w:r>
              <w:rPr>
                <w:rFonts w:ascii="Courier New" w:hAnsi="Courier New"/>
                <w:sz w:val="17"/>
              </w:rPr>
              <w:t>08_dashboard_ITS-DA</w:t>
            </w:r>
          </w:p>
        </w:tc>
      </w:tr>
      <w:tr>
        <w:trPr/>
        <w:tc>
          <w:tcPr>
            <w:tcW w:type="dxa" w:w="2512"/>
          </w:tcPr>
          <w:p>
            <w:pPr>
              <w:spacing w:after="0"/>
            </w:pPr>
            <w:r>
              <w:rPr>
                <w:sz w:val="19"/>
              </w:rPr>
              <w:t>Einfach erklärt</w:t>
            </w:r>
          </w:p>
        </w:tc>
        <w:tc>
          <w:tcPr>
            <w:tcW w:type="dxa" w:w="6899"/>
          </w:tcPr>
          <w:p>
            <w:pPr>
              <w:spacing w:after="0"/>
            </w:pPr>
            <w:r>
              <w:rPr>
                <w:sz w:val="19"/>
              </w:rPr>
              <w:t>Ein Dashboard zeigt den Zustand der Bienenvölker auf einen Blick, wie die Anzeigen im Auto. Es wird in einem eigenen Folgeprojekt gebaut; die Daten dafür liegen schon bereit.</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5.12 – Dokumentation vervollständigen (05.10.2026, Rest bis Abschluss)</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Können Mitarbeitende alles nachbauen, und versteht die Geschäftsleitung das Ergebnis?</w:t>
            </w:r>
          </w:p>
        </w:tc>
      </w:tr>
      <w:tr>
        <w:trPr/>
        <w:tc>
          <w:tcPr>
            <w:tcW w:type="dxa" w:w="2512"/>
          </w:tcPr>
          <w:p>
            <w:pPr>
              <w:spacing w:after="0"/>
            </w:pPr>
            <w:r>
              <w:rPr>
                <w:sz w:val="19"/>
              </w:rPr>
              <w:t>Eigene Erwartung</w:t>
            </w:r>
          </w:p>
        </w:tc>
        <w:tc>
          <w:tcPr>
            <w:tcW w:type="dxa" w:w="6899"/>
          </w:tcPr>
          <w:p>
            <w:pPr>
              <w:spacing w:after="0"/>
            </w:pPr>
            <w:r>
              <w:rPr>
                <w:sz w:val="19"/>
              </w:rPr>
              <w:t>Anleitung um M3–M5 ergänzen, Dokumente zueinander passend</w:t>
            </w:r>
          </w:p>
        </w:tc>
      </w:tr>
      <w:tr>
        <w:trPr/>
        <w:tc>
          <w:tcPr>
            <w:tcW w:type="dxa" w:w="2512"/>
          </w:tcPr>
          <w:p>
            <w:pPr>
              <w:spacing w:after="0"/>
            </w:pPr>
            <w:r>
              <w:rPr>
                <w:sz w:val="19"/>
              </w:rPr>
              <w:t>Erwartung laut Recherche</w:t>
            </w:r>
          </w:p>
        </w:tc>
        <w:tc>
          <w:tcPr>
            <w:tcW w:type="dxa" w:w="6899"/>
          </w:tcPr>
          <w:p>
            <w:pPr>
              <w:spacing w:after="0"/>
            </w:pPr>
            <w:r>
              <w:rPr>
                <w:sz w:val="19"/>
              </w:rPr>
              <w:t>Grafik- und Anleitungsstandard; Regelwerk des QS-Agenten (WB-QM-001); Screenshots schwärzen</w:t>
            </w:r>
          </w:p>
        </w:tc>
      </w:tr>
      <w:tr>
        <w:trPr/>
        <w:tc>
          <w:tcPr>
            <w:tcW w:type="dxa" w:w="2512"/>
          </w:tcPr>
          <w:p>
            <w:pPr>
              <w:spacing w:after="0"/>
            </w:pPr>
            <w:r>
              <w:rPr>
                <w:sz w:val="19"/>
              </w:rPr>
              <w:t>Zwischenschritte</w:t>
            </w:r>
          </w:p>
        </w:tc>
        <w:tc>
          <w:tcPr>
            <w:tcW w:type="dxa" w:w="6899"/>
          </w:tcPr>
          <w:p>
            <w:pPr>
              <w:spacing w:after="0"/>
            </w:pPr>
            <w:r>
              <w:rPr>
                <w:sz w:val="19"/>
              </w:rPr>
              <w:t>1) eine Gesamt-Anleitung AN-ITS-001 (v2.0–v2.5, 68 Seiten, Schritte 0–35) 2) Prüfung durch die Geschäftsführung 02.10. 3) BS/PP v1.9: Herkunft als Rolle, Abgleich aller Ideen, Soll-Konzept, Folgeprojekte, Handlungsempfehlungen 4) Notebook-Texte neutral je Standort, Würzburg-Fassungen automatisch (</w:t>
            </w:r>
            <w:r>
              <w:rPr>
                <w:rFonts w:ascii="Courier New" w:hAnsi="Courier New"/>
                <w:sz w:val="17"/>
              </w:rPr>
              <w:t>stadt_fassungen.py</w:t>
            </w:r>
            <w:r>
              <w:rPr>
                <w:sz w:val="19"/>
              </w:rPr>
              <w:t xml:space="preserve">) 5) Bilder je Stadt in </w:t>
            </w:r>
            <w:r>
              <w:rPr>
                <w:rFonts w:ascii="Courier New" w:hAnsi="Courier New"/>
                <w:sz w:val="17"/>
              </w:rPr>
              <w:t>04_images/&lt;stadt&gt;/</w:t>
            </w:r>
            <w:r>
              <w:rPr>
                <w:sz w:val="19"/>
              </w:rPr>
              <w:t xml:space="preserve"> 6) zentrale Grafik </w:t>
            </w:r>
            <w:r>
              <w:rPr>
                <w:rFonts w:ascii="Courier New" w:hAnsi="Courier New"/>
                <w:sz w:val="17"/>
              </w:rPr>
              <w:t>p2_pipeline_endstand.png</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Anleitung ergänzen + Befehls-Anhang · </w:t>
            </w:r>
            <w:r>
              <w:rPr>
                <w:b/>
                <w:sz w:val="19"/>
              </w:rPr>
              <w:t>B</w:t>
            </w:r>
            <w:r>
              <w:rPr>
                <w:sz w:val="19"/>
              </w:rPr>
              <w:t xml:space="preserve"> nur Pflichtenheft (für Mitarbeitende zu wenig praktisch)</w:t>
            </w:r>
          </w:p>
        </w:tc>
      </w:tr>
      <w:tr>
        <w:trPr/>
        <w:tc>
          <w:tcPr>
            <w:tcW w:type="dxa" w:w="2512"/>
          </w:tcPr>
          <w:p>
            <w:pPr>
              <w:spacing w:after="0"/>
            </w:pPr>
            <w:r>
              <w:rPr>
                <w:sz w:val="19"/>
              </w:rPr>
              <w:t>Entscheidung + Begründung</w:t>
            </w:r>
          </w:p>
        </w:tc>
        <w:tc>
          <w:tcPr>
            <w:tcW w:type="dxa" w:w="6899"/>
          </w:tcPr>
          <w:p>
            <w:pPr>
              <w:spacing w:after="0"/>
            </w:pPr>
            <w:r>
              <w:rPr>
                <w:b/>
                <w:sz w:val="19"/>
              </w:rPr>
              <w:t>A</w:t>
            </w:r>
            <w:r>
              <w:rPr>
                <w:sz w:val="19"/>
              </w:rPr>
              <w:t xml:space="preserve"> (eine Gesamt-Anleitung, Entscheidung 30.09.2026)</w:t>
            </w:r>
          </w:p>
        </w:tc>
      </w:tr>
      <w:tr>
        <w:trPr/>
        <w:tc>
          <w:tcPr>
            <w:tcW w:type="dxa" w:w="2512"/>
          </w:tcPr>
          <w:p>
            <w:pPr>
              <w:spacing w:after="0"/>
            </w:pPr>
            <w:r>
              <w:rPr>
                <w:sz w:val="19"/>
              </w:rPr>
              <w:t>Endergebnis</w:t>
            </w:r>
          </w:p>
        </w:tc>
        <w:tc>
          <w:tcPr>
            <w:tcW w:type="dxa" w:w="6899"/>
          </w:tcPr>
          <w:p>
            <w:pPr>
              <w:spacing w:after="0"/>
            </w:pPr>
            <w:r>
              <w:rPr>
                <w:sz w:val="19"/>
              </w:rPr>
              <w:t>BS v1.9, PP v1.11, PH v1.10, Notebooks (neutral je Standort), Anleitung AN v3.0 (ein Bild je Handlung, Logik geprüft, Steckbriefe, FAQ, Prozessbilder), Ordner 06–08, README, Präsentation PS-ITS-001 – erstellt; es fehlen nur noch die Freigaben der Projektleitung</w:t>
            </w:r>
          </w:p>
        </w:tc>
      </w:tr>
      <w:tr>
        <w:trPr/>
        <w:tc>
          <w:tcPr>
            <w:tcW w:type="dxa" w:w="2512"/>
          </w:tcPr>
          <w:p>
            <w:pPr>
              <w:spacing w:after="0"/>
            </w:pPr>
            <w:r>
              <w:rPr>
                <w:sz w:val="19"/>
              </w:rPr>
              <w:t>Hinweise / Gefahren</w:t>
            </w:r>
          </w:p>
        </w:tc>
        <w:tc>
          <w:tcPr>
            <w:tcW w:type="dxa" w:w="6899"/>
          </w:tcPr>
          <w:p>
            <w:pPr>
              <w:spacing w:after="0"/>
            </w:pPr>
            <w:r>
              <w:rPr>
                <w:sz w:val="19"/>
              </w:rPr>
              <w:t>Screenshots mit Konto- oder Ressourcen-IDs schwärzen; leere Seiten im Word vermeiden (Generator angepasst 05.10.)</w:t>
            </w:r>
          </w:p>
        </w:tc>
      </w:tr>
      <w:tr>
        <w:trPr/>
        <w:tc>
          <w:tcPr>
            <w:tcW w:type="dxa" w:w="2512"/>
          </w:tcPr>
          <w:p>
            <w:pPr>
              <w:spacing w:after="0"/>
            </w:pPr>
            <w:r>
              <w:rPr>
                <w:sz w:val="19"/>
              </w:rPr>
              <w:t>Für Agenten / ML</w:t>
            </w:r>
          </w:p>
        </w:tc>
        <w:tc>
          <w:tcPr>
            <w:tcW w:type="dxa" w:w="6899"/>
          </w:tcPr>
          <w:p>
            <w:pPr>
              <w:spacing w:after="0"/>
            </w:pPr>
            <w:r>
              <w:rPr>
                <w:sz w:val="19"/>
              </w:rPr>
              <w:t>Anleitungen = Arbeitsanweisungen für Agenten; Regeln in WB-QM-001</w:t>
            </w:r>
          </w:p>
        </w:tc>
      </w:tr>
      <w:tr>
        <w:trPr/>
        <w:tc>
          <w:tcPr>
            <w:tcW w:type="dxa" w:w="2512"/>
          </w:tcPr>
          <w:p>
            <w:pPr>
              <w:spacing w:after="0"/>
            </w:pPr>
            <w:r>
              <w:rPr>
                <w:sz w:val="19"/>
              </w:rPr>
              <w:t>Verweise</w:t>
            </w:r>
          </w:p>
        </w:tc>
        <w:tc>
          <w:tcPr>
            <w:tcW w:type="dxa" w:w="6899"/>
          </w:tcPr>
          <w:p>
            <w:pPr>
              <w:spacing w:after="0"/>
            </w:pPr>
            <w:r>
              <w:rPr>
                <w:sz w:val="19"/>
              </w:rPr>
              <w:t>Projektplan M5 Schritte 5.12.1–5.12.9 · AN-ITS-001</w:t>
            </w:r>
          </w:p>
        </w:tc>
      </w:tr>
      <w:tr>
        <w:trPr/>
        <w:tc>
          <w:tcPr>
            <w:tcW w:type="dxa" w:w="2512"/>
          </w:tcPr>
          <w:p>
            <w:pPr>
              <w:spacing w:after="0"/>
            </w:pPr>
            <w:r>
              <w:rPr>
                <w:sz w:val="19"/>
              </w:rPr>
              <w:t>Einfach erklärt</w:t>
            </w:r>
          </w:p>
        </w:tc>
        <w:tc>
          <w:tcPr>
            <w:tcW w:type="dxa" w:w="6899"/>
          </w:tcPr>
          <w:p>
            <w:pPr>
              <w:spacing w:after="0"/>
            </w:pPr>
            <w:r>
              <w:rPr>
                <w:sz w:val="19"/>
              </w:rPr>
              <w:t>Alles, was gebaut wurde, ist so beschrieben, dass andere es nachbauen und verstehen können – Anleitung für Mitarbeitende, Pflichtenheft und Präsentation für Entscheider.</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5.13 – Offene Fragen klären (erreicht 05.10.2026)</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 xml:space="preserve">F1 Vorzeichen flow, F2 Lizenz, F4 </w:t>
            </w:r>
            <w:r>
              <w:rPr>
                <w:rFonts w:ascii="Courier New" w:hAnsi="Courier New"/>
                <w:sz w:val="17"/>
              </w:rPr>
              <w:t>silver/processing</w:t>
            </w:r>
            <w:r>
              <w:rPr>
                <w:sz w:val="19"/>
              </w:rPr>
              <w:t>, F5 Kosten, F6 Sicherung/Löschung, Imkerei-Protokoll</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klären · </w:t>
            </w:r>
            <w:r>
              <w:rPr>
                <w:b/>
                <w:sz w:val="19"/>
              </w:rPr>
              <w:t>B</w:t>
            </w:r>
            <w:r>
              <w:rPr>
                <w:sz w:val="19"/>
              </w:rPr>
              <w:t xml:space="preserve"> als Grenze der Aussage benennen und an ein Folgeprojekt übergeben</w:t>
            </w:r>
          </w:p>
        </w:tc>
      </w:tr>
      <w:tr>
        <w:trPr/>
        <w:tc>
          <w:tcPr>
            <w:tcW w:type="dxa" w:w="2512"/>
          </w:tcPr>
          <w:p>
            <w:pPr>
              <w:spacing w:after="0"/>
            </w:pPr>
            <w:r>
              <w:rPr>
                <w:sz w:val="19"/>
              </w:rPr>
              <w:t>Entscheidung + Begründung</w:t>
            </w:r>
          </w:p>
        </w:tc>
        <w:tc>
          <w:tcPr>
            <w:tcW w:type="dxa" w:w="6899"/>
          </w:tcPr>
          <w:p>
            <w:pPr>
              <w:spacing w:after="0"/>
            </w:pPr>
            <w:r>
              <w:rPr>
                <w:sz w:val="19"/>
              </w:rPr>
              <w:t>F1, F3, F4, F5 geklärt (Brainstorming Kap. 7); F2 Lizenz: Rohdaten werden nicht veröffentlicht (Entscheidung Geschäftsführung 05.10.2026); Imkerei-Protokoll → Folgeprojekt FP-2 (bis dahin Eingriffe als „vermutet“ kennzeichnen); F6 → Abschluss 5.14</w:t>
            </w:r>
          </w:p>
        </w:tc>
      </w:tr>
      <w:tr>
        <w:trPr/>
        <w:tc>
          <w:tcPr>
            <w:tcW w:type="dxa" w:w="2512"/>
          </w:tcPr>
          <w:p>
            <w:pPr>
              <w:spacing w:after="0"/>
            </w:pPr>
            <w:r>
              <w:rPr>
                <w:sz w:val="19"/>
              </w:rPr>
              <w:t>Endergebnis</w:t>
            </w:r>
          </w:p>
        </w:tc>
        <w:tc>
          <w:tcPr>
            <w:tcW w:type="dxa" w:w="6899"/>
          </w:tcPr>
          <w:p>
            <w:pPr>
              <w:spacing w:after="0"/>
            </w:pPr>
            <w:r>
              <w:rPr>
                <w:sz w:val="19"/>
              </w:rPr>
              <w:t>jede Frage hat einen Endstand (Tabelle Kap. 8.2)</w:t>
            </w:r>
          </w:p>
        </w:tc>
      </w:tr>
      <w:tr>
        <w:trPr/>
        <w:tc>
          <w:tcPr>
            <w:tcW w:type="dxa" w:w="2512"/>
          </w:tcPr>
          <w:p>
            <w:pPr>
              <w:spacing w:after="0"/>
            </w:pPr>
            <w:r>
              <w:rPr>
                <w:sz w:val="19"/>
              </w:rPr>
              <w:t>Hinweise / Gefahren</w:t>
            </w:r>
          </w:p>
        </w:tc>
        <w:tc>
          <w:tcPr>
            <w:tcW w:type="dxa" w:w="6899"/>
          </w:tcPr>
          <w:p>
            <w:pPr>
              <w:spacing w:after="0"/>
            </w:pPr>
            <w:r>
              <w:rPr>
                <w:sz w:val="19"/>
              </w:rPr>
              <w:t>Aussagen ohne Klärung bleiben als vorläufig gekennzeichnet (Ernte-Erkennung, Nachtflug)</w:t>
            </w:r>
          </w:p>
        </w:tc>
      </w:tr>
      <w:tr>
        <w:trPr/>
        <w:tc>
          <w:tcPr>
            <w:tcW w:type="dxa" w:w="2512"/>
          </w:tcPr>
          <w:p>
            <w:pPr>
              <w:spacing w:after="0"/>
            </w:pPr>
            <w:r>
              <w:rPr>
                <w:sz w:val="19"/>
              </w:rPr>
              <w:t>Für Agenten / ML</w:t>
            </w:r>
          </w:p>
        </w:tc>
        <w:tc>
          <w:tcPr>
            <w:tcW w:type="dxa" w:w="6899"/>
          </w:tcPr>
          <w:p>
            <w:pPr>
              <w:spacing w:after="0"/>
            </w:pPr>
            <w:r>
              <w:rPr>
                <w:sz w:val="19"/>
              </w:rPr>
              <w:t>ungeklärte Annahmen als Metadaten führen</w:t>
            </w:r>
          </w:p>
        </w:tc>
      </w:tr>
      <w:tr>
        <w:trPr/>
        <w:tc>
          <w:tcPr>
            <w:tcW w:type="dxa" w:w="2512"/>
          </w:tcPr>
          <w:p>
            <w:pPr>
              <w:spacing w:after="0"/>
            </w:pPr>
            <w:r>
              <w:rPr>
                <w:sz w:val="19"/>
              </w:rPr>
              <w:t>Verweise</w:t>
            </w:r>
          </w:p>
        </w:tc>
        <w:tc>
          <w:tcPr>
            <w:tcW w:type="dxa" w:w="6899"/>
          </w:tcPr>
          <w:p>
            <w:pPr>
              <w:spacing w:after="0"/>
            </w:pPr>
            <w:r>
              <w:rPr>
                <w:sz w:val="19"/>
              </w:rPr>
              <w:t>Brainstorming Kap. 7, 8 · Kap. 8.2 · Risiken 2–4</w:t>
            </w:r>
          </w:p>
        </w:tc>
      </w:tr>
      <w:tr>
        <w:trPr/>
        <w:tc>
          <w:tcPr>
            <w:tcW w:type="dxa" w:w="2512"/>
          </w:tcPr>
          <w:p>
            <w:pPr>
              <w:spacing w:after="0"/>
            </w:pPr>
            <w:r>
              <w:rPr>
                <w:sz w:val="19"/>
              </w:rPr>
              <w:t>Einfach erklärt</w:t>
            </w:r>
          </w:p>
        </w:tc>
        <w:tc>
          <w:tcPr>
            <w:tcW w:type="dxa" w:w="6899"/>
          </w:tcPr>
          <w:p>
            <w:pPr>
              <w:spacing w:after="0"/>
            </w:pPr>
            <w:r>
              <w:rPr>
                <w:sz w:val="19"/>
              </w:rPr>
              <w:t>Jede Frage, die während des Projekts aufkam, hat jetzt eine Antwort oder ist bewusst an ein Folgeprojekt übergeben.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512"/>
        <w:gridCol w:w="6899"/>
      </w:tblGrid>
      <w:tr>
        <w:trPr>
          <w:tblHeader/>
          <w:cantSplit/>
        </w:trPr>
        <w:tc>
          <w:tcPr>
            <w:tcW w:type="dxa" w:w="9411"/>
            <w:gridSpan w:val="2"/>
            <w:tcBorders>
              <w:top w:val="nil"/>
              <w:left w:val="nil"/>
              <w:right w:val="nil"/>
            </w:tcBorders>
          </w:tcPr>
          <w:p>
            <w:pPr>
              <w:pStyle w:val="Heading3"/>
              <w:spacing w:before="200" w:after="60"/>
            </w:pPr>
            <w:r>
              <w:t>Schritt 5.14 – Abschluss (nach Kursende 13.10.2026)</w:t>
            </w:r>
          </w:p>
        </w:tc>
      </w:tr>
      <w:tr>
        <w:trPr>
          <w:tblHeader/>
        </w:trPr>
        <w:tc>
          <w:tcPr>
            <w:tcW w:type="dxa" w:w="2512"/>
            <w:shd w:val="clear" w:color="auto" w:fill="D9E2F3"/>
          </w:tcPr>
          <w:p>
            <w:pPr>
              <w:spacing w:after="0"/>
            </w:pPr>
            <w:r>
              <w:rPr>
                <w:b/>
                <w:sz w:val="19"/>
              </w:rPr>
              <w:t>Feld</w:t>
            </w:r>
          </w:p>
        </w:tc>
        <w:tc>
          <w:tcPr>
            <w:tcW w:type="dxa" w:w="6899"/>
            <w:shd w:val="clear" w:color="auto" w:fill="D9E2F3"/>
          </w:tcPr>
          <w:p>
            <w:pPr>
              <w:spacing w:after="0"/>
            </w:pPr>
            <w:r>
              <w:rPr>
                <w:b/>
                <w:sz w:val="19"/>
              </w:rPr>
              <w:t>Inhalt</w:t>
            </w:r>
          </w:p>
        </w:tc>
      </w:tr>
      <w:tr>
        <w:trPr/>
        <w:tc>
          <w:tcPr>
            <w:tcW w:type="dxa" w:w="2512"/>
          </w:tcPr>
          <w:p>
            <w:pPr>
              <w:spacing w:after="0"/>
            </w:pPr>
            <w:r>
              <w:rPr>
                <w:sz w:val="19"/>
              </w:rPr>
              <w:t>Frage / Anlass</w:t>
            </w:r>
          </w:p>
        </w:tc>
        <w:tc>
          <w:tcPr>
            <w:tcW w:type="dxa" w:w="6899"/>
          </w:tcPr>
          <w:p>
            <w:pPr>
              <w:spacing w:after="0"/>
            </w:pPr>
            <w:r>
              <w:rPr>
                <w:sz w:val="19"/>
              </w:rPr>
              <w:t>Was wird gesichert, was gelöscht, was hat es gekostet?</w:t>
            </w:r>
          </w:p>
        </w:tc>
      </w:tr>
      <w:tr>
        <w:trPr/>
        <w:tc>
          <w:tcPr>
            <w:tcW w:type="dxa" w:w="2512"/>
          </w:tcPr>
          <w:p>
            <w:pPr>
              <w:spacing w:after="0"/>
            </w:pPr>
            <w:r>
              <w:rPr>
                <w:sz w:val="19"/>
              </w:rPr>
              <w:t>Eigene Erwartung</w:t>
            </w:r>
          </w:p>
        </w:tc>
        <w:tc>
          <w:tcPr>
            <w:tcW w:type="dxa" w:w="6899"/>
          </w:tcPr>
          <w:p>
            <w:pPr>
              <w:spacing w:after="0"/>
            </w:pPr>
            <w:r>
              <w:rPr>
                <w:sz w:val="19"/>
              </w:rPr>
              <w:t>Daten lokal gesichert, Ressourcen nach Freigabe gelöscht</w:t>
            </w:r>
          </w:p>
        </w:tc>
      </w:tr>
      <w:tr>
        <w:trPr/>
        <w:tc>
          <w:tcPr>
            <w:tcW w:type="dxa" w:w="2512"/>
          </w:tcPr>
          <w:p>
            <w:pPr>
              <w:spacing w:after="0"/>
            </w:pPr>
            <w:r>
              <w:rPr>
                <w:sz w:val="19"/>
              </w:rPr>
              <w:t>Erwartung laut Recherche</w:t>
            </w:r>
          </w:p>
        </w:tc>
        <w:tc>
          <w:tcPr>
            <w:tcW w:type="dxa" w:w="6899"/>
          </w:tcPr>
          <w:p>
            <w:pPr>
              <w:spacing w:after="0"/>
            </w:pPr>
            <w:r>
              <w:rPr>
                <w:sz w:val="19"/>
              </w:rPr>
              <w:t>Guthaben gilt bis 18.10.2026</w:t>
            </w:r>
          </w:p>
        </w:tc>
      </w:tr>
      <w:tr>
        <w:trPr/>
        <w:tc>
          <w:tcPr>
            <w:tcW w:type="dxa" w:w="2512"/>
          </w:tcPr>
          <w:p>
            <w:pPr>
              <w:spacing w:after="0"/>
            </w:pPr>
            <w:r>
              <w:rPr>
                <w:sz w:val="19"/>
              </w:rPr>
              <w:t>Lösungswege</w:t>
            </w:r>
          </w:p>
        </w:tc>
        <w:tc>
          <w:tcPr>
            <w:tcW w:type="dxa" w:w="6899"/>
          </w:tcPr>
          <w:p>
            <w:pPr>
              <w:spacing w:after="0"/>
            </w:pPr>
            <w:r>
              <w:rPr>
                <w:b/>
                <w:sz w:val="19"/>
              </w:rPr>
              <w:t>A</w:t>
            </w:r>
            <w:r>
              <w:rPr>
                <w:sz w:val="19"/>
              </w:rPr>
              <w:t xml:space="preserve"> Ressourcengruppe nach Sicherung löschen · </w:t>
            </w:r>
            <w:r>
              <w:rPr>
                <w:b/>
                <w:sz w:val="19"/>
              </w:rPr>
              <w:t>B</w:t>
            </w:r>
            <w:r>
              <w:rPr>
                <w:sz w:val="19"/>
              </w:rPr>
              <w:t xml:space="preserve"> Speicher behalten, Rechendienste löschen</w:t>
            </w:r>
          </w:p>
        </w:tc>
      </w:tr>
      <w:tr>
        <w:trPr/>
        <w:tc>
          <w:tcPr>
            <w:tcW w:type="dxa" w:w="2512"/>
          </w:tcPr>
          <w:p>
            <w:pPr>
              <w:spacing w:after="0"/>
            </w:pPr>
            <w:r>
              <w:rPr>
                <w:sz w:val="19"/>
              </w:rPr>
              <w:t>Zwischenschritte (geplant)</w:t>
            </w:r>
          </w:p>
        </w:tc>
        <w:tc>
          <w:tcPr>
            <w:tcW w:type="dxa" w:w="6899"/>
          </w:tcPr>
          <w:p>
            <w:pPr>
              <w:spacing w:after="0"/>
            </w:pPr>
            <w:r>
              <w:rPr>
                <w:sz w:val="19"/>
              </w:rPr>
              <w:t>Abschlussprüfung QS (WB-QM-001 Abschn. 10) · Export Data Factory (ARM-Vorlage) und Synapse-Notebooks · Gold-Daten lokal · Kostenmeldung · Rückbau nach Freigabe · Freigabe Projektabschluss (Projektplan 5.14.1–5.14.6)</w:t>
            </w:r>
          </w:p>
        </w:tc>
      </w:tr>
      <w:tr>
        <w:trPr/>
        <w:tc>
          <w:tcPr>
            <w:tcW w:type="dxa" w:w="2512"/>
          </w:tcPr>
          <w:p>
            <w:pPr>
              <w:spacing w:after="0"/>
            </w:pPr>
            <w:r>
              <w:rPr>
                <w:sz w:val="19"/>
              </w:rPr>
              <w:t>Entscheidung + Begründung</w:t>
            </w:r>
          </w:p>
        </w:tc>
        <w:tc>
          <w:tcPr>
            <w:tcW w:type="dxa" w:w="6899"/>
          </w:tcPr>
          <w:p>
            <w:pPr>
              <w:spacing w:after="0"/>
            </w:pPr>
            <w:r>
              <w:rPr>
                <w:i/>
                <w:sz w:val="19"/>
              </w:rPr>
              <w:t>nach Kursende (Aufgabe 82)</w:t>
            </w:r>
          </w:p>
        </w:tc>
      </w:tr>
      <w:tr>
        <w:trPr/>
        <w:tc>
          <w:tcPr>
            <w:tcW w:type="dxa" w:w="2512"/>
          </w:tcPr>
          <w:p>
            <w:pPr>
              <w:spacing w:after="0"/>
            </w:pPr>
            <w:r>
              <w:rPr>
                <w:sz w:val="19"/>
              </w:rPr>
              <w:t>Hinweise / Gefahren</w:t>
            </w:r>
          </w:p>
        </w:tc>
        <w:tc>
          <w:tcPr>
            <w:tcW w:type="dxa" w:w="6899"/>
          </w:tcPr>
          <w:p>
            <w:pPr>
              <w:spacing w:after="0"/>
            </w:pPr>
            <w:r>
              <w:rPr>
                <w:sz w:val="19"/>
              </w:rPr>
              <w:t>Löschen nur nach Freigabe; vorher Inhalt prüfen</w:t>
            </w:r>
          </w:p>
        </w:tc>
      </w:tr>
      <w:tr>
        <w:trPr/>
        <w:tc>
          <w:tcPr>
            <w:tcW w:type="dxa" w:w="2512"/>
          </w:tcPr>
          <w:p>
            <w:pPr>
              <w:spacing w:after="0"/>
            </w:pPr>
            <w:r>
              <w:rPr>
                <w:sz w:val="19"/>
              </w:rPr>
              <w:t>Für Agenten / ML</w:t>
            </w:r>
          </w:p>
        </w:tc>
        <w:tc>
          <w:tcPr>
            <w:tcW w:type="dxa" w:w="6899"/>
          </w:tcPr>
          <w:p>
            <w:pPr>
              <w:spacing w:after="0"/>
            </w:pPr>
            <w:r>
              <w:rPr>
                <w:sz w:val="19"/>
              </w:rPr>
              <w:t>Rückbau-Checkliste für künftige Projekte</w:t>
            </w:r>
          </w:p>
        </w:tc>
      </w:tr>
      <w:tr>
        <w:trPr/>
        <w:tc>
          <w:tcPr>
            <w:tcW w:type="dxa" w:w="2512"/>
          </w:tcPr>
          <w:p>
            <w:pPr>
              <w:spacing w:after="0"/>
            </w:pPr>
            <w:r>
              <w:rPr>
                <w:sz w:val="19"/>
              </w:rPr>
              <w:t>Verweise</w:t>
            </w:r>
          </w:p>
        </w:tc>
        <w:tc>
          <w:tcPr>
            <w:tcW w:type="dxa" w:w="6899"/>
          </w:tcPr>
          <w:p>
            <w:pPr>
              <w:spacing w:after="0"/>
            </w:pPr>
            <w:r>
              <w:rPr>
                <w:sz w:val="19"/>
              </w:rPr>
              <w:t>Projektplan M5 Schritte 5.14.1–5.14.6 · F6, Risiko 1</w:t>
            </w:r>
          </w:p>
        </w:tc>
      </w:tr>
    </w:tbl>
    <w:p>
      <w:pPr>
        <w:spacing w:after="0" w:line="20" w:lineRule="exact"/>
      </w:pPr>
    </w:p>
    <w:p>
      <w:pPr>
        <w:pStyle w:val="Heading1"/>
        <w:pageBreakBefore/>
      </w:pPr>
      <w:r>
        <w:t>3. Leistungsumfang &amp; Deliverables</w:t>
      </w:r>
    </w:p>
    <w:p>
      <w:pPr>
        <w:spacing w:after="0" w:line="20" w:lineRule="exact"/>
      </w:pPr>
    </w:p>
    <w:p>
      <w:r>
        <w:t>Deliverables (Liefergegenstände) mit Stand:</w:t>
      </w:r>
    </w:p>
    <w:tbl>
      <w:tblPr>
        <w:tblStyle w:val="TableGrid"/>
        <w:tblW w:type="auto" w:w="0"/>
        <w:jc w:val="center"/>
        <w:tblLayout w:type="fixed"/>
        <w:tblLook w:firstColumn="1" w:firstRow="1" w:lastColumn="0" w:lastRow="0" w:noHBand="0" w:noVBand="1" w:val="04A0"/>
      </w:tblPr>
      <w:tblGrid>
        <w:gridCol w:w="4265"/>
        <w:gridCol w:w="2694"/>
        <w:gridCol w:w="2453"/>
      </w:tblGrid>
      <w:tr>
        <w:trPr>
          <w:tblHeader/>
        </w:trPr>
        <w:tc>
          <w:tcPr>
            <w:tcW w:type="dxa" w:w="4265"/>
            <w:shd w:val="clear" w:color="auto" w:fill="D9E2F3"/>
          </w:tcPr>
          <w:p>
            <w:pPr>
              <w:spacing w:after="0"/>
            </w:pPr>
            <w:r>
              <w:rPr>
                <w:b/>
                <w:sz w:val="19"/>
              </w:rPr>
              <w:t>Liefergegenstand</w:t>
            </w:r>
          </w:p>
        </w:tc>
        <w:tc>
          <w:tcPr>
            <w:tcW w:type="dxa" w:w="2694"/>
            <w:shd w:val="clear" w:color="auto" w:fill="D9E2F3"/>
          </w:tcPr>
          <w:p>
            <w:pPr>
              <w:spacing w:after="0"/>
            </w:pPr>
            <w:r>
              <w:rPr>
                <w:b/>
                <w:sz w:val="19"/>
              </w:rPr>
              <w:t>Ort</w:t>
            </w:r>
          </w:p>
        </w:tc>
        <w:tc>
          <w:tcPr>
            <w:tcW w:type="dxa" w:w="2453"/>
            <w:shd w:val="clear" w:color="auto" w:fill="D9E2F3"/>
          </w:tcPr>
          <w:p>
            <w:pPr>
              <w:spacing w:after="0"/>
            </w:pPr>
            <w:r>
              <w:rPr>
                <w:b/>
                <w:sz w:val="19"/>
              </w:rPr>
              <w:t>Stand</w:t>
            </w:r>
          </w:p>
        </w:tc>
      </w:tr>
      <w:tr>
        <w:trPr/>
        <w:tc>
          <w:tcPr>
            <w:tcW w:type="dxa" w:w="4265"/>
          </w:tcPr>
          <w:p>
            <w:pPr>
              <w:spacing w:after="0"/>
            </w:pPr>
            <w:r>
              <w:rPr>
                <w:sz w:val="19"/>
              </w:rPr>
              <w:t xml:space="preserve">Azure-Plattform </w:t>
            </w:r>
            <w:r>
              <w:rPr>
                <w:rFonts w:ascii="Courier New" w:hAnsi="Courier New"/>
                <w:sz w:val="17"/>
              </w:rPr>
              <w:t>rg-beehaven-dev-gwc</w:t>
            </w:r>
            <w:r>
              <w:rPr>
                <w:sz w:val="19"/>
              </w:rPr>
              <w:t xml:space="preserve"> (Quelle, Data Lake Bronze/Silver/Gold, Data Factory, Synapse mit Spark-Pool), minimale Rechte über verwaltete Identitäten</w:t>
            </w:r>
          </w:p>
        </w:tc>
        <w:tc>
          <w:tcPr>
            <w:tcW w:type="dxa" w:w="2694"/>
          </w:tcPr>
          <w:p>
            <w:pPr>
              <w:spacing w:after="0"/>
            </w:pPr>
            <w:r>
              <w:rPr>
                <w:sz w:val="19"/>
              </w:rPr>
              <w:t>Azure</w:t>
            </w:r>
          </w:p>
        </w:tc>
        <w:tc>
          <w:tcPr>
            <w:tcW w:type="dxa" w:w="2453"/>
          </w:tcPr>
          <w:p>
            <w:pPr>
              <w:spacing w:after="0"/>
            </w:pPr>
            <w:r>
              <w:rPr>
                <w:sz w:val="19"/>
              </w:rPr>
              <w:t>erreicht</w:t>
            </w:r>
          </w:p>
        </w:tc>
      </w:tr>
      <w:tr>
        <w:trPr/>
        <w:tc>
          <w:tcPr>
            <w:tcW w:type="dxa" w:w="4265"/>
          </w:tcPr>
          <w:p>
            <w:pPr>
              <w:spacing w:after="0"/>
            </w:pPr>
            <w:r>
              <w:rPr>
                <w:sz w:val="19"/>
              </w:rPr>
              <w:t xml:space="preserve">Pipelines </w:t>
            </w:r>
            <w:r>
              <w:rPr>
                <w:rFonts w:ascii="Courier New" w:hAnsi="Courier New"/>
                <w:sz w:val="17"/>
              </w:rPr>
              <w:t>pl_ingest_raw_to_bronze</w:t>
            </w:r>
            <w:r>
              <w:rPr>
                <w:sz w:val="19"/>
              </w:rPr>
              <w:t xml:space="preserve">, </w:t>
            </w:r>
            <w:r>
              <w:rPr>
                <w:rFonts w:ascii="Courier New" w:hAnsi="Courier New"/>
                <w:sz w:val="17"/>
              </w:rPr>
              <w:t>pl_bronze_to_silver</w:t>
            </w:r>
            <w:r>
              <w:rPr>
                <w:sz w:val="19"/>
              </w:rPr>
              <w:t xml:space="preserve">, </w:t>
            </w:r>
            <w:r>
              <w:rPr>
                <w:rFonts w:ascii="Courier New" w:hAnsi="Courier New"/>
                <w:sz w:val="17"/>
              </w:rPr>
              <w:t>pl_silver_to_gold</w:t>
            </w:r>
            <w:r>
              <w:rPr>
                <w:sz w:val="19"/>
              </w:rPr>
              <w:t xml:space="preserve">, </w:t>
            </w:r>
            <w:r>
              <w:rPr>
                <w:rFonts w:ascii="Courier New" w:hAnsi="Courier New"/>
                <w:sz w:val="17"/>
              </w:rPr>
              <w:t>pl_bronze_new_to_archive</w:t>
            </w:r>
            <w:r>
              <w:rPr>
                <w:sz w:val="19"/>
              </w:rPr>
              <w:t xml:space="preserve">, Master-Pipeline </w:t>
            </w:r>
            <w:r>
              <w:rPr>
                <w:rFonts w:ascii="Courier New" w:hAnsi="Courier New"/>
                <w:sz w:val="17"/>
              </w:rPr>
              <w:t>pl_daily_processing</w:t>
            </w:r>
            <w:r>
              <w:rPr>
                <w:sz w:val="19"/>
              </w:rPr>
              <w:t>, Trigger, Warnregeln</w:t>
            </w:r>
          </w:p>
        </w:tc>
        <w:tc>
          <w:tcPr>
            <w:tcW w:type="dxa" w:w="2694"/>
          </w:tcPr>
          <w:p>
            <w:pPr>
              <w:spacing w:after="0"/>
            </w:pPr>
            <w:r>
              <w:rPr>
                <w:sz w:val="19"/>
              </w:rPr>
              <w:t>Azure</w:t>
            </w:r>
          </w:p>
        </w:tc>
        <w:tc>
          <w:tcPr>
            <w:tcW w:type="dxa" w:w="2453"/>
          </w:tcPr>
          <w:p>
            <w:pPr>
              <w:spacing w:after="0"/>
            </w:pPr>
            <w:r>
              <w:rPr>
                <w:sz w:val="19"/>
              </w:rPr>
              <w:t>erreicht</w:t>
            </w:r>
          </w:p>
        </w:tc>
      </w:tr>
      <w:tr>
        <w:trPr/>
        <w:tc>
          <w:tcPr>
            <w:tcW w:type="dxa" w:w="4265"/>
          </w:tcPr>
          <w:p>
            <w:pPr>
              <w:spacing w:after="0"/>
            </w:pPr>
            <w:r>
              <w:rPr>
                <w:sz w:val="19"/>
              </w:rPr>
              <w:t xml:space="preserve">Notebooks Steuer-Notebook, N1 Bereinigung, N2 Datenqualität, N3 Wetter, N4 Gold, N5 Analyse, </w:t>
            </w:r>
            <w:r>
              <w:rPr>
                <w:rFonts w:ascii="Courier New" w:hAnsi="Courier New"/>
                <w:sz w:val="17"/>
              </w:rPr>
              <w:t>06_vergleich_standorte</w:t>
            </w:r>
            <w:r>
              <w:rPr>
                <w:sz w:val="19"/>
              </w:rPr>
              <w:t>, Zusatz Z1; Synapse-Fassungen; Stadt-Fassungen Würzburg</w:t>
            </w:r>
          </w:p>
        </w:tc>
        <w:tc>
          <w:tcPr>
            <w:tcW w:type="dxa" w:w="2694"/>
          </w:tcPr>
          <w:p>
            <w:pPr>
              <w:spacing w:after="0"/>
            </w:pPr>
            <w:r>
              <w:rPr>
                <w:rFonts w:ascii="Courier New" w:hAnsi="Courier New"/>
                <w:sz w:val="17"/>
              </w:rPr>
              <w:t>03_notebooks_ITS-Data/</w:t>
            </w:r>
          </w:p>
        </w:tc>
        <w:tc>
          <w:tcPr>
            <w:tcW w:type="dxa" w:w="2453"/>
          </w:tcPr>
          <w:p>
            <w:pPr>
              <w:spacing w:after="0"/>
            </w:pPr>
            <w:r>
              <w:rPr>
                <w:sz w:val="19"/>
              </w:rPr>
              <w:t>erreicht (Texte neutral je Standort seit 05.10.)</w:t>
            </w:r>
          </w:p>
        </w:tc>
      </w:tr>
      <w:tr>
        <w:trPr/>
        <w:tc>
          <w:tcPr>
            <w:tcW w:type="dxa" w:w="4265"/>
          </w:tcPr>
          <w:p>
            <w:pPr>
              <w:spacing w:after="0"/>
            </w:pPr>
            <w:r>
              <w:rPr>
                <w:sz w:val="19"/>
              </w:rPr>
              <w:t xml:space="preserve">Konfigurationstabellen </w:t>
            </w:r>
            <w:r>
              <w:rPr>
                <w:rFonts w:ascii="Courier New" w:hAnsi="Courier New"/>
                <w:sz w:val="17"/>
              </w:rPr>
              <w:t>standorte.csv</w:t>
            </w:r>
            <w:r>
              <w:rPr>
                <w:sz w:val="19"/>
              </w:rPr>
              <w:t xml:space="preserve">, </w:t>
            </w:r>
            <w:r>
              <w:rPr>
                <w:rFonts w:ascii="Courier New" w:hAnsi="Courier New"/>
                <w:sz w:val="17"/>
              </w:rPr>
              <w:t>sensoren.csv</w:t>
            </w:r>
            <w:r>
              <w:rPr>
                <w:sz w:val="19"/>
              </w:rPr>
              <w:t xml:space="preserve">, </w:t>
            </w:r>
            <w:r>
              <w:rPr>
                <w:rFonts w:ascii="Courier New" w:hAnsi="Courier New"/>
                <w:sz w:val="17"/>
              </w:rPr>
              <w:t>ausschluesse.csv</w:t>
            </w:r>
          </w:p>
        </w:tc>
        <w:tc>
          <w:tcPr>
            <w:tcW w:type="dxa" w:w="2694"/>
          </w:tcPr>
          <w:p>
            <w:pPr>
              <w:spacing w:after="0"/>
            </w:pPr>
            <w:r>
              <w:rPr>
                <w:rFonts w:ascii="Courier New" w:hAnsi="Courier New"/>
                <w:sz w:val="17"/>
              </w:rPr>
              <w:t>lakehouse/konfiguration/</w:t>
            </w:r>
          </w:p>
        </w:tc>
        <w:tc>
          <w:tcPr>
            <w:tcW w:type="dxa" w:w="2453"/>
          </w:tcPr>
          <w:p>
            <w:pPr>
              <w:spacing w:after="0"/>
            </w:pPr>
            <w:r>
              <w:rPr>
                <w:sz w:val="19"/>
              </w:rPr>
              <w:t>erreicht</w:t>
            </w:r>
          </w:p>
        </w:tc>
      </w:tr>
      <w:tr>
        <w:trPr/>
        <w:tc>
          <w:tcPr>
            <w:tcW w:type="dxa" w:w="4265"/>
          </w:tcPr>
          <w:p>
            <w:pPr>
              <w:spacing w:after="0"/>
            </w:pPr>
            <w:r>
              <w:rPr>
                <w:sz w:val="19"/>
              </w:rPr>
              <w:t>Bereinigte Daten (Silver) und analysebereite Gold-Tabellen je Standort</w:t>
            </w:r>
          </w:p>
        </w:tc>
        <w:tc>
          <w:tcPr>
            <w:tcW w:type="dxa" w:w="2694"/>
          </w:tcPr>
          <w:p>
            <w:pPr>
              <w:spacing w:after="0"/>
            </w:pPr>
            <w:r>
              <w:rPr>
                <w:sz w:val="19"/>
              </w:rPr>
              <w:t>Data Lake / lokal (nicht veröffentlicht)</w:t>
            </w:r>
          </w:p>
        </w:tc>
        <w:tc>
          <w:tcPr>
            <w:tcW w:type="dxa" w:w="2453"/>
          </w:tcPr>
          <w:p>
            <w:pPr>
              <w:spacing w:after="0"/>
            </w:pPr>
            <w:r>
              <w:rPr>
                <w:sz w:val="19"/>
              </w:rPr>
              <w:t>erreicht</w:t>
            </w:r>
          </w:p>
        </w:tc>
      </w:tr>
      <w:tr>
        <w:trPr/>
        <w:tc>
          <w:tcPr>
            <w:tcW w:type="dxa" w:w="4265"/>
          </w:tcPr>
          <w:p>
            <w:pPr>
              <w:spacing w:after="0"/>
            </w:pPr>
            <w:r>
              <w:rPr>
                <w:sz w:val="19"/>
              </w:rPr>
              <w:t>Grafiken nach Grafik-Standard</w:t>
            </w:r>
          </w:p>
        </w:tc>
        <w:tc>
          <w:tcPr>
            <w:tcW w:type="dxa" w:w="2694"/>
          </w:tcPr>
          <w:p>
            <w:pPr>
              <w:spacing w:after="0"/>
            </w:pPr>
            <w:r>
              <w:rPr>
                <w:rFonts w:ascii="Courier New" w:hAnsi="Courier New"/>
                <w:sz w:val="17"/>
              </w:rPr>
              <w:t>04_images/</w:t>
            </w:r>
            <w:r>
              <w:rPr>
                <w:sz w:val="19"/>
              </w:rPr>
              <w:t xml:space="preserve">, </w:t>
            </w:r>
            <w:r>
              <w:rPr>
                <w:rFonts w:ascii="Courier New" w:hAnsi="Courier New"/>
                <w:sz w:val="17"/>
              </w:rPr>
              <w:t>04_images/&lt;stadt&gt;/</w:t>
            </w:r>
            <w:r>
              <w:rPr>
                <w:sz w:val="19"/>
              </w:rPr>
              <w:t xml:space="preserve"> (Kap. 8.5)</w:t>
            </w:r>
          </w:p>
        </w:tc>
        <w:tc>
          <w:tcPr>
            <w:tcW w:type="dxa" w:w="2453"/>
          </w:tcPr>
          <w:p>
            <w:pPr>
              <w:spacing w:after="0"/>
            </w:pPr>
            <w:r>
              <w:rPr>
                <w:sz w:val="19"/>
              </w:rPr>
              <w:t>erreicht</w:t>
            </w:r>
          </w:p>
        </w:tc>
      </w:tr>
      <w:tr>
        <w:trPr/>
        <w:tc>
          <w:tcPr>
            <w:tcW w:type="dxa" w:w="4265"/>
          </w:tcPr>
          <w:p>
            <w:pPr>
              <w:spacing w:after="0"/>
            </w:pPr>
            <w:r>
              <w:rPr>
                <w:sz w:val="19"/>
              </w:rPr>
              <w:t>Dokumentation: Brainstorming, Projektplan, Pflichtenheft, Gesamt-Anleitung AN-ITS-001 mit Befehls-Anhang, Protokolle</w:t>
            </w:r>
          </w:p>
        </w:tc>
        <w:tc>
          <w:tcPr>
            <w:tcW w:type="dxa" w:w="2694"/>
          </w:tcPr>
          <w:p>
            <w:pPr>
              <w:spacing w:after="0"/>
            </w:pPr>
            <w:r>
              <w:rPr>
                <w:rFonts w:ascii="Courier New" w:hAnsi="Courier New"/>
                <w:sz w:val="17"/>
              </w:rPr>
              <w:t>01_projektmanagement/</w:t>
            </w:r>
            <w:r>
              <w:rPr>
                <w:sz w:val="19"/>
              </w:rPr>
              <w:t xml:space="preserve">, </w:t>
            </w:r>
            <w:r>
              <w:rPr>
                <w:rFonts w:ascii="Courier New" w:hAnsi="Courier New"/>
                <w:sz w:val="17"/>
              </w:rPr>
              <w:t>05_dokumentation/</w:t>
            </w:r>
          </w:p>
        </w:tc>
        <w:tc>
          <w:tcPr>
            <w:tcW w:type="dxa" w:w="2453"/>
          </w:tcPr>
          <w:p>
            <w:pPr>
              <w:spacing w:after="0"/>
            </w:pPr>
            <w:r>
              <w:rPr>
                <w:sz w:val="19"/>
              </w:rPr>
              <w:t>erreicht (AN v3.0)</w:t>
            </w:r>
          </w:p>
        </w:tc>
      </w:tr>
      <w:tr>
        <w:trPr/>
        <w:tc>
          <w:tcPr>
            <w:tcW w:type="dxa" w:w="4265"/>
          </w:tcPr>
          <w:p>
            <w:pPr>
              <w:spacing w:after="0"/>
            </w:pPr>
            <w:r>
              <w:rPr>
                <w:sz w:val="19"/>
              </w:rPr>
              <w:t>Prozessdokumentation (BPMN, RACI, Berechtigungsmatrix, Arbeitsanweisung)</w:t>
            </w:r>
          </w:p>
        </w:tc>
        <w:tc>
          <w:tcPr>
            <w:tcW w:type="dxa" w:w="2694"/>
          </w:tcPr>
          <w:p>
            <w:pPr>
              <w:spacing w:after="0"/>
            </w:pPr>
            <w:r>
              <w:rPr>
                <w:rFonts w:ascii="Courier New" w:hAnsi="Courier New"/>
                <w:sz w:val="17"/>
              </w:rPr>
              <w:t>07_prozesse_QM/</w:t>
            </w:r>
          </w:p>
        </w:tc>
        <w:tc>
          <w:tcPr>
            <w:tcW w:type="dxa" w:w="2453"/>
          </w:tcPr>
          <w:p>
            <w:pPr>
              <w:spacing w:after="0"/>
            </w:pPr>
            <w:r>
              <w:rPr>
                <w:sz w:val="19"/>
              </w:rPr>
              <w:t>erreicht</w:t>
            </w:r>
          </w:p>
        </w:tc>
      </w:tr>
      <w:tr>
        <w:trPr/>
        <w:tc>
          <w:tcPr>
            <w:tcW w:type="dxa" w:w="4265"/>
          </w:tcPr>
          <w:p>
            <w:pPr>
              <w:spacing w:after="0"/>
            </w:pPr>
            <w:r>
              <w:rPr>
                <w:sz w:val="19"/>
              </w:rPr>
              <w:t>Vorlagen und Dashboard-Konzept (intern, nicht veröffentlicht)</w:t>
            </w:r>
          </w:p>
        </w:tc>
        <w:tc>
          <w:tcPr>
            <w:tcW w:type="dxa" w:w="2694"/>
          </w:tcPr>
          <w:p>
            <w:pPr>
              <w:spacing w:after="0"/>
            </w:pPr>
            <w:r>
              <w:rPr>
                <w:rFonts w:ascii="Courier New" w:hAnsi="Courier New"/>
                <w:sz w:val="17"/>
              </w:rPr>
              <w:t>06_vorlagen/</w:t>
            </w:r>
            <w:r>
              <w:rPr>
                <w:sz w:val="19"/>
              </w:rPr>
              <w:t xml:space="preserve">, </w:t>
            </w:r>
            <w:r>
              <w:rPr>
                <w:rFonts w:ascii="Courier New" w:hAnsi="Courier New"/>
                <w:sz w:val="17"/>
              </w:rPr>
              <w:t>08_dashboard_ITS-DA/</w:t>
            </w:r>
          </w:p>
        </w:tc>
        <w:tc>
          <w:tcPr>
            <w:tcW w:type="dxa" w:w="2453"/>
          </w:tcPr>
          <w:p>
            <w:pPr>
              <w:spacing w:after="0"/>
            </w:pPr>
            <w:r>
              <w:rPr>
                <w:sz w:val="19"/>
              </w:rPr>
              <w:t>erreicht; Dashboard → FP-2</w:t>
            </w:r>
          </w:p>
        </w:tc>
      </w:tr>
      <w:tr>
        <w:trPr/>
        <w:tc>
          <w:tcPr>
            <w:tcW w:type="dxa" w:w="4265"/>
          </w:tcPr>
          <w:p>
            <w:pPr>
              <w:spacing w:after="0"/>
            </w:pPr>
            <w:r>
              <w:rPr>
                <w:sz w:val="19"/>
              </w:rPr>
              <w:t>Präsentationen je Zielgruppe</w:t>
            </w:r>
          </w:p>
        </w:tc>
        <w:tc>
          <w:tcPr>
            <w:tcW w:type="dxa" w:w="2694"/>
          </w:tcPr>
          <w:p>
            <w:pPr>
              <w:spacing w:after="0"/>
            </w:pPr>
            <w:r>
              <w:rPr>
                <w:rFonts w:ascii="Courier New" w:hAnsi="Courier New"/>
                <w:sz w:val="17"/>
              </w:rPr>
              <w:t>05_dokumentation/</w:t>
            </w:r>
          </w:p>
        </w:tc>
        <w:tc>
          <w:tcPr>
            <w:tcW w:type="dxa" w:w="2453"/>
          </w:tcPr>
          <w:p>
            <w:pPr>
              <w:spacing w:after="0"/>
            </w:pPr>
            <w:r>
              <w:rPr>
                <w:sz w:val="19"/>
              </w:rPr>
              <w:t>bis Abschluss</w:t>
            </w:r>
          </w:p>
        </w:tc>
      </w:tr>
      <w:tr>
        <w:trPr/>
        <w:tc>
          <w:tcPr>
            <w:tcW w:type="dxa" w:w="4265"/>
          </w:tcPr>
          <w:p>
            <w:pPr>
              <w:spacing w:after="0"/>
            </w:pPr>
            <w:r>
              <w:rPr>
                <w:sz w:val="19"/>
              </w:rPr>
              <w:t>Dashboard mit Warnhinweisen</w:t>
            </w:r>
          </w:p>
        </w:tc>
        <w:tc>
          <w:tcPr>
            <w:tcW w:type="dxa" w:w="2694"/>
          </w:tcPr>
          <w:p>
            <w:pPr>
              <w:spacing w:after="0"/>
            </w:pPr>
            <w:r>
              <w:rPr>
                <w:sz w:val="19"/>
              </w:rPr>
              <w:t>–</w:t>
            </w:r>
          </w:p>
        </w:tc>
        <w:tc>
          <w:tcPr>
            <w:tcW w:type="dxa" w:w="2453"/>
          </w:tcPr>
          <w:p>
            <w:pPr>
              <w:spacing w:after="0"/>
            </w:pPr>
            <w:r>
              <w:rPr>
                <w:sz w:val="19"/>
              </w:rPr>
              <w:t>Folgeprojekt FP-2</w:t>
            </w:r>
          </w:p>
        </w:tc>
      </w:tr>
    </w:tbl>
    <w:p>
      <w:pPr>
        <w:spacing w:after="0" w:line="20" w:lineRule="exact"/>
      </w:pPr>
    </w:p>
    <w:p>
      <w:pPr>
        <w:pStyle w:val="Heading2"/>
      </w:pPr>
      <w:r>
        <w:t>3.1 Qualitätsanforderungen</w:t>
      </w:r>
    </w:p>
    <w:p>
      <w:pPr>
        <w:spacing w:after="0" w:line="20" w:lineRule="exact"/>
      </w:pPr>
    </w:p>
    <w:p>
      <w:pPr>
        <w:pStyle w:val="ListBullet"/>
        <w:spacing w:after="40"/>
      </w:pPr>
      <w:r>
        <w:t>Jede Regel ist begründet und im Notebook kommentiert; jede Entscheidung steht mit Datum, Rolle und Begründung in einer Schritt-Karte.</w:t>
      </w:r>
    </w:p>
    <w:p>
      <w:pPr>
        <w:pStyle w:val="ListBullet"/>
        <w:spacing w:after="40"/>
      </w:pPr>
      <w:r>
        <w:t>Erwartungen stehen vor dem Ergebnis, mit Quelle; Abweichungen werden benannt statt angeglichen.</w:t>
      </w:r>
    </w:p>
    <w:p>
      <w:pPr>
        <w:pStyle w:val="ListBullet"/>
        <w:spacing w:after="40"/>
      </w:pPr>
      <w:r>
        <w:t>Zeilenanzahl vorher/nachher je Datei wird protokolliert; Kontrollwerte müssen mit dem Vorschritt übereinstimmen.</w:t>
      </w:r>
    </w:p>
    <w:p>
      <w:pPr>
        <w:pStyle w:val="ListBullet"/>
        <w:spacing w:after="40"/>
      </w:pPr>
      <w:r>
        <w:t>Originaldaten bleiben unverändert; ältere Versionen werden archiviert, nicht überschrieben.</w:t>
      </w:r>
    </w:p>
    <w:p>
      <w:pPr>
        <w:pStyle w:val="ListBullet"/>
        <w:spacing w:after="40"/>
      </w:pPr>
      <w:r>
        <w:t>Grafiken: Titel = Aussage, Achsen mit Einheit, Kennzahlen normal vs. aktuell; in Dokumenten verlinkt.</w:t>
      </w:r>
    </w:p>
    <w:p>
      <w:pPr>
        <w:pStyle w:val="ListBullet"/>
        <w:spacing w:after="40"/>
      </w:pPr>
      <w:r>
        <w:t>Screenshots für Anleitungen werden vor einer Veröffentlichung geschwärzt.</w:t>
      </w:r>
    </w:p>
    <w:p>
      <w:pPr>
        <w:pStyle w:val="Heading1"/>
        <w:pageBreakBefore/>
      </w:pPr>
      <w:r>
        <w:t>4. Projektphasen, Meilensteine &amp; Checkpoints</w:t>
      </w:r>
    </w:p>
    <w:p>
      <w:pPr>
        <w:spacing w:after="0" w:line="20" w:lineRule="exact"/>
      </w:pPr>
    </w:p>
    <w:tbl>
      <w:tblPr>
        <w:tblStyle w:val="TableGrid"/>
        <w:tblW w:type="auto" w:w="0"/>
        <w:jc w:val="center"/>
        <w:tblLayout w:type="fixed"/>
        <w:tblLook w:firstColumn="1" w:firstRow="1" w:lastColumn="0" w:lastRow="0" w:noHBand="0" w:noVBand="1" w:val="04A0"/>
      </w:tblPr>
      <w:tblGrid>
        <w:gridCol w:w="1965"/>
        <w:gridCol w:w="2538"/>
        <w:gridCol w:w="1833"/>
        <w:gridCol w:w="3076"/>
      </w:tblGrid>
      <w:tr>
        <w:trPr>
          <w:tblHeader/>
        </w:trPr>
        <w:tc>
          <w:tcPr>
            <w:tcW w:type="dxa" w:w="1965"/>
            <w:shd w:val="clear" w:color="auto" w:fill="D9E2F3"/>
          </w:tcPr>
          <w:p>
            <w:pPr>
              <w:spacing w:after="0"/>
            </w:pPr>
            <w:r>
              <w:rPr>
                <w:b/>
                <w:sz w:val="19"/>
              </w:rPr>
              <w:t>Zeitraum</w:t>
            </w:r>
          </w:p>
        </w:tc>
        <w:tc>
          <w:tcPr>
            <w:tcW w:type="dxa" w:w="2538"/>
            <w:shd w:val="clear" w:color="auto" w:fill="D9E2F3"/>
          </w:tcPr>
          <w:p>
            <w:pPr>
              <w:spacing w:after="0"/>
            </w:pPr>
            <w:r>
              <w:rPr>
                <w:b/>
                <w:sz w:val="19"/>
              </w:rPr>
              <w:t>Meilenstein</w:t>
            </w:r>
          </w:p>
        </w:tc>
        <w:tc>
          <w:tcPr>
            <w:tcW w:type="dxa" w:w="1833"/>
            <w:shd w:val="clear" w:color="auto" w:fill="D9E2F3"/>
          </w:tcPr>
          <w:p>
            <w:pPr>
              <w:spacing w:after="0"/>
            </w:pPr>
            <w:r>
              <w:rPr>
                <w:b/>
                <w:sz w:val="19"/>
              </w:rPr>
              <w:t>Checkpoint (Prüfpunkt)</w:t>
            </w:r>
          </w:p>
        </w:tc>
        <w:tc>
          <w:tcPr>
            <w:tcW w:type="dxa" w:w="3076"/>
            <w:shd w:val="clear" w:color="auto" w:fill="D9E2F3"/>
          </w:tcPr>
          <w:p>
            <w:pPr>
              <w:spacing w:after="0"/>
            </w:pPr>
            <w:r>
              <w:rPr>
                <w:b/>
                <w:sz w:val="19"/>
              </w:rPr>
              <w:t>Status</w:t>
            </w:r>
          </w:p>
        </w:tc>
      </w:tr>
      <w:tr>
        <w:trPr/>
        <w:tc>
          <w:tcPr>
            <w:tcW w:type="dxa" w:w="1965"/>
          </w:tcPr>
          <w:p>
            <w:pPr>
              <w:spacing w:after="0"/>
            </w:pPr>
            <w:r>
              <w:rPr>
                <w:sz w:val="19"/>
              </w:rPr>
              <w:t>23.–24.09.2026</w:t>
            </w:r>
          </w:p>
        </w:tc>
        <w:tc>
          <w:tcPr>
            <w:tcW w:type="dxa" w:w="2538"/>
          </w:tcPr>
          <w:p>
            <w:pPr>
              <w:spacing w:after="0"/>
            </w:pPr>
            <w:r>
              <w:rPr>
                <w:sz w:val="19"/>
              </w:rPr>
              <w:t>M1 Einrichtung Azure</w:t>
            </w:r>
          </w:p>
        </w:tc>
        <w:tc>
          <w:tcPr>
            <w:tcW w:type="dxa" w:w="1833"/>
          </w:tcPr>
          <w:p>
            <w:pPr>
              <w:spacing w:after="0"/>
            </w:pPr>
            <w:r>
              <w:rPr>
                <w:sz w:val="19"/>
              </w:rPr>
              <w:t>CP1</w:t>
            </w:r>
          </w:p>
        </w:tc>
        <w:tc>
          <w:tcPr>
            <w:tcW w:type="dxa" w:w="3076"/>
          </w:tcPr>
          <w:p>
            <w:pPr>
              <w:spacing w:after="0"/>
            </w:pPr>
            <w:r>
              <w:rPr>
                <w:sz w:val="19"/>
              </w:rPr>
              <w:t>erreicht</w:t>
            </w:r>
          </w:p>
        </w:tc>
      </w:tr>
      <w:tr>
        <w:trPr/>
        <w:tc>
          <w:tcPr>
            <w:tcW w:type="dxa" w:w="1965"/>
          </w:tcPr>
          <w:p>
            <w:pPr>
              <w:spacing w:after="0"/>
            </w:pPr>
            <w:r>
              <w:rPr>
                <w:sz w:val="19"/>
              </w:rPr>
              <w:t>25.09.2026</w:t>
            </w:r>
          </w:p>
        </w:tc>
        <w:tc>
          <w:tcPr>
            <w:tcW w:type="dxa" w:w="2538"/>
          </w:tcPr>
          <w:p>
            <w:pPr>
              <w:spacing w:after="0"/>
            </w:pPr>
            <w:r>
              <w:rPr>
                <w:sz w:val="19"/>
              </w:rPr>
              <w:t>M2 Datenverständnis und Bereinigung</w:t>
            </w:r>
          </w:p>
        </w:tc>
        <w:tc>
          <w:tcPr>
            <w:tcW w:type="dxa" w:w="1833"/>
          </w:tcPr>
          <w:p>
            <w:pPr>
              <w:spacing w:after="0"/>
            </w:pPr>
            <w:r>
              <w:rPr>
                <w:sz w:val="19"/>
              </w:rPr>
              <w:t>CP2</w:t>
            </w:r>
          </w:p>
        </w:tc>
        <w:tc>
          <w:tcPr>
            <w:tcW w:type="dxa" w:w="3076"/>
          </w:tcPr>
          <w:p>
            <w:pPr>
              <w:spacing w:after="0"/>
            </w:pPr>
            <w:r>
              <w:rPr>
                <w:sz w:val="19"/>
              </w:rPr>
              <w:t>erreicht</w:t>
            </w:r>
          </w:p>
        </w:tc>
      </w:tr>
      <w:tr>
        <w:trPr/>
        <w:tc>
          <w:tcPr>
            <w:tcW w:type="dxa" w:w="1965"/>
          </w:tcPr>
          <w:p>
            <w:pPr>
              <w:spacing w:after="0"/>
            </w:pPr>
            <w:r>
              <w:rPr>
                <w:sz w:val="19"/>
              </w:rPr>
              <w:t>28.09.2026</w:t>
            </w:r>
          </w:p>
        </w:tc>
        <w:tc>
          <w:tcPr>
            <w:tcW w:type="dxa" w:w="2538"/>
          </w:tcPr>
          <w:p>
            <w:pPr>
              <w:spacing w:after="0"/>
            </w:pPr>
            <w:r>
              <w:rPr>
                <w:sz w:val="19"/>
              </w:rPr>
              <w:t>M3 Plausibilität, Wetter, Analyse, Master-Pipeline</w:t>
            </w:r>
          </w:p>
        </w:tc>
        <w:tc>
          <w:tcPr>
            <w:tcW w:type="dxa" w:w="1833"/>
          </w:tcPr>
          <w:p>
            <w:pPr>
              <w:spacing w:after="0"/>
            </w:pPr>
            <w:r>
              <w:rPr>
                <w:sz w:val="19"/>
              </w:rPr>
              <w:t>CP3</w:t>
            </w:r>
          </w:p>
        </w:tc>
        <w:tc>
          <w:tcPr>
            <w:tcW w:type="dxa" w:w="3076"/>
          </w:tcPr>
          <w:p>
            <w:pPr>
              <w:spacing w:after="0"/>
            </w:pPr>
            <w:r>
              <w:rPr>
                <w:sz w:val="19"/>
              </w:rPr>
              <w:t>erreicht</w:t>
            </w:r>
          </w:p>
        </w:tc>
      </w:tr>
      <w:tr>
        <w:trPr/>
        <w:tc>
          <w:tcPr>
            <w:tcW w:type="dxa" w:w="1965"/>
          </w:tcPr>
          <w:p>
            <w:pPr>
              <w:spacing w:after="0"/>
            </w:pPr>
            <w:r>
              <w:rPr>
                <w:sz w:val="19"/>
              </w:rPr>
              <w:t>29.09.2026</w:t>
            </w:r>
          </w:p>
        </w:tc>
        <w:tc>
          <w:tcPr>
            <w:tcW w:type="dxa" w:w="2538"/>
          </w:tcPr>
          <w:p>
            <w:pPr>
              <w:spacing w:after="0"/>
            </w:pPr>
            <w:r>
              <w:rPr>
                <w:sz w:val="19"/>
              </w:rPr>
              <w:t>M4 Weg A, mehrere Standorte, erweiterte Analyse</w:t>
            </w:r>
          </w:p>
        </w:tc>
        <w:tc>
          <w:tcPr>
            <w:tcW w:type="dxa" w:w="1833"/>
          </w:tcPr>
          <w:p>
            <w:pPr>
              <w:spacing w:after="0"/>
            </w:pPr>
            <w:r>
              <w:rPr>
                <w:sz w:val="19"/>
              </w:rPr>
              <w:t>CP4</w:t>
            </w:r>
          </w:p>
        </w:tc>
        <w:tc>
          <w:tcPr>
            <w:tcW w:type="dxa" w:w="3076"/>
          </w:tcPr>
          <w:p>
            <w:pPr>
              <w:spacing w:after="0"/>
            </w:pPr>
            <w:r>
              <w:rPr>
                <w:sz w:val="19"/>
              </w:rPr>
              <w:t>erreicht</w:t>
            </w:r>
          </w:p>
        </w:tc>
      </w:tr>
      <w:tr>
        <w:trPr/>
        <w:tc>
          <w:tcPr>
            <w:tcW w:type="dxa" w:w="1965"/>
          </w:tcPr>
          <w:p>
            <w:pPr>
              <w:spacing w:after="0"/>
            </w:pPr>
            <w:r>
              <w:rPr>
                <w:sz w:val="19"/>
              </w:rPr>
              <w:t>30.09.–13.10.2026</w:t>
            </w:r>
          </w:p>
        </w:tc>
        <w:tc>
          <w:tcPr>
            <w:tcW w:type="dxa" w:w="2538"/>
          </w:tcPr>
          <w:p>
            <w:pPr>
              <w:spacing w:after="0"/>
            </w:pPr>
            <w:r>
              <w:rPr>
                <w:sz w:val="19"/>
              </w:rPr>
              <w:t>M5 Azure vervollständigen und abschließen</w:t>
            </w:r>
          </w:p>
        </w:tc>
        <w:tc>
          <w:tcPr>
            <w:tcW w:type="dxa" w:w="1833"/>
          </w:tcPr>
          <w:p>
            <w:pPr>
              <w:spacing w:after="0"/>
            </w:pPr>
            <w:r>
              <w:rPr>
                <w:sz w:val="19"/>
              </w:rPr>
              <w:t>CP5</w:t>
            </w:r>
          </w:p>
        </w:tc>
        <w:tc>
          <w:tcPr>
            <w:tcW w:type="dxa" w:w="3076"/>
          </w:tcPr>
          <w:p>
            <w:pPr>
              <w:spacing w:after="0"/>
            </w:pPr>
            <w:r>
              <w:rPr>
                <w:sz w:val="19"/>
              </w:rPr>
              <w:t>Technik erreicht 02.10.; Dokumentation erstellt 05.10.; Abschluss nach Kursende</w:t>
            </w:r>
          </w:p>
        </w:tc>
      </w:tr>
    </w:tbl>
    <w:p>
      <w:pPr>
        <w:spacing w:after="0" w:line="20" w:lineRule="exact"/>
      </w:pPr>
    </w:p>
    <w:p>
      <w:pPr>
        <w:pStyle w:val="Heading2"/>
      </w:pPr>
      <w:r>
        <w:t>4.1 Checkpoint-Details</w:t>
      </w:r>
    </w:p>
    <w:p>
      <w:pPr>
        <w:spacing w:after="0" w:line="20" w:lineRule="exact"/>
      </w:pPr>
    </w:p>
    <w:p>
      <w:r>
        <w:rPr>
          <w:b/>
        </w:rPr>
        <w:t>Checkpoint 1 – Plattform eingerichtet</w:t>
      </w:r>
    </w:p>
    <w:p>
      <w:pPr>
        <w:pStyle w:val="ListBullet"/>
        <w:spacing w:after="40"/>
      </w:pPr>
      <w:r>
        <w:t>☑ Ressourcengruppe, Speicherkonten, Data Factory in Germany West Central</w:t>
      </w:r>
    </w:p>
    <w:p>
      <w:pPr>
        <w:pStyle w:val="ListBullet"/>
        <w:spacing w:after="40"/>
      </w:pPr>
      <w:r>
        <w:t>☑ Rechte über verwaltete Identität (Lesen Quelle, Schreiben Data Lake)</w:t>
      </w:r>
    </w:p>
    <w:p>
      <w:pPr>
        <w:pStyle w:val="ListBullet"/>
        <w:spacing w:after="40"/>
      </w:pPr>
      <w:r>
        <w:t>☑ Rohdaten → Bronze → Silver und Archiv mit UTC-Zeitstempel getestet</w:t>
      </w:r>
    </w:p>
    <w:p>
      <w:pPr>
        <w:pStyle w:val="ListBullet"/>
        <w:spacing w:after="40"/>
      </w:pPr>
      <w:r>
        <w:t>☑ Budget-Warnung eingerichtet (30.09.2026, Schritt 5.7)</w:t>
      </w:r>
    </w:p>
    <w:p>
      <w:r>
        <w:rPr>
          <w:b/>
        </w:rPr>
        <w:t>Checkpoint 2 – Silver bereinigt</w:t>
      </w:r>
    </w:p>
    <w:p>
      <w:pPr>
        <w:pStyle w:val="ListBullet"/>
        <w:spacing w:after="40"/>
      </w:pPr>
      <w:r>
        <w:t>☑ Datenprofil und Regeln R1–R8 begründet</w:t>
      </w:r>
    </w:p>
    <w:p>
      <w:pPr>
        <w:pStyle w:val="ListBullet"/>
        <w:spacing w:after="40"/>
      </w:pPr>
      <w:r>
        <w:t>☑ N1 und N2 ohne Fehler, Kontrollwerte erfüllt</w:t>
      </w:r>
    </w:p>
    <w:p>
      <w:pPr>
        <w:pStyle w:val="ListBullet"/>
        <w:spacing w:after="40"/>
      </w:pPr>
      <w:r>
        <w:t>☑ Befund E5 entschieden (Schritt 5.1)</w:t>
      </w:r>
    </w:p>
    <w:p>
      <w:r>
        <w:rPr>
          <w:b/>
        </w:rPr>
        <w:t>Checkpoint 3 – Plausibel, angereichert, analysiert</w:t>
      </w:r>
    </w:p>
    <w:p>
      <w:pPr>
        <w:pStyle w:val="ListBullet"/>
        <w:spacing w:after="40"/>
      </w:pPr>
      <w:r>
        <w:t>☑ P1–P4, P6 erledigt; R9 und D2 = 1 °C umgesetzt</w:t>
      </w:r>
    </w:p>
    <w:p>
      <w:pPr>
        <w:pStyle w:val="ListBullet"/>
        <w:spacing w:after="40"/>
      </w:pPr>
      <w:r>
        <w:t>☑ N3 Wetter und Sonnenstand mit Quellenangabe</w:t>
      </w:r>
    </w:p>
    <w:p>
      <w:pPr>
        <w:pStyle w:val="ListBullet"/>
        <w:spacing w:after="40"/>
      </w:pPr>
      <w:r>
        <w:t>☑ F1–F3, A1–A6 nach Grafik-Standard (heute N5)</w:t>
      </w:r>
    </w:p>
    <w:p>
      <w:pPr>
        <w:pStyle w:val="ListBullet"/>
        <w:spacing w:after="40"/>
      </w:pPr>
      <w:r>
        <w:t>☑ Master-Pipeline getestet</w:t>
      </w:r>
    </w:p>
    <w:p>
      <w:pPr>
        <w:pStyle w:val="ListBullet"/>
        <w:spacing w:after="40"/>
      </w:pPr>
      <w:r>
        <w:t>☑ Anleitung für M3 ergänzt (AN-ITS-001 Schritte 18–24)</w:t>
      </w:r>
    </w:p>
    <w:p>
      <w:r>
        <w:rPr>
          <w:b/>
        </w:rPr>
        <w:t>Checkpoint 4 – Übertragbar und vertieft</w:t>
      </w:r>
    </w:p>
    <w:p>
      <w:pPr>
        <w:pStyle w:val="ListBullet"/>
        <w:spacing w:after="40"/>
      </w:pPr>
      <w:r>
        <w:t>☑ Weg A entschieden und dokumentiert</w:t>
      </w:r>
    </w:p>
    <w:p>
      <w:pPr>
        <w:pStyle w:val="ListBullet"/>
        <w:spacing w:after="40"/>
      </w:pPr>
      <w:r>
        <w:t xml:space="preserve">☑ Parameter </w:t>
      </w:r>
      <w:r>
        <w:rPr>
          <w:rFonts w:ascii="Courier New" w:hAnsi="Courier New"/>
          <w:sz w:val="19"/>
        </w:rPr>
        <w:t>STADT</w:t>
      </w:r>
      <w:r>
        <w:t xml:space="preserve"> und Standort-Tabelle; Notebooks neu gelaufen, identisch</w:t>
      </w:r>
    </w:p>
    <w:p>
      <w:pPr>
        <w:pStyle w:val="ListBullet"/>
        <w:spacing w:after="40"/>
      </w:pPr>
      <w:r>
        <w:t>☑ A7–A10 und H1 mit Erwartungen laut Recherche</w:t>
      </w:r>
    </w:p>
    <w:p>
      <w:pPr>
        <w:pStyle w:val="ListBullet"/>
        <w:spacing w:after="40"/>
      </w:pPr>
      <w:r>
        <w:t>☑ Anleitung für M4 ergänzt (AN-ITS-001 Phase 2/3)</w:t>
      </w:r>
    </w:p>
    <w:p>
      <w:r>
        <w:rPr>
          <w:b/>
        </w:rPr>
        <w:t>Checkpoint 5 – Betrieb und Abschluss</w:t>
      </w:r>
    </w:p>
    <w:p>
      <w:pPr>
        <w:pStyle w:val="ListBullet"/>
        <w:spacing w:after="40"/>
      </w:pPr>
      <w:r>
        <w:t>☑ Speicherformat geprüft (Z1)</w:t>
      </w:r>
    </w:p>
    <w:p>
      <w:pPr>
        <w:pStyle w:val="ListBullet"/>
        <w:spacing w:after="40"/>
      </w:pPr>
      <w:r>
        <w:t>☑ Standort-Tabelle in Azure, Master-Pipeline dokumentiert und getestet, Budget-Warnung eingerichtet</w:t>
      </w:r>
    </w:p>
    <w:p>
      <w:pPr>
        <w:pStyle w:val="ListBullet"/>
        <w:spacing w:after="40"/>
      </w:pPr>
      <w:r>
        <w:t>☑ Kosten je Notebook-Lauf freigegeben; Notebooks in Azure gelaufen (Gesamtlauf mit Gegenprobe)</w:t>
      </w:r>
    </w:p>
    <w:p>
      <w:pPr>
        <w:pStyle w:val="ListBullet"/>
        <w:spacing w:after="40"/>
      </w:pPr>
      <w:r>
        <w:t>☑ Zweiter Standort und Test mit neuen Daten (Würzburg, 02.10.)</w:t>
      </w:r>
    </w:p>
    <w:p>
      <w:pPr>
        <w:pStyle w:val="ListBullet"/>
        <w:spacing w:after="40"/>
      </w:pPr>
      <w:r>
        <w:t>☑ Trigger angelegt (gestoppt), Warnregeln aktiv</w:t>
      </w:r>
    </w:p>
    <w:p>
      <w:pPr>
        <w:pStyle w:val="ListBullet"/>
        <w:spacing w:after="40"/>
      </w:pPr>
      <w:r>
        <w:t>☑ README und Präsentation freigegeben (Vorlagen und Dashboard-Konzept intern)</w:t>
      </w:r>
    </w:p>
    <w:p>
      <w:pPr>
        <w:pStyle w:val="ListBullet"/>
        <w:spacing w:after="40"/>
      </w:pPr>
      <w:r>
        <w:t>☐ Anleitung v3.0 freigeben (Logikprüfung 06.10.2026 eingearbeitet)</w:t>
      </w:r>
    </w:p>
    <w:p>
      <w:pPr>
        <w:pStyle w:val="ListBullet"/>
        <w:spacing w:after="40"/>
      </w:pPr>
      <w:r>
        <w:t>☐ Abschlussprüfung QS, Sicherung, Kostenmeldung, Rückbau nach Freigabe</w:t>
      </w:r>
    </w:p>
    <w:p>
      <w:pPr>
        <w:pStyle w:val="Heading1"/>
        <w:pageBreakBefore/>
      </w:pPr>
      <w:r>
        <w:t>5. Rollen und Beiträge</w:t>
      </w:r>
    </w:p>
    <w:p>
      <w:pPr>
        <w:spacing w:after="0" w:line="20" w:lineRule="exact"/>
      </w:pPr>
    </w:p>
    <w:p>
      <w:r>
        <w:t>Im Schulprojekt übernimmt die Projektleitung alle Rollen in Personalunion und trägt die Beiträge der Rollen zusammen. Ausführliche Rollenbeschreibung: Projektplan Kap. 3.</w:t>
      </w:r>
    </w:p>
    <w:tbl>
      <w:tblPr>
        <w:tblStyle w:val="TableGrid"/>
        <w:tblW w:type="auto" w:w="0"/>
        <w:jc w:val="center"/>
        <w:tblLayout w:type="fixed"/>
        <w:tblLook w:firstColumn="1" w:firstRow="1" w:lastColumn="0" w:lastRow="0" w:noHBand="0" w:noVBand="1" w:val="04A0"/>
      </w:tblPr>
      <w:tblGrid>
        <w:gridCol w:w="2480"/>
        <w:gridCol w:w="4364"/>
        <w:gridCol w:w="2567"/>
      </w:tblGrid>
      <w:tr>
        <w:trPr>
          <w:tblHeader/>
        </w:trPr>
        <w:tc>
          <w:tcPr>
            <w:tcW w:type="dxa" w:w="2480"/>
            <w:shd w:val="clear" w:color="auto" w:fill="D9E2F3"/>
          </w:tcPr>
          <w:p>
            <w:pPr>
              <w:spacing w:after="0"/>
            </w:pPr>
            <w:r>
              <w:rPr>
                <w:b/>
                <w:sz w:val="19"/>
              </w:rPr>
              <w:t>Rolle</w:t>
            </w:r>
          </w:p>
        </w:tc>
        <w:tc>
          <w:tcPr>
            <w:tcW w:type="dxa" w:w="4364"/>
            <w:shd w:val="clear" w:color="auto" w:fill="D9E2F3"/>
          </w:tcPr>
          <w:p>
            <w:pPr>
              <w:spacing w:after="0"/>
            </w:pPr>
            <w:r>
              <w:rPr>
                <w:b/>
                <w:sz w:val="19"/>
              </w:rPr>
              <w:t>Beitrag (Ergebnis in diesem Projekt)</w:t>
            </w:r>
          </w:p>
        </w:tc>
        <w:tc>
          <w:tcPr>
            <w:tcW w:type="dxa" w:w="2567"/>
            <w:shd w:val="clear" w:color="auto" w:fill="D9E2F3"/>
          </w:tcPr>
          <w:p>
            <w:pPr>
              <w:spacing w:after="0"/>
            </w:pPr>
            <w:r>
              <w:rPr>
                <w:b/>
                <w:sz w:val="19"/>
              </w:rPr>
              <w:t>Schritte</w:t>
            </w:r>
          </w:p>
        </w:tc>
      </w:tr>
      <w:tr>
        <w:trPr/>
        <w:tc>
          <w:tcPr>
            <w:tcW w:type="dxa" w:w="2480"/>
          </w:tcPr>
          <w:p>
            <w:pPr>
              <w:spacing w:after="0"/>
            </w:pPr>
            <w:r>
              <w:rPr>
                <w:sz w:val="19"/>
              </w:rPr>
              <w:t>Projektleitung</w:t>
            </w:r>
          </w:p>
        </w:tc>
        <w:tc>
          <w:tcPr>
            <w:tcW w:type="dxa" w:w="4364"/>
          </w:tcPr>
          <w:p>
            <w:pPr>
              <w:spacing w:after="0"/>
            </w:pPr>
            <w:r>
              <w:rPr>
                <w:sz w:val="19"/>
              </w:rPr>
              <w:t>Plan, Entscheidungen, Freigaben, Zusammenführung der Beiträge, Dokumentation, Präsentation</w:t>
            </w:r>
          </w:p>
        </w:tc>
        <w:tc>
          <w:tcPr>
            <w:tcW w:type="dxa" w:w="2567"/>
          </w:tcPr>
          <w:p>
            <w:pPr>
              <w:spacing w:after="0"/>
            </w:pPr>
            <w:r>
              <w:rPr>
                <w:sz w:val="19"/>
              </w:rPr>
              <w:t>alle</w:t>
            </w:r>
          </w:p>
        </w:tc>
      </w:tr>
      <w:tr>
        <w:trPr/>
        <w:tc>
          <w:tcPr>
            <w:tcW w:type="dxa" w:w="2480"/>
          </w:tcPr>
          <w:p>
            <w:pPr>
              <w:spacing w:after="0"/>
            </w:pPr>
            <w:r>
              <w:rPr>
                <w:sz w:val="19"/>
              </w:rPr>
              <w:t>IT-Systemadministrator (IT &amp; Security)</w:t>
            </w:r>
          </w:p>
        </w:tc>
        <w:tc>
          <w:tcPr>
            <w:tcW w:type="dxa" w:w="4364"/>
          </w:tcPr>
          <w:p>
            <w:pPr>
              <w:spacing w:after="0"/>
            </w:pPr>
            <w:r>
              <w:rPr>
                <w:sz w:val="19"/>
              </w:rPr>
              <w:t>Ressourcen und Rechte nach dem Prinzip der geringsten Rechte (verwaltete Identitäten, drei Synapse-Rollen), Budget-Warnung, Ressourcenanbieter, Warnregeln; Rückbau</w:t>
            </w:r>
          </w:p>
        </w:tc>
        <w:tc>
          <w:tcPr>
            <w:tcW w:type="dxa" w:w="2567"/>
          </w:tcPr>
          <w:p>
            <w:pPr>
              <w:spacing w:after="0"/>
            </w:pPr>
            <w:r>
              <w:rPr>
                <w:sz w:val="19"/>
              </w:rPr>
              <w:t>1.1–1.5, 5.7, 5.8, 5.10, 5.14</w:t>
            </w:r>
          </w:p>
        </w:tc>
      </w:tr>
      <w:tr>
        <w:trPr/>
        <w:tc>
          <w:tcPr>
            <w:tcW w:type="dxa" w:w="2480"/>
          </w:tcPr>
          <w:p>
            <w:pPr>
              <w:spacing w:after="0"/>
            </w:pPr>
            <w:r>
              <w:rPr>
                <w:sz w:val="19"/>
              </w:rPr>
              <w:t>Data Engineer (IT &amp; Security)</w:t>
            </w:r>
          </w:p>
        </w:tc>
        <w:tc>
          <w:tcPr>
            <w:tcW w:type="dxa" w:w="4364"/>
          </w:tcPr>
          <w:p>
            <w:pPr>
              <w:spacing w:after="0"/>
            </w:pPr>
            <w:r>
              <w:rPr>
                <w:sz w:val="19"/>
              </w:rPr>
              <w:t>Pipelines Bronze → Silver → Gold mit Archiv, Steuer-Notebook in einer Spark-Sitzung, Gold-Pipeline je Stadt, Standortregeln als Konfiguration, Trigger und Nebenläufigkeit, Gegenprobe Azure ↔ lokal</w:t>
            </w:r>
          </w:p>
        </w:tc>
        <w:tc>
          <w:tcPr>
            <w:tcW w:type="dxa" w:w="2567"/>
          </w:tcPr>
          <w:p>
            <w:pPr>
              <w:spacing w:after="0"/>
            </w:pPr>
            <w:r>
              <w:rPr>
                <w:sz w:val="19"/>
              </w:rPr>
              <w:t>1.6–1.9, 2.2, 3.8, 3.9, 4.1, 4.2, 5.4–5.6, 5.9, 5.9a, 5.10</w:t>
            </w:r>
          </w:p>
        </w:tc>
      </w:tr>
      <w:tr>
        <w:trPr/>
        <w:tc>
          <w:tcPr>
            <w:tcW w:type="dxa" w:w="2480"/>
          </w:tcPr>
          <w:p>
            <w:pPr>
              <w:spacing w:after="0"/>
            </w:pPr>
            <w:r>
              <w:rPr>
                <w:sz w:val="19"/>
              </w:rPr>
              <w:t>Data Analyst (IT &amp; Security)</w:t>
            </w:r>
          </w:p>
        </w:tc>
        <w:tc>
          <w:tcPr>
            <w:tcW w:type="dxa" w:w="4364"/>
          </w:tcPr>
          <w:p>
            <w:pPr>
              <w:spacing w:after="0"/>
            </w:pPr>
            <w:r>
              <w:rPr>
                <w:sz w:val="19"/>
              </w:rPr>
              <w:t>Datenprofil und Bereinigungsregeln R1–R9, Wetteranreicherung, Analysen F1–F3, A1–A10, H1, Honig-Kennzahlen und Standortvergleich, Grafiken</w:t>
            </w:r>
          </w:p>
        </w:tc>
        <w:tc>
          <w:tcPr>
            <w:tcW w:type="dxa" w:w="2567"/>
          </w:tcPr>
          <w:p>
            <w:pPr>
              <w:spacing w:after="0"/>
            </w:pPr>
            <w:r>
              <w:rPr>
                <w:sz w:val="19"/>
              </w:rPr>
              <w:t>2.1–2.10, 3.1–3.7, 4.3–4.5, 5.1, 5.2, 5.9a</w:t>
            </w:r>
          </w:p>
        </w:tc>
      </w:tr>
      <w:tr>
        <w:trPr/>
        <w:tc>
          <w:tcPr>
            <w:tcW w:type="dxa" w:w="2480"/>
          </w:tcPr>
          <w:p>
            <w:pPr>
              <w:spacing w:after="0"/>
            </w:pPr>
            <w:r>
              <w:rPr>
                <w:sz w:val="19"/>
              </w:rPr>
              <w:t>Data Scientist (IT &amp; Security)</w:t>
            </w:r>
          </w:p>
        </w:tc>
        <w:tc>
          <w:tcPr>
            <w:tcW w:type="dxa" w:w="4364"/>
          </w:tcPr>
          <w:p>
            <w:pPr>
              <w:spacing w:after="0"/>
            </w:pPr>
            <w:r>
              <w:rPr>
                <w:sz w:val="19"/>
              </w:rPr>
              <w:t>Vorbereitung: Gold-Stundentabelle mit Kennzeichen für aufgefüllte Werte als Lerndaten; Modell zur Trennung der Einzelwirkungen → Folgeprojekt FP-3</w:t>
            </w:r>
          </w:p>
        </w:tc>
        <w:tc>
          <w:tcPr>
            <w:tcW w:type="dxa" w:w="2567"/>
          </w:tcPr>
          <w:p>
            <w:pPr>
              <w:spacing w:after="0"/>
            </w:pPr>
            <w:r>
              <w:rPr>
                <w:sz w:val="19"/>
              </w:rPr>
              <w:t>5.9, FP-3</w:t>
            </w:r>
          </w:p>
        </w:tc>
      </w:tr>
      <w:tr>
        <w:trPr/>
        <w:tc>
          <w:tcPr>
            <w:tcW w:type="dxa" w:w="2480"/>
          </w:tcPr>
          <w:p>
            <w:pPr>
              <w:spacing w:after="0"/>
            </w:pPr>
            <w:r>
              <w:rPr>
                <w:sz w:val="19"/>
              </w:rPr>
              <w:t>QS-Agent (Stabsstelle QM)</w:t>
            </w:r>
          </w:p>
        </w:tc>
        <w:tc>
          <w:tcPr>
            <w:tcW w:type="dxa" w:w="4364"/>
          </w:tcPr>
          <w:p>
            <w:pPr>
              <w:spacing w:after="0"/>
            </w:pPr>
            <w:r>
              <w:rPr>
                <w:sz w:val="19"/>
              </w:rPr>
              <w:t>Prüfung der Dokumente nach WB-QM-001, Protokolle, Abschlussprüfung</w:t>
            </w:r>
          </w:p>
        </w:tc>
        <w:tc>
          <w:tcPr>
            <w:tcW w:type="dxa" w:w="2567"/>
          </w:tcPr>
          <w:p>
            <w:pPr>
              <w:spacing w:after="0"/>
            </w:pPr>
            <w:r>
              <w:rPr>
                <w:sz w:val="19"/>
              </w:rPr>
              <w:t>alle, 5.14</w:t>
            </w:r>
          </w:p>
        </w:tc>
      </w:tr>
      <w:tr>
        <w:trPr/>
        <w:tc>
          <w:tcPr>
            <w:tcW w:type="dxa" w:w="2480"/>
          </w:tcPr>
          <w:p>
            <w:pPr>
              <w:spacing w:after="0"/>
            </w:pPr>
            <w:r>
              <w:rPr>
                <w:sz w:val="19"/>
              </w:rPr>
              <w:t>Finanzen (interne Abteilung)</w:t>
            </w:r>
          </w:p>
        </w:tc>
        <w:tc>
          <w:tcPr>
            <w:tcW w:type="dxa" w:w="4364"/>
          </w:tcPr>
          <w:p>
            <w:pPr>
              <w:spacing w:after="0"/>
            </w:pPr>
            <w:r>
              <w:rPr>
                <w:sz w:val="19"/>
              </w:rPr>
              <w:t>interne Kostenmeldung (Ist 1,02 €), Budget</w:t>
            </w:r>
          </w:p>
        </w:tc>
        <w:tc>
          <w:tcPr>
            <w:tcW w:type="dxa" w:w="2567"/>
          </w:tcPr>
          <w:p>
            <w:pPr>
              <w:spacing w:after="0"/>
            </w:pPr>
            <w:r>
              <w:rPr>
                <w:sz w:val="19"/>
              </w:rPr>
              <w:t>1.1, 5.8, 5.14</w:t>
            </w:r>
          </w:p>
        </w:tc>
      </w:tr>
    </w:tbl>
    <w:p>
      <w:pPr>
        <w:spacing w:after="0" w:line="20" w:lineRule="exact"/>
      </w:pPr>
    </w:p>
    <w:p>
      <w:pPr>
        <w:pStyle w:val="Heading1"/>
        <w:pageBreakBefore/>
      </w:pPr>
      <w:r>
        <w:t>6. Risikomanagement</w:t>
      </w:r>
    </w:p>
    <w:p>
      <w:pPr>
        <w:spacing w:after="0" w:line="20" w:lineRule="exact"/>
      </w:pPr>
    </w:p>
    <w:tbl>
      <w:tblPr>
        <w:tblStyle w:val="TableGrid"/>
        <w:tblW w:type="auto" w:w="0"/>
        <w:jc w:val="center"/>
        <w:tblLayout w:type="fixed"/>
        <w:tblLook w:firstColumn="1" w:firstRow="1" w:lastColumn="0" w:lastRow="0" w:noHBand="0" w:noVBand="1" w:val="04A0"/>
      </w:tblPr>
      <w:tblGrid>
        <w:gridCol w:w="789"/>
        <w:gridCol w:w="2477"/>
        <w:gridCol w:w="1980"/>
        <w:gridCol w:w="3190"/>
        <w:gridCol w:w="976"/>
      </w:tblGrid>
      <w:tr>
        <w:trPr>
          <w:tblHeader/>
        </w:trPr>
        <w:tc>
          <w:tcPr>
            <w:tcW w:type="dxa" w:w="789"/>
            <w:shd w:val="clear" w:color="auto" w:fill="D9E2F3"/>
          </w:tcPr>
          <w:p>
            <w:pPr>
              <w:spacing w:after="0"/>
            </w:pPr>
            <w:r>
              <w:rPr>
                <w:b/>
                <w:sz w:val="19"/>
              </w:rPr>
              <w:t>Nr.</w:t>
            </w:r>
          </w:p>
        </w:tc>
        <w:tc>
          <w:tcPr>
            <w:tcW w:type="dxa" w:w="2477"/>
            <w:shd w:val="clear" w:color="auto" w:fill="D9E2F3"/>
          </w:tcPr>
          <w:p>
            <w:pPr>
              <w:spacing w:after="0"/>
            </w:pPr>
            <w:r>
              <w:rPr>
                <w:b/>
                <w:sz w:val="19"/>
              </w:rPr>
              <w:t>Risiko</w:t>
            </w:r>
          </w:p>
        </w:tc>
        <w:tc>
          <w:tcPr>
            <w:tcW w:type="dxa" w:w="1980"/>
            <w:shd w:val="clear" w:color="auto" w:fill="D9E2F3"/>
          </w:tcPr>
          <w:p>
            <w:pPr>
              <w:spacing w:after="0"/>
            </w:pPr>
            <w:r>
              <w:rPr>
                <w:b/>
                <w:sz w:val="19"/>
              </w:rPr>
              <w:t>Auswirkung</w:t>
            </w:r>
          </w:p>
        </w:tc>
        <w:tc>
          <w:tcPr>
            <w:tcW w:type="dxa" w:w="3190"/>
            <w:shd w:val="clear" w:color="auto" w:fill="D9E2F3"/>
          </w:tcPr>
          <w:p>
            <w:pPr>
              <w:spacing w:after="0"/>
            </w:pPr>
            <w:r>
              <w:rPr>
                <w:b/>
                <w:sz w:val="19"/>
              </w:rPr>
              <w:t>Maßnahme</w:t>
            </w:r>
          </w:p>
        </w:tc>
        <w:tc>
          <w:tcPr>
            <w:tcW w:type="dxa" w:w="976"/>
            <w:shd w:val="clear" w:color="auto" w:fill="D9E2F3"/>
          </w:tcPr>
          <w:p>
            <w:pPr>
              <w:spacing w:after="0"/>
            </w:pPr>
            <w:r>
              <w:rPr>
                <w:b/>
                <w:sz w:val="19"/>
              </w:rPr>
              <w:t>Schritt</w:t>
            </w:r>
          </w:p>
        </w:tc>
      </w:tr>
      <w:tr>
        <w:trPr/>
        <w:tc>
          <w:tcPr>
            <w:tcW w:type="dxa" w:w="789"/>
          </w:tcPr>
          <w:p>
            <w:pPr>
              <w:spacing w:after="0"/>
            </w:pPr>
            <w:r>
              <w:rPr>
                <w:sz w:val="19"/>
              </w:rPr>
              <w:t>1</w:t>
            </w:r>
          </w:p>
        </w:tc>
        <w:tc>
          <w:tcPr>
            <w:tcW w:type="dxa" w:w="2477"/>
          </w:tcPr>
          <w:p>
            <w:pPr>
              <w:spacing w:after="0"/>
            </w:pPr>
            <w:r>
              <w:rPr>
                <w:sz w:val="19"/>
              </w:rPr>
              <w:t>Kosten: Spark-Pool und Notebook-Läufe verbrauchen das Guthaben (ca. 170 €, bis 18.10.2026)</w:t>
            </w:r>
          </w:p>
        </w:tc>
        <w:tc>
          <w:tcPr>
            <w:tcW w:type="dxa" w:w="1980"/>
          </w:tcPr>
          <w:p>
            <w:pPr>
              <w:spacing w:after="0"/>
            </w:pPr>
            <w:r>
              <w:rPr>
                <w:sz w:val="19"/>
              </w:rPr>
              <w:t>Projekt kann Azure-Teil nicht abschließen</w:t>
            </w:r>
          </w:p>
        </w:tc>
        <w:tc>
          <w:tcPr>
            <w:tcW w:type="dxa" w:w="3190"/>
          </w:tcPr>
          <w:p>
            <w:pPr>
              <w:spacing w:after="0"/>
            </w:pPr>
            <w:r>
              <w:rPr>
                <w:sz w:val="19"/>
              </w:rPr>
              <w:t>Kosten vor jedem Lauf schätzen und freigeben; Auto-pause, kleinste Knotengröße; kein Trigger vor Freigabe; Budget-Warnung</w:t>
            </w:r>
          </w:p>
        </w:tc>
        <w:tc>
          <w:tcPr>
            <w:tcW w:type="dxa" w:w="976"/>
          </w:tcPr>
          <w:p>
            <w:pPr>
              <w:spacing w:after="0"/>
            </w:pPr>
            <w:r>
              <w:rPr>
                <w:sz w:val="19"/>
              </w:rPr>
              <w:t>1.1, 5.8</w:t>
            </w:r>
          </w:p>
        </w:tc>
      </w:tr>
      <w:tr>
        <w:trPr/>
        <w:tc>
          <w:tcPr>
            <w:tcW w:type="dxa" w:w="789"/>
          </w:tcPr>
          <w:p>
            <w:pPr>
              <w:spacing w:after="0"/>
            </w:pPr>
            <w:r>
              <w:rPr>
                <w:sz w:val="19"/>
              </w:rPr>
              <w:t>2</w:t>
            </w:r>
          </w:p>
        </w:tc>
        <w:tc>
          <w:tcPr>
            <w:tcW w:type="dxa" w:w="2477"/>
          </w:tcPr>
          <w:p>
            <w:pPr>
              <w:spacing w:after="0"/>
            </w:pPr>
            <w:r>
              <w:rPr>
                <w:sz w:val="19"/>
              </w:rPr>
              <w:t>Datenrechte: Lizenz laut Kaggle „Unbekannt“ (F2)</w:t>
            </w:r>
          </w:p>
        </w:tc>
        <w:tc>
          <w:tcPr>
            <w:tcW w:type="dxa" w:w="1980"/>
          </w:tcPr>
          <w:p>
            <w:pPr>
              <w:spacing w:after="0"/>
            </w:pPr>
            <w:r>
              <w:rPr>
                <w:sz w:val="19"/>
              </w:rPr>
              <w:t>Veröffentlichung der Rohdaten unzulässig</w:t>
            </w:r>
          </w:p>
        </w:tc>
        <w:tc>
          <w:tcPr>
            <w:tcW w:type="dxa" w:w="3190"/>
          </w:tcPr>
          <w:p>
            <w:pPr>
              <w:spacing w:after="0"/>
            </w:pPr>
            <w:r>
              <w:rPr>
                <w:sz w:val="19"/>
              </w:rPr>
              <w:t>Rohdaten nicht veröffentlichen (aus Git ausgeschlossen); Nutzungsrechte bei HOBOS anfragen; Grafiken nur mit Quellenangabe und nach Prüfung (Recht &amp; Compliance)</w:t>
            </w:r>
          </w:p>
        </w:tc>
        <w:tc>
          <w:tcPr>
            <w:tcW w:type="dxa" w:w="976"/>
          </w:tcPr>
          <w:p>
            <w:pPr>
              <w:spacing w:after="0"/>
            </w:pPr>
            <w:r>
              <w:rPr>
                <w:sz w:val="19"/>
              </w:rPr>
              <w:t>2.1</w:t>
            </w:r>
          </w:p>
        </w:tc>
      </w:tr>
      <w:tr>
        <w:trPr/>
        <w:tc>
          <w:tcPr>
            <w:tcW w:type="dxa" w:w="789"/>
          </w:tcPr>
          <w:p>
            <w:pPr>
              <w:spacing w:after="0"/>
            </w:pPr>
            <w:r>
              <w:rPr>
                <w:sz w:val="19"/>
              </w:rPr>
              <w:t>3</w:t>
            </w:r>
          </w:p>
        </w:tc>
        <w:tc>
          <w:tcPr>
            <w:tcW w:type="dxa" w:w="2477"/>
          </w:tcPr>
          <w:p>
            <w:pPr>
              <w:spacing w:after="0"/>
            </w:pPr>
            <w:r>
              <w:rPr>
                <w:sz w:val="19"/>
              </w:rPr>
              <w:t>Deutung flow: Vorzeichen (F1) – geklärt 30.09.2026</w:t>
            </w:r>
          </w:p>
        </w:tc>
        <w:tc>
          <w:tcPr>
            <w:tcW w:type="dxa" w:w="1980"/>
          </w:tcPr>
          <w:p>
            <w:pPr>
              <w:spacing w:after="0"/>
            </w:pPr>
            <w:r>
              <w:rPr>
                <w:sz w:val="19"/>
              </w:rPr>
              <w:t>gering</w:t>
            </w:r>
          </w:p>
        </w:tc>
        <w:tc>
          <w:tcPr>
            <w:tcW w:type="dxa" w:w="3190"/>
          </w:tcPr>
          <w:p>
            <w:pPr>
              <w:spacing w:after="0"/>
            </w:pPr>
            <w:r>
              <w:rPr>
                <w:sz w:val="19"/>
              </w:rPr>
              <w:t>Zuordnung aus der Datensatz-Beschreibung; Abweichung zum Kurs-Notebook dokumentiert</w:t>
            </w:r>
          </w:p>
        </w:tc>
        <w:tc>
          <w:tcPr>
            <w:tcW w:type="dxa" w:w="976"/>
          </w:tcPr>
          <w:p>
            <w:pPr>
              <w:spacing w:after="0"/>
            </w:pPr>
            <w:r>
              <w:rPr>
                <w:sz w:val="19"/>
              </w:rPr>
              <w:t>2.8</w:t>
            </w:r>
          </w:p>
        </w:tc>
      </w:tr>
      <w:tr>
        <w:trPr/>
        <w:tc>
          <w:tcPr>
            <w:tcW w:type="dxa" w:w="789"/>
          </w:tcPr>
          <w:p>
            <w:pPr>
              <w:spacing w:after="0"/>
            </w:pPr>
            <w:r>
              <w:rPr>
                <w:sz w:val="19"/>
              </w:rPr>
              <w:t>4</w:t>
            </w:r>
          </w:p>
        </w:tc>
        <w:tc>
          <w:tcPr>
            <w:tcW w:type="dxa" w:w="2477"/>
          </w:tcPr>
          <w:p>
            <w:pPr>
              <w:spacing w:after="0"/>
            </w:pPr>
            <w:r>
              <w:rPr>
                <w:sz w:val="19"/>
              </w:rPr>
              <w:t>Gewicht: Zeitraum ohne Stock auf der Waage (E5), Eingriffe ohne Protokoll</w:t>
            </w:r>
          </w:p>
        </w:tc>
        <w:tc>
          <w:tcPr>
            <w:tcW w:type="dxa" w:w="1980"/>
          </w:tcPr>
          <w:p>
            <w:pPr>
              <w:spacing w:after="0"/>
            </w:pPr>
            <w:r>
              <w:rPr>
                <w:sz w:val="19"/>
              </w:rPr>
              <w:t>falsche Tages- und Honigwerte</w:t>
            </w:r>
          </w:p>
        </w:tc>
        <w:tc>
          <w:tcPr>
            <w:tcW w:type="dxa" w:w="3190"/>
          </w:tcPr>
          <w:p>
            <w:pPr>
              <w:spacing w:after="0"/>
            </w:pPr>
            <w:r>
              <w:rPr>
                <w:sz w:val="19"/>
              </w:rPr>
              <w:t>Zeitraum markiert (R5a); ±5-kg-Tage ausgeschlossen; Imkerei-Protokoll anfragen</w:t>
            </w:r>
          </w:p>
        </w:tc>
        <w:tc>
          <w:tcPr>
            <w:tcW w:type="dxa" w:w="976"/>
          </w:tcPr>
          <w:p>
            <w:pPr>
              <w:spacing w:after="0"/>
            </w:pPr>
            <w:r>
              <w:rPr>
                <w:sz w:val="19"/>
              </w:rPr>
              <w:t>5.1, 4.5</w:t>
            </w:r>
          </w:p>
        </w:tc>
      </w:tr>
      <w:tr>
        <w:trPr/>
        <w:tc>
          <w:tcPr>
            <w:tcW w:type="dxa" w:w="789"/>
          </w:tcPr>
          <w:p>
            <w:pPr>
              <w:spacing w:after="0"/>
            </w:pPr>
            <w:r>
              <w:rPr>
                <w:sz w:val="19"/>
              </w:rPr>
              <w:t>5</w:t>
            </w:r>
          </w:p>
        </w:tc>
        <w:tc>
          <w:tcPr>
            <w:tcW w:type="dxa" w:w="2477"/>
          </w:tcPr>
          <w:p>
            <w:pPr>
              <w:spacing w:after="0"/>
            </w:pPr>
            <w:r>
              <w:rPr>
                <w:sz w:val="19"/>
              </w:rPr>
              <w:t>Wetterzuordnung: Station 13 km entfernt (W1)</w:t>
            </w:r>
          </w:p>
        </w:tc>
        <w:tc>
          <w:tcPr>
            <w:tcW w:type="dxa" w:w="1980"/>
          </w:tcPr>
          <w:p>
            <w:pPr>
              <w:spacing w:after="0"/>
            </w:pPr>
            <w:r>
              <w:rPr>
                <w:sz w:val="19"/>
              </w:rPr>
              <w:t>Wind/Temperatur am Stock anders</w:t>
            </w:r>
          </w:p>
        </w:tc>
        <w:tc>
          <w:tcPr>
            <w:tcW w:type="dxa" w:w="3190"/>
          </w:tcPr>
          <w:p>
            <w:pPr>
              <w:spacing w:after="0"/>
            </w:pPr>
            <w:r>
              <w:rPr>
                <w:sz w:val="19"/>
              </w:rPr>
              <w:t>Herkunft je Stunde dokumentiert; Aussagen zu Wind eingeschränkt</w:t>
            </w:r>
          </w:p>
        </w:tc>
        <w:tc>
          <w:tcPr>
            <w:tcW w:type="dxa" w:w="976"/>
          </w:tcPr>
          <w:p>
            <w:pPr>
              <w:spacing w:after="0"/>
            </w:pPr>
            <w:r>
              <w:rPr>
                <w:sz w:val="19"/>
              </w:rPr>
              <w:t>3.4</w:t>
            </w:r>
          </w:p>
        </w:tc>
      </w:tr>
      <w:tr>
        <w:trPr/>
        <w:tc>
          <w:tcPr>
            <w:tcW w:type="dxa" w:w="789"/>
          </w:tcPr>
          <w:p>
            <w:pPr>
              <w:spacing w:after="0"/>
            </w:pPr>
            <w:r>
              <w:rPr>
                <w:sz w:val="19"/>
              </w:rPr>
              <w:t>6</w:t>
            </w:r>
          </w:p>
        </w:tc>
        <w:tc>
          <w:tcPr>
            <w:tcW w:type="dxa" w:w="2477"/>
          </w:tcPr>
          <w:p>
            <w:pPr>
              <w:spacing w:after="0"/>
            </w:pPr>
            <w:r>
              <w:rPr>
                <w:sz w:val="19"/>
              </w:rPr>
              <w:t>Scheinzusammenhänge</w:t>
            </w:r>
          </w:p>
        </w:tc>
        <w:tc>
          <w:tcPr>
            <w:tcW w:type="dxa" w:w="1980"/>
          </w:tcPr>
          <w:p>
            <w:pPr>
              <w:spacing w:after="0"/>
            </w:pPr>
            <w:r>
              <w:rPr>
                <w:sz w:val="19"/>
              </w:rPr>
              <w:t>falsche Schlüsse</w:t>
            </w:r>
          </w:p>
        </w:tc>
        <w:tc>
          <w:tcPr>
            <w:tcW w:type="dxa" w:w="3190"/>
          </w:tcPr>
          <w:p>
            <w:pPr>
              <w:spacing w:after="0"/>
            </w:pPr>
            <w:r>
              <w:rPr>
                <w:sz w:val="19"/>
              </w:rPr>
              <w:t>gleiche Bedingungen, keine Ursachenaussage aus Korrelation, später Modell</w:t>
            </w:r>
          </w:p>
        </w:tc>
        <w:tc>
          <w:tcPr>
            <w:tcW w:type="dxa" w:w="976"/>
          </w:tcPr>
          <w:p>
            <w:pPr>
              <w:spacing w:after="0"/>
            </w:pPr>
            <w:r>
              <w:rPr>
                <w:sz w:val="19"/>
              </w:rPr>
              <w:t>3.7, 4.4</w:t>
            </w:r>
          </w:p>
        </w:tc>
      </w:tr>
      <w:tr>
        <w:trPr/>
        <w:tc>
          <w:tcPr>
            <w:tcW w:type="dxa" w:w="789"/>
          </w:tcPr>
          <w:p>
            <w:pPr>
              <w:spacing w:after="0"/>
            </w:pPr>
            <w:r>
              <w:rPr>
                <w:sz w:val="19"/>
              </w:rPr>
              <w:t>7</w:t>
            </w:r>
          </w:p>
        </w:tc>
        <w:tc>
          <w:tcPr>
            <w:tcW w:type="dxa" w:w="2477"/>
          </w:tcPr>
          <w:p>
            <w:pPr>
              <w:spacing w:after="0"/>
            </w:pPr>
            <w:r>
              <w:rPr>
                <w:sz w:val="19"/>
              </w:rPr>
              <w:t>Datensicherheit bei Veröffentlichung</w:t>
            </w:r>
          </w:p>
        </w:tc>
        <w:tc>
          <w:tcPr>
            <w:tcW w:type="dxa" w:w="1980"/>
          </w:tcPr>
          <w:p>
            <w:pPr>
              <w:spacing w:after="0"/>
            </w:pPr>
            <w:r>
              <w:rPr>
                <w:sz w:val="19"/>
              </w:rPr>
              <w:t>Konto- oder Ressourcen-IDs öffentlich</w:t>
            </w:r>
          </w:p>
        </w:tc>
        <w:tc>
          <w:tcPr>
            <w:tcW w:type="dxa" w:w="3190"/>
          </w:tcPr>
          <w:p>
            <w:pPr>
              <w:spacing w:after="0"/>
            </w:pPr>
            <w:r>
              <w:rPr>
                <w:sz w:val="19"/>
              </w:rPr>
              <w:t>schwärzen, Veröffentlichung nur nach Freigabe</w:t>
            </w:r>
          </w:p>
        </w:tc>
        <w:tc>
          <w:tcPr>
            <w:tcW w:type="dxa" w:w="976"/>
          </w:tcPr>
          <w:p>
            <w:pPr>
              <w:spacing w:after="0"/>
            </w:pPr>
            <w:r>
              <w:rPr>
                <w:sz w:val="19"/>
              </w:rPr>
              <w:t>5.12</w:t>
            </w:r>
          </w:p>
        </w:tc>
      </w:tr>
      <w:tr>
        <w:trPr/>
        <w:tc>
          <w:tcPr>
            <w:tcW w:type="dxa" w:w="789"/>
          </w:tcPr>
          <w:p>
            <w:pPr>
              <w:spacing w:after="0"/>
            </w:pPr>
            <w:r>
              <w:rPr>
                <w:sz w:val="19"/>
              </w:rPr>
              <w:t>8</w:t>
            </w:r>
          </w:p>
        </w:tc>
        <w:tc>
          <w:tcPr>
            <w:tcW w:type="dxa" w:w="2477"/>
          </w:tcPr>
          <w:p>
            <w:pPr>
              <w:spacing w:after="0"/>
            </w:pPr>
            <w:r>
              <w:rPr>
                <w:sz w:val="19"/>
              </w:rPr>
              <w:t>Dokumentation hinkt hinterher</w:t>
            </w:r>
          </w:p>
        </w:tc>
        <w:tc>
          <w:tcPr>
            <w:tcW w:type="dxa" w:w="1980"/>
          </w:tcPr>
          <w:p>
            <w:pPr>
              <w:spacing w:after="0"/>
            </w:pPr>
            <w:r>
              <w:rPr>
                <w:sz w:val="19"/>
              </w:rPr>
              <w:t>Anleitungen unvollständig</w:t>
            </w:r>
          </w:p>
        </w:tc>
        <w:tc>
          <w:tcPr>
            <w:tcW w:type="dxa" w:w="3190"/>
          </w:tcPr>
          <w:p>
            <w:pPr>
              <w:spacing w:after="0"/>
            </w:pPr>
            <w:r>
              <w:rPr>
                <w:sz w:val="19"/>
              </w:rPr>
              <w:t>nach jedem Meilenstein ergänzen; vor jedem Fertig-Signal Prüfung nach WB-QM-001</w:t>
            </w:r>
          </w:p>
        </w:tc>
        <w:tc>
          <w:tcPr>
            <w:tcW w:type="dxa" w:w="976"/>
          </w:tcPr>
          <w:p>
            <w:pPr>
              <w:spacing w:after="0"/>
            </w:pPr>
            <w:r>
              <w:rPr>
                <w:sz w:val="19"/>
              </w:rPr>
              <w:t>5.12</w:t>
            </w:r>
          </w:p>
        </w:tc>
      </w:tr>
      <w:tr>
        <w:trPr/>
        <w:tc>
          <w:tcPr>
            <w:tcW w:type="dxa" w:w="789"/>
          </w:tcPr>
          <w:p>
            <w:pPr>
              <w:spacing w:after="0"/>
            </w:pPr>
            <w:r>
              <w:rPr>
                <w:sz w:val="19"/>
              </w:rPr>
              <w:t>11</w:t>
            </w:r>
          </w:p>
        </w:tc>
        <w:tc>
          <w:tcPr>
            <w:tcW w:type="dxa" w:w="2477"/>
          </w:tcPr>
          <w:p>
            <w:pPr>
              <w:spacing w:after="0"/>
            </w:pPr>
            <w:r>
              <w:rPr>
                <w:sz w:val="19"/>
              </w:rPr>
              <w:t>Jeder Tageslauf rechnet alle Daten neu</w:t>
            </w:r>
          </w:p>
        </w:tc>
        <w:tc>
          <w:tcPr>
            <w:tcW w:type="dxa" w:w="1980"/>
          </w:tcPr>
          <w:p>
            <w:pPr>
              <w:spacing w:after="0"/>
            </w:pPr>
            <w:r>
              <w:rPr>
                <w:sz w:val="19"/>
              </w:rPr>
              <w:t>unnötige Spark-Zeit und Kosten im Dauerbetrieb</w:t>
            </w:r>
          </w:p>
        </w:tc>
        <w:tc>
          <w:tcPr>
            <w:tcW w:type="dxa" w:w="3190"/>
          </w:tcPr>
          <w:p>
            <w:pPr>
              <w:spacing w:after="0"/>
            </w:pPr>
            <w:r>
              <w:rPr>
                <w:sz w:val="19"/>
              </w:rPr>
              <w:t>inkrementelle Verarbeitung (Folgeprojekt FP-1); Trigger bis dahin gestoppt</w:t>
            </w:r>
          </w:p>
        </w:tc>
        <w:tc>
          <w:tcPr>
            <w:tcW w:type="dxa" w:w="976"/>
          </w:tcPr>
          <w:p>
            <w:pPr>
              <w:spacing w:after="0"/>
            </w:pPr>
            <w:r>
              <w:rPr>
                <w:sz w:val="19"/>
              </w:rPr>
              <w:t>5.10</w:t>
            </w:r>
          </w:p>
        </w:tc>
      </w:tr>
      <w:tr>
        <w:trPr/>
        <w:tc>
          <w:tcPr>
            <w:tcW w:type="dxa" w:w="789"/>
          </w:tcPr>
          <w:p>
            <w:pPr>
              <w:spacing w:after="0"/>
            </w:pPr>
            <w:r>
              <w:rPr>
                <w:sz w:val="19"/>
              </w:rPr>
              <w:t>10</w:t>
            </w:r>
          </w:p>
        </w:tc>
        <w:tc>
          <w:tcPr>
            <w:tcW w:type="dxa" w:w="2477"/>
          </w:tcPr>
          <w:p>
            <w:pPr>
              <w:spacing w:after="0"/>
            </w:pPr>
            <w:r>
              <w:rPr>
                <w:sz w:val="19"/>
              </w:rPr>
              <w:t>Weitere Standorte liefern andere Einheiten, Messtakte und Dateistrukturen (Würzburg)</w:t>
            </w:r>
          </w:p>
        </w:tc>
        <w:tc>
          <w:tcPr>
            <w:tcW w:type="dxa" w:w="1980"/>
          </w:tcPr>
          <w:p>
            <w:pPr>
              <w:spacing w:after="0"/>
            </w:pPr>
            <w:r>
              <w:rPr>
                <w:sz w:val="19"/>
              </w:rPr>
              <w:t>Regeln greifen falsch (z. B. Gewichtsgrenze in Gramm)</w:t>
            </w:r>
          </w:p>
        </w:tc>
        <w:tc>
          <w:tcPr>
            <w:tcW w:type="dxa" w:w="3190"/>
          </w:tcPr>
          <w:p>
            <w:pPr>
              <w:spacing w:after="0"/>
            </w:pPr>
            <w:r>
              <w:rPr>
                <w:sz w:val="19"/>
              </w:rPr>
              <w:t xml:space="preserve">Standortregeln in </w:t>
            </w:r>
            <w:r>
              <w:rPr>
                <w:rFonts w:ascii="Courier New" w:hAnsi="Courier New"/>
                <w:sz w:val="17"/>
              </w:rPr>
              <w:t>sensoren.csv</w:t>
            </w:r>
            <w:r>
              <w:rPr>
                <w:sz w:val="19"/>
              </w:rPr>
              <w:t xml:space="preserve"> und </w:t>
            </w:r>
            <w:r>
              <w:rPr>
                <w:rFonts w:ascii="Courier New" w:hAnsi="Courier New"/>
                <w:sz w:val="17"/>
              </w:rPr>
              <w:t>ausschluesse.csv</w:t>
            </w:r>
            <w:r>
              <w:rPr>
                <w:sz w:val="19"/>
              </w:rPr>
              <w:t xml:space="preserve"> (umgesetzt 01.10.); jede neue Quelle zuerst mit den Prüffragen aus WB-ITS-002 untersuchen</w:t>
            </w:r>
          </w:p>
        </w:tc>
        <w:tc>
          <w:tcPr>
            <w:tcW w:type="dxa" w:w="976"/>
          </w:tcPr>
          <w:p>
            <w:pPr>
              <w:spacing w:after="0"/>
            </w:pPr>
            <w:r>
              <w:rPr>
                <w:sz w:val="19"/>
              </w:rPr>
              <w:t>5.9a</w:t>
            </w:r>
          </w:p>
        </w:tc>
      </w:tr>
      <w:tr>
        <w:trPr/>
        <w:tc>
          <w:tcPr>
            <w:tcW w:type="dxa" w:w="789"/>
          </w:tcPr>
          <w:p>
            <w:pPr>
              <w:spacing w:after="0"/>
            </w:pPr>
            <w:r>
              <w:rPr>
                <w:sz w:val="19"/>
              </w:rPr>
              <w:t>9</w:t>
            </w:r>
          </w:p>
        </w:tc>
        <w:tc>
          <w:tcPr>
            <w:tcW w:type="dxa" w:w="2477"/>
          </w:tcPr>
          <w:p>
            <w:pPr>
              <w:spacing w:after="0"/>
            </w:pPr>
            <w:r>
              <w:rPr>
                <w:sz w:val="19"/>
              </w:rPr>
              <w:t>Vorgabe weicht von Definition ab (</w:t>
            </w:r>
            <w:r>
              <w:rPr>
                <w:rFonts w:ascii="Courier New" w:hAnsi="Courier New"/>
                <w:sz w:val="17"/>
              </w:rPr>
              <w:t>silver/processing</w:t>
            </w:r>
            <w:r>
              <w:rPr>
                <w:sz w:val="19"/>
              </w:rPr>
              <w:t>, F4)</w:t>
            </w:r>
          </w:p>
        </w:tc>
        <w:tc>
          <w:tcPr>
            <w:tcW w:type="dxa" w:w="1980"/>
          </w:tcPr>
          <w:p>
            <w:pPr>
              <w:spacing w:after="0"/>
            </w:pPr>
            <w:r>
              <w:rPr>
                <w:sz w:val="19"/>
              </w:rPr>
              <w:t>Missverständnis bei Übertragung</w:t>
            </w:r>
          </w:p>
        </w:tc>
        <w:tc>
          <w:tcPr>
            <w:tcW w:type="dxa" w:w="3190"/>
          </w:tcPr>
          <w:p>
            <w:pPr>
              <w:spacing w:after="0"/>
            </w:pPr>
            <w:r>
              <w:rPr>
                <w:sz w:val="19"/>
              </w:rPr>
              <w:t>Abweichung dokumentiert; für den Betrieb Arbeitskopien in Bronze (Folgeprojekt FP-1)</w:t>
            </w:r>
          </w:p>
        </w:tc>
        <w:tc>
          <w:tcPr>
            <w:tcW w:type="dxa" w:w="976"/>
          </w:tcPr>
          <w:p>
            <w:pPr>
              <w:spacing w:after="0"/>
            </w:pPr>
            <w:r>
              <w:rPr>
                <w:sz w:val="19"/>
              </w:rPr>
              <w:t>2.2</w:t>
            </w:r>
          </w:p>
        </w:tc>
      </w:tr>
    </w:tbl>
    <w:p>
      <w:pPr>
        <w:spacing w:after="0" w:line="20" w:lineRule="exact"/>
      </w:pPr>
    </w:p>
    <w:p>
      <w:pPr>
        <w:pStyle w:val="Heading1"/>
        <w:pageBreakBefore/>
      </w:pPr>
      <w:r>
        <w:t>7. Fazit &amp; Handlungsempfehlungen</w:t>
      </w:r>
    </w:p>
    <w:p>
      <w:pPr>
        <w:spacing w:after="0" w:line="20" w:lineRule="exact"/>
      </w:pPr>
    </w:p>
    <w:p>
      <w:r>
        <w:rPr>
          <w:b/>
        </w:rPr>
        <w:t>Fazit:</w:t>
      </w:r>
      <w:r>
        <w:t xml:space="preserve"> Die Datenplattform ist in Azure vollständig eingerichtet und automatisiert: Rohdaten → Bronze → Silver → Gold mit Archiv, Steuerung über eine Master-Pipeline, täglicher Trigger (gestoppt bis zur Kostenfreigabe) und E-Mail-Warnungen. Zwei Standorte laufen mit denselben Notebooks; Standortregeln stehen in Konfigurationstabellen. Die wichtigsten Weichen waren: UTC vor Duplikaten (2.4), markieren statt löschen (2.7, 3.2, 5.1), Außenwetter statt Stocktemperatur (2.10, 3.4), Auswertung unter gleichen Bedingungen (4.4), ein Steuer-Notebook je Stufe (5.9) und Konfiguration statt Code (5.9a).</w:t>
      </w:r>
    </w:p>
    <w:p>
      <w:r>
        <w:rPr>
          <w:b/>
        </w:rPr>
        <w:t>Fachliche Ergebnisse (Kap. 0):</w:t>
      </w:r>
      <w:r>
        <w:t xml:space="preserve"> Der Bienenflug folgt vor allem Tageslicht, Sonne und trockenem Wetter; Regen senkt ihn deutlich; Wind und Luftdruckhöhe zeigen unter gleichen Bedingungen keinen klaren Einfluss. Tage mit hoher Honigproduktion sind sonnig und regenfrei. Der Saisonertrag 2017 unterscheidet sich je Standort um das Dreifache (ca. 74 kg zu 24 kg).</w:t>
      </w:r>
    </w:p>
    <w:p>
      <w:r>
        <w:rPr>
          <w:b/>
        </w:rPr>
        <w:t>Grenzen der Aussagen:</w:t>
      </w:r>
      <w:r>
        <w:t xml:space="preserve"> Wetter stammt von Stationen in 1,5–13 km Entfernung; Eingriffe der Imkerei (Ernte, Fütterung) sind ohne Protokoll nur vermutet; Korrelationen sind keine Ursachen; die Lizenz der Rohdaten ist ungeklärt – sie werden deshalb nicht veröffentlicht.</w:t>
      </w:r>
    </w:p>
    <w:p>
      <w:r>
        <w:rPr>
          <w:b/>
        </w:rPr>
        <w:t>Handlungsempfehlungen (fehlende Analysen und nächste Schritte):</w:t>
      </w:r>
    </w:p>
    <w:tbl>
      <w:tblPr>
        <w:tblStyle w:val="TableGrid"/>
        <w:tblW w:type="auto" w:w="0"/>
        <w:jc w:val="center"/>
        <w:tblLayout w:type="fixed"/>
        <w:tblLook w:firstColumn="1" w:firstRow="1" w:lastColumn="0" w:lastRow="0" w:noHBand="0" w:noVBand="1" w:val="04A0"/>
      </w:tblPr>
      <w:tblGrid>
        <w:gridCol w:w="1031"/>
        <w:gridCol w:w="3554"/>
        <w:gridCol w:w="2886"/>
        <w:gridCol w:w="1940"/>
      </w:tblGrid>
      <w:tr>
        <w:trPr>
          <w:tblHeader/>
        </w:trPr>
        <w:tc>
          <w:tcPr>
            <w:tcW w:type="dxa" w:w="1031"/>
            <w:shd w:val="clear" w:color="auto" w:fill="D9E2F3"/>
          </w:tcPr>
          <w:p>
            <w:pPr>
              <w:spacing w:after="0"/>
            </w:pPr>
            <w:r>
              <w:rPr>
                <w:b/>
                <w:sz w:val="19"/>
              </w:rPr>
              <w:t>Nr.</w:t>
            </w:r>
          </w:p>
        </w:tc>
        <w:tc>
          <w:tcPr>
            <w:tcW w:type="dxa" w:w="3554"/>
            <w:shd w:val="clear" w:color="auto" w:fill="D9E2F3"/>
          </w:tcPr>
          <w:p>
            <w:pPr>
              <w:spacing w:after="0"/>
            </w:pPr>
            <w:r>
              <w:rPr>
                <w:b/>
                <w:sz w:val="19"/>
              </w:rPr>
              <w:t>Empfehlung</w:t>
            </w:r>
          </w:p>
        </w:tc>
        <w:tc>
          <w:tcPr>
            <w:tcW w:type="dxa" w:w="2886"/>
            <w:shd w:val="clear" w:color="auto" w:fill="D9E2F3"/>
          </w:tcPr>
          <w:p>
            <w:pPr>
              <w:spacing w:after="0"/>
            </w:pPr>
            <w:r>
              <w:rPr>
                <w:b/>
                <w:sz w:val="19"/>
              </w:rPr>
              <w:t>Warum (Ergebnis)</w:t>
            </w:r>
          </w:p>
        </w:tc>
        <w:tc>
          <w:tcPr>
            <w:tcW w:type="dxa" w:w="1940"/>
            <w:shd w:val="clear" w:color="auto" w:fill="D9E2F3"/>
          </w:tcPr>
          <w:p>
            <w:pPr>
              <w:spacing w:after="0"/>
            </w:pPr>
            <w:r>
              <w:rPr>
                <w:b/>
                <w:sz w:val="19"/>
              </w:rPr>
              <w:t>Folgeprojekt</w:t>
            </w:r>
          </w:p>
        </w:tc>
      </w:tr>
      <w:tr>
        <w:trPr/>
        <w:tc>
          <w:tcPr>
            <w:tcW w:type="dxa" w:w="1031"/>
          </w:tcPr>
          <w:p>
            <w:pPr>
              <w:spacing w:after="0"/>
            </w:pPr>
            <w:r>
              <w:rPr>
                <w:sz w:val="19"/>
              </w:rPr>
              <w:t>1</w:t>
            </w:r>
          </w:p>
        </w:tc>
        <w:tc>
          <w:tcPr>
            <w:tcW w:type="dxa" w:w="3554"/>
          </w:tcPr>
          <w:p>
            <w:pPr>
              <w:spacing w:after="0"/>
            </w:pPr>
            <w:r>
              <w:rPr>
                <w:sz w:val="19"/>
              </w:rPr>
              <w:t>Einzelwirkungen von Sonne, Regen, Feuchte, Temperatur und Jahreszeit mit einem Modell trennen</w:t>
            </w:r>
          </w:p>
        </w:tc>
        <w:tc>
          <w:tcPr>
            <w:tcW w:type="dxa" w:w="2886"/>
          </w:tcPr>
          <w:p>
            <w:pPr>
              <w:spacing w:after="0"/>
            </w:pPr>
            <w:r>
              <w:rPr>
                <w:sz w:val="19"/>
              </w:rPr>
              <w:t>Einzelauswertungen überlagern sich (A3/A5, A7, A8, H1)</w:t>
            </w:r>
          </w:p>
        </w:tc>
        <w:tc>
          <w:tcPr>
            <w:tcW w:type="dxa" w:w="1940"/>
          </w:tcPr>
          <w:p>
            <w:pPr>
              <w:spacing w:after="0"/>
            </w:pPr>
            <w:r>
              <w:rPr>
                <w:sz w:val="19"/>
              </w:rPr>
              <w:t>FP-3 Machine Learning</w:t>
            </w:r>
          </w:p>
        </w:tc>
      </w:tr>
      <w:tr>
        <w:trPr/>
        <w:tc>
          <w:tcPr>
            <w:tcW w:type="dxa" w:w="1031"/>
          </w:tcPr>
          <w:p>
            <w:pPr>
              <w:spacing w:after="0"/>
            </w:pPr>
            <w:r>
              <w:rPr>
                <w:sz w:val="19"/>
              </w:rPr>
              <w:t>2</w:t>
            </w:r>
          </w:p>
        </w:tc>
        <w:tc>
          <w:tcPr>
            <w:tcW w:type="dxa" w:w="3554"/>
          </w:tcPr>
          <w:p>
            <w:pPr>
              <w:spacing w:after="0"/>
            </w:pPr>
            <w:r>
              <w:rPr>
                <w:sz w:val="19"/>
              </w:rPr>
              <w:t>Ernte-Erkennung und Tage über ±5 kg mit einem Imkerei-Protokoll prüfen</w:t>
            </w:r>
          </w:p>
        </w:tc>
        <w:tc>
          <w:tcPr>
            <w:tcW w:type="dxa" w:w="2886"/>
          </w:tcPr>
          <w:p>
            <w:pPr>
              <w:spacing w:after="0"/>
            </w:pPr>
            <w:r>
              <w:rPr>
                <w:sz w:val="19"/>
              </w:rPr>
              <w:t>Eingriffe nur vermutet</w:t>
            </w:r>
          </w:p>
        </w:tc>
        <w:tc>
          <w:tcPr>
            <w:tcW w:type="dxa" w:w="1940"/>
          </w:tcPr>
          <w:p>
            <w:pPr>
              <w:spacing w:after="0"/>
            </w:pPr>
            <w:r>
              <w:rPr>
                <w:sz w:val="19"/>
              </w:rPr>
              <w:t>FP-2</w:t>
            </w:r>
          </w:p>
        </w:tc>
      </w:tr>
      <w:tr>
        <w:trPr/>
        <w:tc>
          <w:tcPr>
            <w:tcW w:type="dxa" w:w="1031"/>
          </w:tcPr>
          <w:p>
            <w:pPr>
              <w:spacing w:after="0"/>
            </w:pPr>
            <w:r>
              <w:rPr>
                <w:sz w:val="19"/>
              </w:rPr>
              <w:t>3</w:t>
            </w:r>
          </w:p>
        </w:tc>
        <w:tc>
          <w:tcPr>
            <w:tcW w:type="dxa" w:w="3554"/>
          </w:tcPr>
          <w:p>
            <w:pPr>
              <w:spacing w:after="0"/>
            </w:pPr>
            <w:r>
              <w:rPr>
                <w:sz w:val="19"/>
              </w:rPr>
              <w:t>Dashboard mit Warnungen (Temperaturabfall im Stock, ungewöhnlicher Gewichtsverlust)</w:t>
            </w:r>
          </w:p>
        </w:tc>
        <w:tc>
          <w:tcPr>
            <w:tcW w:type="dxa" w:w="2886"/>
          </w:tcPr>
          <w:p>
            <w:pPr>
              <w:spacing w:after="0"/>
            </w:pPr>
            <w:r>
              <w:rPr>
                <w:sz w:val="19"/>
              </w:rPr>
              <w:t>Daten und Kennzahlen liegen in Gold bereit</w:t>
            </w:r>
          </w:p>
        </w:tc>
        <w:tc>
          <w:tcPr>
            <w:tcW w:type="dxa" w:w="1940"/>
          </w:tcPr>
          <w:p>
            <w:pPr>
              <w:spacing w:after="0"/>
            </w:pPr>
            <w:r>
              <w:rPr>
                <w:sz w:val="19"/>
              </w:rPr>
              <w:t>FP-2</w:t>
            </w:r>
          </w:p>
        </w:tc>
      </w:tr>
      <w:tr>
        <w:trPr/>
        <w:tc>
          <w:tcPr>
            <w:tcW w:type="dxa" w:w="1031"/>
          </w:tcPr>
          <w:p>
            <w:pPr>
              <w:spacing w:after="0"/>
            </w:pPr>
            <w:r>
              <w:rPr>
                <w:sz w:val="19"/>
              </w:rPr>
              <w:t>4</w:t>
            </w:r>
          </w:p>
        </w:tc>
        <w:tc>
          <w:tcPr>
            <w:tcW w:type="dxa" w:w="3554"/>
          </w:tcPr>
          <w:p>
            <w:pPr>
              <w:spacing w:after="0"/>
            </w:pPr>
            <w:r>
              <w:rPr>
                <w:sz w:val="19"/>
              </w:rPr>
              <w:t>Dauerbetrieb mit inkrementeller Verarbeitung, Lieferprüfung und Git-Anbindung</w:t>
            </w:r>
          </w:p>
        </w:tc>
        <w:tc>
          <w:tcPr>
            <w:tcW w:type="dxa" w:w="2886"/>
          </w:tcPr>
          <w:p>
            <w:pPr>
              <w:spacing w:after="0"/>
            </w:pPr>
            <w:r>
              <w:rPr>
                <w:sz w:val="19"/>
              </w:rPr>
              <w:t>Jeder Lauf rechnet heute alles neu; Änderungen per Import</w:t>
            </w:r>
          </w:p>
        </w:tc>
        <w:tc>
          <w:tcPr>
            <w:tcW w:type="dxa" w:w="1940"/>
          </w:tcPr>
          <w:p>
            <w:pPr>
              <w:spacing w:after="0"/>
            </w:pPr>
            <w:r>
              <w:rPr>
                <w:sz w:val="19"/>
              </w:rPr>
              <w:t>FP-1, FP-5</w:t>
            </w:r>
          </w:p>
        </w:tc>
      </w:tr>
      <w:tr>
        <w:trPr/>
        <w:tc>
          <w:tcPr>
            <w:tcW w:type="dxa" w:w="1031"/>
          </w:tcPr>
          <w:p>
            <w:pPr>
              <w:spacing w:after="0"/>
            </w:pPr>
            <w:r>
              <w:rPr>
                <w:sz w:val="19"/>
              </w:rPr>
              <w:t>5</w:t>
            </w:r>
          </w:p>
        </w:tc>
        <w:tc>
          <w:tcPr>
            <w:tcW w:type="dxa" w:w="3554"/>
          </w:tcPr>
          <w:p>
            <w:pPr>
              <w:spacing w:after="0"/>
            </w:pPr>
            <w:r>
              <w:rPr>
                <w:sz w:val="19"/>
              </w:rPr>
              <w:t>Weitere Jahre und Standorte ergänzen, bevor Standortunterschiede verallgemeinert werden</w:t>
            </w:r>
          </w:p>
        </w:tc>
        <w:tc>
          <w:tcPr>
            <w:tcW w:type="dxa" w:w="2886"/>
          </w:tcPr>
          <w:p>
            <w:pPr>
              <w:spacing w:after="0"/>
            </w:pPr>
            <w:r>
              <w:rPr>
                <w:sz w:val="19"/>
              </w:rPr>
              <w:t>Nur 2017 an beiden Standorten vollständig</w:t>
            </w:r>
          </w:p>
        </w:tc>
        <w:tc>
          <w:tcPr>
            <w:tcW w:type="dxa" w:w="1940"/>
          </w:tcPr>
          <w:p>
            <w:pPr>
              <w:spacing w:after="0"/>
            </w:pPr>
            <w:r>
              <w:rPr>
                <w:sz w:val="19"/>
              </w:rPr>
              <w:t>FP-2/FP-3</w:t>
            </w:r>
          </w:p>
        </w:tc>
      </w:tr>
    </w:tbl>
    <w:p>
      <w:pPr>
        <w:spacing w:after="0" w:line="20" w:lineRule="exact"/>
      </w:pPr>
    </w:p>
    <w:p>
      <w:r>
        <w:t>Folgeprojekte und Handlungsempfehlungen an die Geschäftsleitung im Detail: Projektplan PP-ITS-002 Kap. 8 und 9.</w:t>
      </w:r>
    </w:p>
    <w:p>
      <w:pPr>
        <w:pStyle w:val="Heading1"/>
        <w:pageBreakBefore/>
      </w:pPr>
      <w:r>
        <w:t>8. Anhang</w:t>
      </w:r>
    </w:p>
    <w:p>
      <w:pPr>
        <w:spacing w:after="0" w:line="20" w:lineRule="exact"/>
      </w:pPr>
    </w:p>
    <w:tbl>
      <w:tblPr>
        <w:tblStyle w:val="TableGrid"/>
        <w:tblW w:type="auto" w:w="0"/>
        <w:jc w:val="center"/>
        <w:tblLayout w:type="fixed"/>
        <w:tblLook w:firstColumn="1" w:firstRow="1" w:lastColumn="0" w:lastRow="0" w:noHBand="0" w:noVBand="1" w:val="04A0"/>
      </w:tblPr>
      <w:tblGrid>
        <w:gridCol w:w="2584"/>
        <w:gridCol w:w="1169"/>
        <w:gridCol w:w="1457"/>
        <w:gridCol w:w="1636"/>
        <w:gridCol w:w="2564"/>
      </w:tblGrid>
      <w:tr>
        <w:trPr>
          <w:tblHeader/>
          <w:cantSplit/>
        </w:trPr>
        <w:tc>
          <w:tcPr>
            <w:tcW w:type="dxa" w:w="9411"/>
            <w:gridSpan w:val="5"/>
            <w:tcBorders>
              <w:top w:val="nil"/>
              <w:left w:val="nil"/>
              <w:right w:val="nil"/>
            </w:tcBorders>
          </w:tcPr>
          <w:p>
            <w:pPr>
              <w:pStyle w:val="Heading2"/>
              <w:spacing w:before="200" w:after="60"/>
            </w:pPr>
            <w:r>
              <w:t>8.1 Datenbasis</w:t>
            </w:r>
          </w:p>
        </w:tc>
      </w:tr>
      <w:tr>
        <w:trPr>
          <w:tblHeader/>
        </w:trPr>
        <w:tc>
          <w:tcPr>
            <w:tcW w:type="dxa" w:w="2584"/>
            <w:shd w:val="clear" w:color="auto" w:fill="D9E2F3"/>
          </w:tcPr>
          <w:p>
            <w:pPr>
              <w:spacing w:after="0"/>
            </w:pPr>
            <w:r>
              <w:rPr>
                <w:b/>
                <w:sz w:val="19"/>
              </w:rPr>
              <w:t>Datei</w:t>
            </w:r>
          </w:p>
        </w:tc>
        <w:tc>
          <w:tcPr>
            <w:tcW w:type="dxa" w:w="1169"/>
            <w:shd w:val="clear" w:color="auto" w:fill="D9E2F3"/>
          </w:tcPr>
          <w:p>
            <w:pPr>
              <w:spacing w:after="0"/>
            </w:pPr>
            <w:r>
              <w:rPr>
                <w:b/>
                <w:sz w:val="19"/>
              </w:rPr>
              <w:t>Zeilen</w:t>
            </w:r>
          </w:p>
        </w:tc>
        <w:tc>
          <w:tcPr>
            <w:tcW w:type="dxa" w:w="1457"/>
            <w:shd w:val="clear" w:color="auto" w:fill="D9E2F3"/>
          </w:tcPr>
          <w:p>
            <w:pPr>
              <w:spacing w:after="0"/>
            </w:pPr>
            <w:r>
              <w:rPr>
                <w:b/>
                <w:sz w:val="19"/>
              </w:rPr>
              <w:t>Messintervall</w:t>
            </w:r>
          </w:p>
        </w:tc>
        <w:tc>
          <w:tcPr>
            <w:tcW w:type="dxa" w:w="1636"/>
            <w:shd w:val="clear" w:color="auto" w:fill="D9E2F3"/>
          </w:tcPr>
          <w:p>
            <w:pPr>
              <w:spacing w:after="0"/>
            </w:pPr>
            <w:r>
              <w:rPr>
                <w:b/>
                <w:sz w:val="19"/>
              </w:rPr>
              <w:t>Zeitraum</w:t>
            </w:r>
          </w:p>
        </w:tc>
        <w:tc>
          <w:tcPr>
            <w:tcW w:type="dxa" w:w="2564"/>
            <w:shd w:val="clear" w:color="auto" w:fill="D9E2F3"/>
          </w:tcPr>
          <w:p>
            <w:pPr>
              <w:spacing w:after="0"/>
            </w:pPr>
            <w:r>
              <w:rPr>
                <w:b/>
                <w:sz w:val="19"/>
              </w:rPr>
              <w:t>Inhalt</w:t>
            </w:r>
          </w:p>
        </w:tc>
      </w:tr>
      <w:tr>
        <w:trPr/>
        <w:tc>
          <w:tcPr>
            <w:tcW w:type="dxa" w:w="2584"/>
          </w:tcPr>
          <w:p>
            <w:pPr>
              <w:spacing w:after="0"/>
            </w:pPr>
            <w:r>
              <w:rPr>
                <w:rFonts w:ascii="Courier New" w:hAnsi="Courier New"/>
                <w:sz w:val="17"/>
              </w:rPr>
              <w:t>weight_schwartau.csv</w:t>
            </w:r>
          </w:p>
        </w:tc>
        <w:tc>
          <w:tcPr>
            <w:tcW w:type="dxa" w:w="1169"/>
          </w:tcPr>
          <w:p>
            <w:pPr>
              <w:spacing w:after="0"/>
            </w:pPr>
            <w:r>
              <w:rPr>
                <w:sz w:val="19"/>
              </w:rPr>
              <w:t>1.761</w:t>
            </w:r>
          </w:p>
        </w:tc>
        <w:tc>
          <w:tcPr>
            <w:tcW w:type="dxa" w:w="1457"/>
          </w:tcPr>
          <w:p>
            <w:pPr>
              <w:spacing w:after="0"/>
            </w:pPr>
            <w:r>
              <w:rPr>
                <w:sz w:val="19"/>
              </w:rPr>
              <w:t>12 Std.</w:t>
            </w:r>
          </w:p>
        </w:tc>
        <w:tc>
          <w:tcPr>
            <w:tcW w:type="dxa" w:w="1636"/>
          </w:tcPr>
          <w:p>
            <w:pPr>
              <w:spacing w:after="0"/>
            </w:pPr>
            <w:r>
              <w:rPr>
                <w:sz w:val="19"/>
              </w:rPr>
              <w:t>01.01.2017 – 31.05.2019</w:t>
            </w:r>
          </w:p>
        </w:tc>
        <w:tc>
          <w:tcPr>
            <w:tcW w:type="dxa" w:w="2564"/>
          </w:tcPr>
          <w:p>
            <w:pPr>
              <w:spacing w:after="0"/>
            </w:pPr>
            <w:r>
              <w:rPr>
                <w:sz w:val="19"/>
              </w:rPr>
              <w:t>Stockgewicht in Gramm (00:00 und 12:00 UTC)</w:t>
            </w:r>
          </w:p>
        </w:tc>
      </w:tr>
      <w:tr>
        <w:trPr/>
        <w:tc>
          <w:tcPr>
            <w:tcW w:type="dxa" w:w="2584"/>
          </w:tcPr>
          <w:p>
            <w:pPr>
              <w:spacing w:after="0"/>
            </w:pPr>
            <w:r>
              <w:rPr>
                <w:rFonts w:ascii="Courier New" w:hAnsi="Courier New"/>
                <w:sz w:val="17"/>
              </w:rPr>
              <w:t>humidity_schwartau.csv</w:t>
            </w:r>
          </w:p>
        </w:tc>
        <w:tc>
          <w:tcPr>
            <w:tcW w:type="dxa" w:w="1169"/>
          </w:tcPr>
          <w:p>
            <w:pPr>
              <w:spacing w:after="0"/>
            </w:pPr>
            <w:r>
              <w:rPr>
                <w:sz w:val="19"/>
              </w:rPr>
              <w:t>1.761</w:t>
            </w:r>
          </w:p>
        </w:tc>
        <w:tc>
          <w:tcPr>
            <w:tcW w:type="dxa" w:w="1457"/>
          </w:tcPr>
          <w:p>
            <w:pPr>
              <w:spacing w:after="0"/>
            </w:pPr>
            <w:r>
              <w:rPr>
                <w:sz w:val="19"/>
              </w:rPr>
              <w:t>12 Std.</w:t>
            </w:r>
          </w:p>
        </w:tc>
        <w:tc>
          <w:tcPr>
            <w:tcW w:type="dxa" w:w="1636"/>
          </w:tcPr>
          <w:p>
            <w:pPr>
              <w:spacing w:after="0"/>
            </w:pPr>
            <w:r>
              <w:rPr>
                <w:sz w:val="19"/>
              </w:rPr>
              <w:t>01.01.2017 – 31.05.2019</w:t>
            </w:r>
          </w:p>
        </w:tc>
        <w:tc>
          <w:tcPr>
            <w:tcW w:type="dxa" w:w="2564"/>
          </w:tcPr>
          <w:p>
            <w:pPr>
              <w:spacing w:after="0"/>
            </w:pPr>
            <w:r>
              <w:rPr>
                <w:sz w:val="19"/>
              </w:rPr>
              <w:t>Luftfeuchte im Stock (%)</w:t>
            </w:r>
          </w:p>
        </w:tc>
      </w:tr>
      <w:tr>
        <w:trPr/>
        <w:tc>
          <w:tcPr>
            <w:tcW w:type="dxa" w:w="2584"/>
          </w:tcPr>
          <w:p>
            <w:pPr>
              <w:spacing w:after="0"/>
            </w:pPr>
            <w:r>
              <w:rPr>
                <w:rFonts w:ascii="Courier New" w:hAnsi="Courier New"/>
                <w:sz w:val="17"/>
              </w:rPr>
              <w:t>temperature_schwartau.csv</w:t>
            </w:r>
          </w:p>
        </w:tc>
        <w:tc>
          <w:tcPr>
            <w:tcW w:type="dxa" w:w="1169"/>
          </w:tcPr>
          <w:p>
            <w:pPr>
              <w:spacing w:after="0"/>
            </w:pPr>
            <w:r>
              <w:rPr>
                <w:sz w:val="19"/>
              </w:rPr>
              <w:t>253.430</w:t>
            </w:r>
          </w:p>
        </w:tc>
        <w:tc>
          <w:tcPr>
            <w:tcW w:type="dxa" w:w="1457"/>
          </w:tcPr>
          <w:p>
            <w:pPr>
              <w:spacing w:after="0"/>
            </w:pPr>
            <w:r>
              <w:rPr>
                <w:sz w:val="19"/>
              </w:rPr>
              <w:t>5 Min.</w:t>
            </w:r>
          </w:p>
        </w:tc>
        <w:tc>
          <w:tcPr>
            <w:tcW w:type="dxa" w:w="1636"/>
          </w:tcPr>
          <w:p>
            <w:pPr>
              <w:spacing w:after="0"/>
            </w:pPr>
            <w:r>
              <w:rPr>
                <w:sz w:val="19"/>
              </w:rPr>
              <w:t>01.01.2017 – 31.05.2019</w:t>
            </w:r>
          </w:p>
        </w:tc>
        <w:tc>
          <w:tcPr>
            <w:tcW w:type="dxa" w:w="2564"/>
          </w:tcPr>
          <w:p>
            <w:pPr>
              <w:spacing w:after="0"/>
            </w:pPr>
            <w:r>
              <w:rPr>
                <w:sz w:val="19"/>
              </w:rPr>
              <w:t>Temperatur im Stock (°C)</w:t>
            </w:r>
          </w:p>
        </w:tc>
      </w:tr>
      <w:tr>
        <w:trPr/>
        <w:tc>
          <w:tcPr>
            <w:tcW w:type="dxa" w:w="2584"/>
          </w:tcPr>
          <w:p>
            <w:pPr>
              <w:spacing w:after="0"/>
            </w:pPr>
            <w:r>
              <w:rPr>
                <w:rFonts w:ascii="Courier New" w:hAnsi="Courier New"/>
                <w:sz w:val="17"/>
              </w:rPr>
              <w:t>flow_schwartau.csv</w:t>
            </w:r>
          </w:p>
        </w:tc>
        <w:tc>
          <w:tcPr>
            <w:tcW w:type="dxa" w:w="1169"/>
          </w:tcPr>
          <w:p>
            <w:pPr>
              <w:spacing w:after="0"/>
            </w:pPr>
            <w:r>
              <w:rPr>
                <w:sz w:val="19"/>
              </w:rPr>
              <w:t>2.513.836</w:t>
            </w:r>
          </w:p>
        </w:tc>
        <w:tc>
          <w:tcPr>
            <w:tcW w:type="dxa" w:w="1457"/>
          </w:tcPr>
          <w:p>
            <w:pPr>
              <w:spacing w:after="0"/>
            </w:pPr>
            <w:r>
              <w:rPr>
                <w:sz w:val="19"/>
              </w:rPr>
              <w:t>1 Min.</w:t>
            </w:r>
          </w:p>
        </w:tc>
        <w:tc>
          <w:tcPr>
            <w:tcW w:type="dxa" w:w="1636"/>
          </w:tcPr>
          <w:p>
            <w:pPr>
              <w:spacing w:after="0"/>
            </w:pPr>
            <w:r>
              <w:rPr>
                <w:sz w:val="19"/>
              </w:rPr>
              <w:t>01.01.2017 – 31.05.2019</w:t>
            </w:r>
          </w:p>
        </w:tc>
        <w:tc>
          <w:tcPr>
            <w:tcW w:type="dxa" w:w="2564"/>
          </w:tcPr>
          <w:p>
            <w:pPr>
              <w:spacing w:after="0"/>
            </w:pPr>
            <w:r>
              <w:rPr>
                <w:sz w:val="19"/>
              </w:rPr>
              <w:t>Flugbewegungen am Flugloch, zwei Messreihen</w:t>
            </w:r>
          </w:p>
        </w:tc>
      </w:tr>
      <w:tr>
        <w:trPr/>
        <w:tc>
          <w:tcPr>
            <w:tcW w:type="dxa" w:w="2584"/>
          </w:tcPr>
          <w:p>
            <w:pPr>
              <w:spacing w:after="0"/>
            </w:pPr>
            <w:r>
              <w:rPr>
                <w:sz w:val="19"/>
              </w:rPr>
              <w:t>Wetter Schwartau (N3)</w:t>
            </w:r>
          </w:p>
        </w:tc>
        <w:tc>
          <w:tcPr>
            <w:tcW w:type="dxa" w:w="1169"/>
          </w:tcPr>
          <w:p>
            <w:pPr>
              <w:spacing w:after="0"/>
            </w:pPr>
            <w:r>
              <w:rPr>
                <w:sz w:val="19"/>
              </w:rPr>
              <w:t>21.145</w:t>
            </w:r>
          </w:p>
        </w:tc>
        <w:tc>
          <w:tcPr>
            <w:tcW w:type="dxa" w:w="1457"/>
          </w:tcPr>
          <w:p>
            <w:pPr>
              <w:spacing w:after="0"/>
            </w:pPr>
            <w:r>
              <w:rPr>
                <w:sz w:val="19"/>
              </w:rPr>
              <w:t>1 Std.</w:t>
            </w:r>
          </w:p>
        </w:tc>
        <w:tc>
          <w:tcPr>
            <w:tcW w:type="dxa" w:w="1636"/>
          </w:tcPr>
          <w:p>
            <w:pPr>
              <w:spacing w:after="0"/>
            </w:pPr>
            <w:r>
              <w:rPr>
                <w:sz w:val="19"/>
              </w:rPr>
              <w:t>wie oben</w:t>
            </w:r>
          </w:p>
        </w:tc>
        <w:tc>
          <w:tcPr>
            <w:tcW w:type="dxa" w:w="2564"/>
          </w:tcPr>
          <w:p>
            <w:pPr>
              <w:spacing w:after="0"/>
            </w:pPr>
            <w:r>
              <w:rPr>
                <w:sz w:val="19"/>
              </w:rPr>
              <w:t>DWD über Bright Sky, Sonnenstand nach NOAA</w:t>
            </w:r>
          </w:p>
        </w:tc>
      </w:tr>
      <w:tr>
        <w:trPr/>
        <w:tc>
          <w:tcPr>
            <w:tcW w:type="dxa" w:w="2584"/>
          </w:tcPr>
          <w:p>
            <w:pPr>
              <w:spacing w:after="0"/>
            </w:pPr>
            <w:r>
              <w:rPr>
                <w:rFonts w:ascii="Courier New" w:hAnsi="Courier New"/>
                <w:sz w:val="17"/>
              </w:rPr>
              <w:t>weight_wurzburg.csv</w:t>
            </w:r>
          </w:p>
        </w:tc>
        <w:tc>
          <w:tcPr>
            <w:tcW w:type="dxa" w:w="1169"/>
          </w:tcPr>
          <w:p>
            <w:pPr>
              <w:spacing w:after="0"/>
            </w:pPr>
            <w:r>
              <w:rPr>
                <w:sz w:val="19"/>
              </w:rPr>
              <w:t>1.035.861</w:t>
            </w:r>
          </w:p>
        </w:tc>
        <w:tc>
          <w:tcPr>
            <w:tcW w:type="dxa" w:w="1457"/>
          </w:tcPr>
          <w:p>
            <w:pPr>
              <w:spacing w:after="0"/>
            </w:pPr>
            <w:r>
              <w:rPr>
                <w:sz w:val="19"/>
              </w:rPr>
              <w:t>1 Min.</w:t>
            </w:r>
          </w:p>
        </w:tc>
        <w:tc>
          <w:tcPr>
            <w:tcW w:type="dxa" w:w="1636"/>
          </w:tcPr>
          <w:p>
            <w:pPr>
              <w:spacing w:after="0"/>
            </w:pPr>
            <w:r>
              <w:rPr>
                <w:sz w:val="19"/>
              </w:rPr>
              <w:t>01.01.2017 – 20.05.2019</w:t>
            </w:r>
          </w:p>
        </w:tc>
        <w:tc>
          <w:tcPr>
            <w:tcW w:type="dxa" w:w="2564"/>
          </w:tcPr>
          <w:p>
            <w:pPr>
              <w:spacing w:after="0"/>
            </w:pPr>
            <w:r>
              <w:rPr>
                <w:sz w:val="19"/>
              </w:rPr>
              <w:t xml:space="preserve">Stockgewicht in </w:t>
            </w:r>
            <w:r>
              <w:rPr>
                <w:b/>
                <w:sz w:val="19"/>
              </w:rPr>
              <w:t>Kilogramm</w:t>
            </w:r>
            <w:r>
              <w:rPr>
                <w:sz w:val="19"/>
              </w:rPr>
              <w:t xml:space="preserve"> (Lücke Mai–Okt. 2018)</w:t>
            </w:r>
          </w:p>
        </w:tc>
      </w:tr>
      <w:tr>
        <w:trPr/>
        <w:tc>
          <w:tcPr>
            <w:tcW w:type="dxa" w:w="2584"/>
          </w:tcPr>
          <w:p>
            <w:pPr>
              <w:spacing w:after="0"/>
            </w:pPr>
            <w:r>
              <w:rPr>
                <w:rFonts w:ascii="Courier New" w:hAnsi="Courier New"/>
                <w:sz w:val="17"/>
              </w:rPr>
              <w:t>humidity_wurzburg.csv</w:t>
            </w:r>
          </w:p>
        </w:tc>
        <w:tc>
          <w:tcPr>
            <w:tcW w:type="dxa" w:w="1169"/>
          </w:tcPr>
          <w:p>
            <w:pPr>
              <w:spacing w:after="0"/>
            </w:pPr>
            <w:r>
              <w:rPr>
                <w:sz w:val="19"/>
              </w:rPr>
              <w:t>20.845</w:t>
            </w:r>
          </w:p>
        </w:tc>
        <w:tc>
          <w:tcPr>
            <w:tcW w:type="dxa" w:w="1457"/>
          </w:tcPr>
          <w:p>
            <w:pPr>
              <w:spacing w:after="0"/>
            </w:pPr>
            <w:r>
              <w:rPr>
                <w:sz w:val="19"/>
              </w:rPr>
              <w:t>1 Std.</w:t>
            </w:r>
          </w:p>
        </w:tc>
        <w:tc>
          <w:tcPr>
            <w:tcW w:type="dxa" w:w="1636"/>
          </w:tcPr>
          <w:p>
            <w:pPr>
              <w:spacing w:after="0"/>
            </w:pPr>
            <w:r>
              <w:rPr>
                <w:sz w:val="19"/>
              </w:rPr>
              <w:t>wie oben</w:t>
            </w:r>
          </w:p>
        </w:tc>
        <w:tc>
          <w:tcPr>
            <w:tcW w:type="dxa" w:w="2564"/>
          </w:tcPr>
          <w:p>
            <w:pPr>
              <w:spacing w:after="0"/>
            </w:pPr>
            <w:r>
              <w:rPr>
                <w:sz w:val="19"/>
              </w:rPr>
              <w:t>Luftfeuchte im Stock (%)</w:t>
            </w:r>
          </w:p>
        </w:tc>
      </w:tr>
      <w:tr>
        <w:trPr/>
        <w:tc>
          <w:tcPr>
            <w:tcW w:type="dxa" w:w="2584"/>
          </w:tcPr>
          <w:p>
            <w:pPr>
              <w:spacing w:after="0"/>
            </w:pPr>
            <w:r>
              <w:rPr>
                <w:rFonts w:ascii="Courier New" w:hAnsi="Courier New"/>
                <w:sz w:val="17"/>
              </w:rPr>
              <w:t>temperature_wurzburg.csv</w:t>
            </w:r>
          </w:p>
        </w:tc>
        <w:tc>
          <w:tcPr>
            <w:tcW w:type="dxa" w:w="1169"/>
          </w:tcPr>
          <w:p>
            <w:pPr>
              <w:spacing w:after="0"/>
            </w:pPr>
            <w:r>
              <w:rPr>
                <w:sz w:val="19"/>
              </w:rPr>
              <w:t>958.831</w:t>
            </w:r>
          </w:p>
        </w:tc>
        <w:tc>
          <w:tcPr>
            <w:tcW w:type="dxa" w:w="1457"/>
          </w:tcPr>
          <w:p>
            <w:pPr>
              <w:spacing w:after="0"/>
            </w:pPr>
            <w:r>
              <w:rPr>
                <w:sz w:val="19"/>
              </w:rPr>
              <w:t>5 Min.</w:t>
            </w:r>
          </w:p>
        </w:tc>
        <w:tc>
          <w:tcPr>
            <w:tcW w:type="dxa" w:w="1636"/>
          </w:tcPr>
          <w:p>
            <w:pPr>
              <w:spacing w:after="0"/>
            </w:pPr>
            <w:r>
              <w:rPr>
                <w:sz w:val="19"/>
              </w:rPr>
              <w:t>wie oben</w:t>
            </w:r>
          </w:p>
        </w:tc>
        <w:tc>
          <w:tcPr>
            <w:tcW w:type="dxa" w:w="2564"/>
          </w:tcPr>
          <w:p>
            <w:pPr>
              <w:spacing w:after="0"/>
            </w:pPr>
            <w:r>
              <w:rPr>
                <w:sz w:val="19"/>
              </w:rPr>
              <w:t>Temperatur im Stock (°C), Fehlerwerte bis −227 °C</w:t>
            </w:r>
          </w:p>
        </w:tc>
      </w:tr>
      <w:tr>
        <w:trPr/>
        <w:tc>
          <w:tcPr>
            <w:tcW w:type="dxa" w:w="2584"/>
          </w:tcPr>
          <w:p>
            <w:pPr>
              <w:spacing w:after="0"/>
            </w:pPr>
            <w:r>
              <w:rPr>
                <w:rFonts w:ascii="Courier New" w:hAnsi="Courier New"/>
                <w:sz w:val="17"/>
              </w:rPr>
              <w:t>flow_wurzburg.csv</w:t>
            </w:r>
            <w:r>
              <w:rPr>
                <w:sz w:val="19"/>
              </w:rPr>
              <w:t xml:space="preserve"> (Kursfassung)</w:t>
            </w:r>
          </w:p>
        </w:tc>
        <w:tc>
          <w:tcPr>
            <w:tcW w:type="dxa" w:w="1169"/>
          </w:tcPr>
          <w:p>
            <w:pPr>
              <w:spacing w:after="0"/>
            </w:pPr>
            <w:r>
              <w:rPr>
                <w:sz w:val="19"/>
              </w:rPr>
              <w:t>2.055.520</w:t>
            </w:r>
          </w:p>
        </w:tc>
        <w:tc>
          <w:tcPr>
            <w:tcW w:type="dxa" w:w="1457"/>
          </w:tcPr>
          <w:p>
            <w:pPr>
              <w:spacing w:after="0"/>
            </w:pPr>
            <w:r>
              <w:rPr>
                <w:sz w:val="19"/>
              </w:rPr>
              <w:t>1 Min.</w:t>
            </w:r>
          </w:p>
        </w:tc>
        <w:tc>
          <w:tcPr>
            <w:tcW w:type="dxa" w:w="1636"/>
          </w:tcPr>
          <w:p>
            <w:pPr>
              <w:spacing w:after="0"/>
            </w:pPr>
            <w:r>
              <w:rPr>
                <w:sz w:val="19"/>
              </w:rPr>
              <w:t>wie oben</w:t>
            </w:r>
          </w:p>
        </w:tc>
        <w:tc>
          <w:tcPr>
            <w:tcW w:type="dxa" w:w="2564"/>
          </w:tcPr>
          <w:p>
            <w:pPr>
              <w:spacing w:after="0"/>
            </w:pPr>
            <w:r>
              <w:rPr>
                <w:sz w:val="19"/>
              </w:rPr>
              <w:t>Flugbewegungen, zwei Messreihen; ohne Stunde 00:00–00:59 ab 02.01.2019</w:t>
            </w:r>
          </w:p>
        </w:tc>
      </w:tr>
      <w:tr>
        <w:trPr/>
        <w:tc>
          <w:tcPr>
            <w:tcW w:type="dxa" w:w="2584"/>
          </w:tcPr>
          <w:p>
            <w:pPr>
              <w:spacing w:after="0"/>
            </w:pPr>
            <w:r>
              <w:rPr>
                <w:sz w:val="19"/>
              </w:rPr>
              <w:t>Wetter Würzburg (N3)</w:t>
            </w:r>
          </w:p>
        </w:tc>
        <w:tc>
          <w:tcPr>
            <w:tcW w:type="dxa" w:w="1169"/>
          </w:tcPr>
          <w:p>
            <w:pPr>
              <w:spacing w:after="0"/>
            </w:pPr>
            <w:r>
              <w:rPr>
                <w:sz w:val="19"/>
              </w:rPr>
              <w:t>20.881</w:t>
            </w:r>
          </w:p>
        </w:tc>
        <w:tc>
          <w:tcPr>
            <w:tcW w:type="dxa" w:w="1457"/>
          </w:tcPr>
          <w:p>
            <w:pPr>
              <w:spacing w:after="0"/>
            </w:pPr>
            <w:r>
              <w:rPr>
                <w:sz w:val="19"/>
              </w:rPr>
              <w:t>1 Std.</w:t>
            </w:r>
          </w:p>
        </w:tc>
        <w:tc>
          <w:tcPr>
            <w:tcW w:type="dxa" w:w="1636"/>
          </w:tcPr>
          <w:p>
            <w:pPr>
              <w:spacing w:after="0"/>
            </w:pPr>
            <w:r>
              <w:rPr>
                <w:sz w:val="19"/>
              </w:rPr>
              <w:t>wie oben</w:t>
            </w:r>
          </w:p>
        </w:tc>
        <w:tc>
          <w:tcPr>
            <w:tcW w:type="dxa" w:w="2564"/>
          </w:tcPr>
          <w:p>
            <w:pPr>
              <w:spacing w:after="0"/>
            </w:pPr>
            <w:r>
              <w:rPr>
                <w:sz w:val="19"/>
              </w:rPr>
              <w:t>DWD über Bright Sky (Station Würzburg 1,5 km)</w:t>
            </w:r>
          </w:p>
        </w:tc>
      </w:tr>
    </w:tbl>
    <w:p>
      <w:pPr>
        <w:spacing w:after="0" w:line="20" w:lineRule="exact"/>
      </w:pPr>
    </w:p>
    <w:p>
      <w:pPr>
        <w:pStyle w:val="Heading2"/>
      </w:pPr>
      <w:r>
        <w:t>8.2 Befund-Register</w:t>
      </w:r>
    </w:p>
    <w:p>
      <w:pPr>
        <w:spacing w:after="0" w:line="20" w:lineRule="exact"/>
      </w:pPr>
    </w:p>
    <w:p>
      <w:r>
        <w:rPr>
          <w:b/>
        </w:rPr>
        <w:t>Bereinigungsregeln</w:t>
      </w:r>
    </w:p>
    <w:tbl>
      <w:tblPr>
        <w:tblStyle w:val="TableGrid"/>
        <w:tblW w:type="auto" w:w="0"/>
        <w:jc w:val="center"/>
        <w:tblLayout w:type="fixed"/>
        <w:tblLook w:firstColumn="1" w:firstRow="1" w:lastColumn="0" w:lastRow="0" w:noHBand="0" w:noVBand="1" w:val="04A0"/>
      </w:tblPr>
      <w:tblGrid>
        <w:gridCol w:w="706"/>
        <w:gridCol w:w="943"/>
        <w:gridCol w:w="1399"/>
        <w:gridCol w:w="1806"/>
        <w:gridCol w:w="1423"/>
        <w:gridCol w:w="848"/>
        <w:gridCol w:w="2285"/>
      </w:tblGrid>
      <w:tr>
        <w:trPr>
          <w:tblHeader/>
        </w:trPr>
        <w:tc>
          <w:tcPr>
            <w:tcW w:type="dxa" w:w="706"/>
            <w:shd w:val="clear" w:color="auto" w:fill="D9E2F3"/>
          </w:tcPr>
          <w:p>
            <w:pPr>
              <w:spacing w:after="0"/>
            </w:pPr>
            <w:r>
              <w:rPr>
                <w:b/>
                <w:sz w:val="19"/>
              </w:rPr>
              <w:t>#</w:t>
            </w:r>
          </w:p>
        </w:tc>
        <w:tc>
          <w:tcPr>
            <w:tcW w:type="dxa" w:w="943"/>
            <w:shd w:val="clear" w:color="auto" w:fill="D9E2F3"/>
          </w:tcPr>
          <w:p>
            <w:pPr>
              <w:spacing w:after="0"/>
            </w:pPr>
            <w:r>
              <w:rPr>
                <w:b/>
                <w:sz w:val="19"/>
              </w:rPr>
              <w:t>Notebook</w:t>
            </w:r>
          </w:p>
        </w:tc>
        <w:tc>
          <w:tcPr>
            <w:tcW w:type="dxa" w:w="1399"/>
            <w:shd w:val="clear" w:color="auto" w:fill="D9E2F3"/>
          </w:tcPr>
          <w:p>
            <w:pPr>
              <w:spacing w:after="0"/>
            </w:pPr>
            <w:r>
              <w:rPr>
                <w:b/>
                <w:sz w:val="19"/>
              </w:rPr>
              <w:t>Datei</w:t>
            </w:r>
          </w:p>
        </w:tc>
        <w:tc>
          <w:tcPr>
            <w:tcW w:type="dxa" w:w="1806"/>
            <w:shd w:val="clear" w:color="auto" w:fill="D9E2F3"/>
          </w:tcPr>
          <w:p>
            <w:pPr>
              <w:spacing w:after="0"/>
            </w:pPr>
            <w:r>
              <w:rPr>
                <w:b/>
                <w:sz w:val="19"/>
              </w:rPr>
              <w:t>Befund</w:t>
            </w:r>
          </w:p>
        </w:tc>
        <w:tc>
          <w:tcPr>
            <w:tcW w:type="dxa" w:w="1423"/>
            <w:shd w:val="clear" w:color="auto" w:fill="D9E2F3"/>
          </w:tcPr>
          <w:p>
            <w:pPr>
              <w:spacing w:after="0"/>
            </w:pPr>
            <w:r>
              <w:rPr>
                <w:b/>
                <w:sz w:val="19"/>
              </w:rPr>
              <w:t>Regel</w:t>
            </w:r>
          </w:p>
        </w:tc>
        <w:tc>
          <w:tcPr>
            <w:tcW w:type="dxa" w:w="848"/>
            <w:shd w:val="clear" w:color="auto" w:fill="D9E2F3"/>
          </w:tcPr>
          <w:p>
            <w:pPr>
              <w:spacing w:after="0"/>
            </w:pPr>
            <w:r>
              <w:rPr>
                <w:b/>
                <w:sz w:val="19"/>
              </w:rPr>
              <w:t>Schritt</w:t>
            </w:r>
          </w:p>
        </w:tc>
        <w:tc>
          <w:tcPr>
            <w:tcW w:type="dxa" w:w="2285"/>
            <w:shd w:val="clear" w:color="auto" w:fill="D9E2F3"/>
          </w:tcPr>
          <w:p>
            <w:pPr>
              <w:spacing w:after="0"/>
            </w:pPr>
            <w:r>
              <w:rPr>
                <w:b/>
                <w:sz w:val="19"/>
              </w:rPr>
              <w:t>Einfach erklärt</w:t>
            </w:r>
          </w:p>
        </w:tc>
      </w:tr>
      <w:tr>
        <w:trPr/>
        <w:tc>
          <w:tcPr>
            <w:tcW w:type="dxa" w:w="706"/>
          </w:tcPr>
          <w:p>
            <w:pPr>
              <w:spacing w:after="0"/>
            </w:pPr>
            <w:r>
              <w:rPr>
                <w:sz w:val="19"/>
              </w:rPr>
              <w:t>R1</w:t>
            </w:r>
          </w:p>
        </w:tc>
        <w:tc>
          <w:tcPr>
            <w:tcW w:type="dxa" w:w="943"/>
          </w:tcPr>
          <w:p>
            <w:pPr>
              <w:spacing w:after="0"/>
            </w:pPr>
            <w:r>
              <w:rPr>
                <w:sz w:val="19"/>
              </w:rPr>
              <w:t>N1</w:t>
            </w:r>
          </w:p>
        </w:tc>
        <w:tc>
          <w:tcPr>
            <w:tcW w:type="dxa" w:w="1399"/>
          </w:tcPr>
          <w:p>
            <w:pPr>
              <w:spacing w:after="0"/>
            </w:pPr>
            <w:r>
              <w:rPr>
                <w:sz w:val="19"/>
              </w:rPr>
              <w:t>alle</w:t>
            </w:r>
          </w:p>
        </w:tc>
        <w:tc>
          <w:tcPr>
            <w:tcW w:type="dxa" w:w="1806"/>
          </w:tcPr>
          <w:p>
            <w:pPr>
              <w:spacing w:after="0"/>
            </w:pPr>
            <w:r>
              <w:rPr>
                <w:rFonts w:ascii="Courier New" w:hAnsi="Courier New"/>
                <w:sz w:val="17"/>
              </w:rPr>
              <w:t>timestamp</w:t>
            </w:r>
            <w:r>
              <w:rPr>
                <w:sz w:val="19"/>
              </w:rPr>
              <w:t xml:space="preserve"> ist Text</w:t>
            </w:r>
          </w:p>
        </w:tc>
        <w:tc>
          <w:tcPr>
            <w:tcW w:type="dxa" w:w="1423"/>
          </w:tcPr>
          <w:p>
            <w:pPr>
              <w:spacing w:after="0"/>
            </w:pPr>
            <w:r>
              <w:rPr>
                <w:sz w:val="19"/>
              </w:rPr>
              <w:t>in Datum/Uhrzeit umwandeln</w:t>
            </w:r>
          </w:p>
        </w:tc>
        <w:tc>
          <w:tcPr>
            <w:tcW w:type="dxa" w:w="848"/>
          </w:tcPr>
          <w:p>
            <w:pPr>
              <w:spacing w:after="0"/>
            </w:pPr>
            <w:r>
              <w:rPr>
                <w:sz w:val="19"/>
              </w:rPr>
              <w:t>2.4</w:t>
            </w:r>
          </w:p>
        </w:tc>
        <w:tc>
          <w:tcPr>
            <w:tcW w:type="dxa" w:w="2285"/>
          </w:tcPr>
          <w:p>
            <w:pPr>
              <w:spacing w:after="0"/>
            </w:pPr>
            <w:r>
              <w:rPr>
                <w:sz w:val="19"/>
              </w:rPr>
              <w:t>Zeitangaben waren nur Text; erst als Datum kann man rechnen und sortieren.</w:t>
            </w:r>
          </w:p>
        </w:tc>
      </w:tr>
      <w:tr>
        <w:trPr/>
        <w:tc>
          <w:tcPr>
            <w:tcW w:type="dxa" w:w="706"/>
          </w:tcPr>
          <w:p>
            <w:pPr>
              <w:spacing w:after="0"/>
            </w:pPr>
            <w:r>
              <w:rPr>
                <w:sz w:val="19"/>
              </w:rPr>
              <w:t>R2</w:t>
            </w:r>
          </w:p>
        </w:tc>
        <w:tc>
          <w:tcPr>
            <w:tcW w:type="dxa" w:w="943"/>
          </w:tcPr>
          <w:p>
            <w:pPr>
              <w:spacing w:after="0"/>
            </w:pPr>
            <w:r>
              <w:rPr>
                <w:sz w:val="19"/>
              </w:rPr>
              <w:t>N1</w:t>
            </w:r>
          </w:p>
        </w:tc>
        <w:tc>
          <w:tcPr>
            <w:tcW w:type="dxa" w:w="1399"/>
          </w:tcPr>
          <w:p>
            <w:pPr>
              <w:spacing w:after="0"/>
            </w:pPr>
            <w:r>
              <w:rPr>
                <w:sz w:val="19"/>
              </w:rPr>
              <w:t>temperature, flow</w:t>
            </w:r>
          </w:p>
        </w:tc>
        <w:tc>
          <w:tcPr>
            <w:tcW w:type="dxa" w:w="1806"/>
          </w:tcPr>
          <w:p>
            <w:pPr>
              <w:spacing w:after="0"/>
            </w:pPr>
            <w:r>
              <w:rPr>
                <w:sz w:val="19"/>
              </w:rPr>
              <w:t>24 doppelte Zeitstempel bzw. Rücksprünge an der Zeitumstellung</w:t>
            </w:r>
          </w:p>
        </w:tc>
        <w:tc>
          <w:tcPr>
            <w:tcW w:type="dxa" w:w="1423"/>
          </w:tcPr>
          <w:p>
            <w:pPr>
              <w:spacing w:after="0"/>
            </w:pPr>
            <w:r>
              <w:rPr>
                <w:sz w:val="19"/>
              </w:rPr>
              <w:t>nach UTC, dann Duplikate prüfen</w:t>
            </w:r>
          </w:p>
        </w:tc>
        <w:tc>
          <w:tcPr>
            <w:tcW w:type="dxa" w:w="848"/>
          </w:tcPr>
          <w:p>
            <w:pPr>
              <w:spacing w:after="0"/>
            </w:pPr>
            <w:r>
              <w:rPr>
                <w:sz w:val="19"/>
              </w:rPr>
              <w:t>2.4</w:t>
            </w:r>
          </w:p>
        </w:tc>
        <w:tc>
          <w:tcPr>
            <w:tcW w:type="dxa" w:w="2285"/>
          </w:tcPr>
          <w:p>
            <w:pPr>
              <w:spacing w:after="0"/>
            </w:pPr>
            <w:r>
              <w:rPr>
                <w:sz w:val="19"/>
              </w:rPr>
              <w:t>Bei der Zeitumstellung gibt es eine Stunde doppelt; Weltzeit (UTC) macht jede Minute eindeutig.</w:t>
            </w:r>
          </w:p>
        </w:tc>
      </w:tr>
      <w:tr>
        <w:trPr/>
        <w:tc>
          <w:tcPr>
            <w:tcW w:type="dxa" w:w="706"/>
          </w:tcPr>
          <w:p>
            <w:pPr>
              <w:spacing w:after="0"/>
            </w:pPr>
            <w:r>
              <w:rPr>
                <w:sz w:val="19"/>
              </w:rPr>
              <w:t>R3</w:t>
            </w:r>
          </w:p>
        </w:tc>
        <w:tc>
          <w:tcPr>
            <w:tcW w:type="dxa" w:w="943"/>
          </w:tcPr>
          <w:p>
            <w:pPr>
              <w:spacing w:after="0"/>
            </w:pPr>
            <w:r>
              <w:rPr>
                <w:sz w:val="19"/>
              </w:rPr>
              <w:t>N1</w:t>
            </w:r>
          </w:p>
        </w:tc>
        <w:tc>
          <w:tcPr>
            <w:tcW w:type="dxa" w:w="1399"/>
          </w:tcPr>
          <w:p>
            <w:pPr>
              <w:spacing w:after="0"/>
            </w:pPr>
            <w:r>
              <w:rPr>
                <w:sz w:val="19"/>
              </w:rPr>
              <w:t>weight 12, humidity 12, temperature 2.032</w:t>
            </w:r>
          </w:p>
        </w:tc>
        <w:tc>
          <w:tcPr>
            <w:tcW w:type="dxa" w:w="1806"/>
          </w:tcPr>
          <w:p>
            <w:pPr>
              <w:spacing w:after="0"/>
            </w:pPr>
            <w:r>
              <w:rPr>
                <w:sz w:val="19"/>
              </w:rPr>
              <w:t>fehlende Werte</w:t>
            </w:r>
          </w:p>
        </w:tc>
        <w:tc>
          <w:tcPr>
            <w:tcW w:type="dxa" w:w="1423"/>
          </w:tcPr>
          <w:p>
            <w:pPr>
              <w:spacing w:after="0"/>
            </w:pPr>
            <w:r>
              <w:rPr>
                <w:sz w:val="19"/>
              </w:rPr>
              <w:t>zählen, nicht auffüllen</w:t>
            </w:r>
          </w:p>
        </w:tc>
        <w:tc>
          <w:tcPr>
            <w:tcW w:type="dxa" w:w="848"/>
          </w:tcPr>
          <w:p>
            <w:pPr>
              <w:spacing w:after="0"/>
            </w:pPr>
            <w:r>
              <w:rPr>
                <w:sz w:val="19"/>
              </w:rPr>
              <w:t>2.5</w:t>
            </w:r>
          </w:p>
        </w:tc>
        <w:tc>
          <w:tcPr>
            <w:tcW w:type="dxa" w:w="2285"/>
          </w:tcPr>
          <w:p>
            <w:pPr>
              <w:spacing w:after="0"/>
            </w:pPr>
            <w:r>
              <w:rPr>
                <w:sz w:val="19"/>
              </w:rPr>
              <w:t>Fehlende Messungen werden gezählt, nicht erfunden.</w:t>
            </w:r>
          </w:p>
        </w:tc>
      </w:tr>
      <w:tr>
        <w:trPr/>
        <w:tc>
          <w:tcPr>
            <w:tcW w:type="dxa" w:w="706"/>
          </w:tcPr>
          <w:p>
            <w:pPr>
              <w:spacing w:after="0"/>
            </w:pPr>
            <w:r>
              <w:rPr>
                <w:sz w:val="19"/>
              </w:rPr>
              <w:t>R4</w:t>
            </w:r>
          </w:p>
        </w:tc>
        <w:tc>
          <w:tcPr>
            <w:tcW w:type="dxa" w:w="943"/>
          </w:tcPr>
          <w:p>
            <w:pPr>
              <w:spacing w:after="0"/>
            </w:pPr>
            <w:r>
              <w:rPr>
                <w:sz w:val="19"/>
              </w:rPr>
              <w:t>N1</w:t>
            </w:r>
          </w:p>
        </w:tc>
        <w:tc>
          <w:tcPr>
            <w:tcW w:type="dxa" w:w="1399"/>
          </w:tcPr>
          <w:p>
            <w:pPr>
              <w:spacing w:after="0"/>
            </w:pPr>
            <w:r>
              <w:rPr>
                <w:sz w:val="19"/>
              </w:rPr>
              <w:t>flow</w:t>
            </w:r>
          </w:p>
        </w:tc>
        <w:tc>
          <w:tcPr>
            <w:tcW w:type="dxa" w:w="1806"/>
          </w:tcPr>
          <w:p>
            <w:pPr>
              <w:spacing w:after="0"/>
            </w:pPr>
            <w:r>
              <w:rPr>
                <w:sz w:val="19"/>
              </w:rPr>
              <w:t>697.348 gleiche Zeilen</w:t>
            </w:r>
          </w:p>
        </w:tc>
        <w:tc>
          <w:tcPr>
            <w:tcW w:type="dxa" w:w="1423"/>
          </w:tcPr>
          <w:p>
            <w:pPr>
              <w:spacing w:after="0"/>
            </w:pPr>
            <w:r>
              <w:rPr>
                <w:sz w:val="19"/>
              </w:rPr>
              <w:t>behalten (echte Nullwerte)</w:t>
            </w:r>
          </w:p>
        </w:tc>
        <w:tc>
          <w:tcPr>
            <w:tcW w:type="dxa" w:w="848"/>
          </w:tcPr>
          <w:p>
            <w:pPr>
              <w:spacing w:after="0"/>
            </w:pPr>
            <w:r>
              <w:rPr>
                <w:sz w:val="19"/>
              </w:rPr>
              <w:t>2.5</w:t>
            </w:r>
          </w:p>
        </w:tc>
        <w:tc>
          <w:tcPr>
            <w:tcW w:type="dxa" w:w="2285"/>
          </w:tcPr>
          <w:p>
            <w:pPr>
              <w:spacing w:after="0"/>
            </w:pPr>
            <w:r>
              <w:rPr>
                <w:sz w:val="19"/>
              </w:rPr>
              <w:t>Viele Minuten ohne Flug ergeben gleiche Zeilen – das sind echte Nullen, keine Fehler.</w:t>
            </w:r>
          </w:p>
        </w:tc>
      </w:tr>
      <w:tr>
        <w:trPr/>
        <w:tc>
          <w:tcPr>
            <w:tcW w:type="dxa" w:w="706"/>
          </w:tcPr>
          <w:p>
            <w:pPr>
              <w:spacing w:after="0"/>
            </w:pPr>
            <w:r>
              <w:rPr>
                <w:sz w:val="19"/>
              </w:rPr>
              <w:t>R5</w:t>
            </w:r>
          </w:p>
        </w:tc>
        <w:tc>
          <w:tcPr>
            <w:tcW w:type="dxa" w:w="943"/>
          </w:tcPr>
          <w:p>
            <w:pPr>
              <w:spacing w:after="0"/>
            </w:pPr>
            <w:r>
              <w:rPr>
                <w:sz w:val="19"/>
              </w:rPr>
              <w:t>N2</w:t>
            </w:r>
          </w:p>
        </w:tc>
        <w:tc>
          <w:tcPr>
            <w:tcW w:type="dxa" w:w="1399"/>
          </w:tcPr>
          <w:p>
            <w:pPr>
              <w:spacing w:after="0"/>
            </w:pPr>
            <w:r>
              <w:rPr>
                <w:sz w:val="19"/>
              </w:rPr>
              <w:t>weight</w:t>
            </w:r>
          </w:p>
        </w:tc>
        <w:tc>
          <w:tcPr>
            <w:tcW w:type="dxa" w:w="1806"/>
          </w:tcPr>
          <w:p>
            <w:pPr>
              <w:spacing w:after="0"/>
            </w:pPr>
            <w:r>
              <w:rPr>
                <w:sz w:val="19"/>
              </w:rPr>
              <w:t>102 Werte &lt; 20 kg</w:t>
            </w:r>
          </w:p>
        </w:tc>
        <w:tc>
          <w:tcPr>
            <w:tcW w:type="dxa" w:w="1423"/>
          </w:tcPr>
          <w:p>
            <w:pPr>
              <w:spacing w:after="0"/>
            </w:pPr>
            <w:r>
              <w:rPr>
                <w:sz w:val="19"/>
              </w:rPr>
              <w:t>ungültig markieren</w:t>
            </w:r>
          </w:p>
        </w:tc>
        <w:tc>
          <w:tcPr>
            <w:tcW w:type="dxa" w:w="848"/>
          </w:tcPr>
          <w:p>
            <w:pPr>
              <w:spacing w:after="0"/>
            </w:pPr>
            <w:r>
              <w:rPr>
                <w:sz w:val="19"/>
              </w:rPr>
              <w:t>2.7</w:t>
            </w:r>
          </w:p>
        </w:tc>
        <w:tc>
          <w:tcPr>
            <w:tcW w:type="dxa" w:w="2285"/>
          </w:tcPr>
          <w:p>
            <w:pPr>
              <w:spacing w:after="0"/>
            </w:pPr>
            <w:r>
              <w:rPr>
                <w:sz w:val="19"/>
              </w:rPr>
              <w:t>Ein Stock unter 20 kg ist unmöglich (leere Waage oder Fehler).</w:t>
            </w:r>
          </w:p>
        </w:tc>
      </w:tr>
      <w:tr>
        <w:trPr/>
        <w:tc>
          <w:tcPr>
            <w:tcW w:type="dxa" w:w="706"/>
          </w:tcPr>
          <w:p>
            <w:pPr>
              <w:spacing w:after="0"/>
            </w:pPr>
            <w:r>
              <w:rPr>
                <w:sz w:val="19"/>
              </w:rPr>
              <w:t>R5a</w:t>
            </w:r>
          </w:p>
        </w:tc>
        <w:tc>
          <w:tcPr>
            <w:tcW w:type="dxa" w:w="943"/>
          </w:tcPr>
          <w:p>
            <w:pPr>
              <w:spacing w:after="0"/>
            </w:pPr>
            <w:r>
              <w:rPr>
                <w:sz w:val="19"/>
              </w:rPr>
              <w:t>N2</w:t>
            </w:r>
          </w:p>
        </w:tc>
        <w:tc>
          <w:tcPr>
            <w:tcW w:type="dxa" w:w="1399"/>
          </w:tcPr>
          <w:p>
            <w:pPr>
              <w:spacing w:after="0"/>
            </w:pPr>
            <w:r>
              <w:rPr>
                <w:sz w:val="19"/>
              </w:rPr>
              <w:t>weight</w:t>
            </w:r>
          </w:p>
        </w:tc>
        <w:tc>
          <w:tcPr>
            <w:tcW w:type="dxa" w:w="1806"/>
          </w:tcPr>
          <w:p>
            <w:pPr>
              <w:spacing w:after="0"/>
            </w:pPr>
            <w:r>
              <w:rPr>
                <w:sz w:val="19"/>
              </w:rPr>
              <w:t>Zeitraum 28.04.–02.07.2018 (130 Werte)</w:t>
            </w:r>
          </w:p>
        </w:tc>
        <w:tc>
          <w:tcPr>
            <w:tcW w:type="dxa" w:w="1423"/>
          </w:tcPr>
          <w:p>
            <w:pPr>
              <w:spacing w:after="0"/>
            </w:pPr>
            <w:r>
              <w:rPr>
                <w:sz w:val="19"/>
              </w:rPr>
              <w:t>ungültig: Stock nicht auf Waage</w:t>
            </w:r>
          </w:p>
        </w:tc>
        <w:tc>
          <w:tcPr>
            <w:tcW w:type="dxa" w:w="848"/>
          </w:tcPr>
          <w:p>
            <w:pPr>
              <w:spacing w:after="0"/>
            </w:pPr>
            <w:r>
              <w:rPr>
                <w:sz w:val="19"/>
              </w:rPr>
              <w:t>5.1</w:t>
            </w:r>
          </w:p>
        </w:tc>
        <w:tc>
          <w:tcPr>
            <w:tcW w:type="dxa" w:w="2285"/>
          </w:tcPr>
          <w:p>
            <w:pPr>
              <w:spacing w:after="0"/>
            </w:pPr>
            <w:r>
              <w:rPr>
                <w:sz w:val="19"/>
              </w:rPr>
              <w:t>In diesem Zeitraum stand der Stock nicht richtig auf der Waage.</w:t>
            </w:r>
          </w:p>
        </w:tc>
      </w:tr>
      <w:tr>
        <w:trPr/>
        <w:tc>
          <w:tcPr>
            <w:tcW w:type="dxa" w:w="706"/>
          </w:tcPr>
          <w:p>
            <w:pPr>
              <w:spacing w:after="0"/>
            </w:pPr>
            <w:r>
              <w:rPr>
                <w:sz w:val="19"/>
              </w:rPr>
              <w:t>R6</w:t>
            </w:r>
          </w:p>
        </w:tc>
        <w:tc>
          <w:tcPr>
            <w:tcW w:type="dxa" w:w="943"/>
          </w:tcPr>
          <w:p>
            <w:pPr>
              <w:spacing w:after="0"/>
            </w:pPr>
            <w:r>
              <w:rPr>
                <w:sz w:val="19"/>
              </w:rPr>
              <w:t>N2</w:t>
            </w:r>
          </w:p>
        </w:tc>
        <w:tc>
          <w:tcPr>
            <w:tcW w:type="dxa" w:w="1399"/>
          </w:tcPr>
          <w:p>
            <w:pPr>
              <w:spacing w:after="0"/>
            </w:pPr>
            <w:r>
              <w:rPr>
                <w:sz w:val="19"/>
              </w:rPr>
              <w:t>humidity</w:t>
            </w:r>
          </w:p>
        </w:tc>
        <w:tc>
          <w:tcPr>
            <w:tcW w:type="dxa" w:w="1806"/>
          </w:tcPr>
          <w:p>
            <w:pPr>
              <w:spacing w:after="0"/>
            </w:pPr>
            <w:r>
              <w:rPr>
                <w:sz w:val="19"/>
              </w:rPr>
              <w:t>31 Werte bis −100 %</w:t>
            </w:r>
          </w:p>
        </w:tc>
        <w:tc>
          <w:tcPr>
            <w:tcW w:type="dxa" w:w="1423"/>
          </w:tcPr>
          <w:p>
            <w:pPr>
              <w:spacing w:after="0"/>
            </w:pPr>
            <w:r>
              <w:rPr>
                <w:sz w:val="19"/>
              </w:rPr>
              <w:t>ungültig markieren</w:t>
            </w:r>
          </w:p>
        </w:tc>
        <w:tc>
          <w:tcPr>
            <w:tcW w:type="dxa" w:w="848"/>
          </w:tcPr>
          <w:p>
            <w:pPr>
              <w:spacing w:after="0"/>
            </w:pPr>
            <w:r>
              <w:rPr>
                <w:sz w:val="19"/>
              </w:rPr>
              <w:t>2.7</w:t>
            </w:r>
          </w:p>
        </w:tc>
        <w:tc>
          <w:tcPr>
            <w:tcW w:type="dxa" w:w="2285"/>
          </w:tcPr>
          <w:p>
            <w:pPr>
              <w:spacing w:after="0"/>
            </w:pPr>
            <w:r>
              <w:rPr>
                <w:sz w:val="19"/>
              </w:rPr>
              <w:t>Luftfeuchte kann nicht unter 0 % liegen; −100 ist ein Fehlercode.</w:t>
            </w:r>
          </w:p>
        </w:tc>
      </w:tr>
      <w:tr>
        <w:trPr/>
        <w:tc>
          <w:tcPr>
            <w:tcW w:type="dxa" w:w="706"/>
          </w:tcPr>
          <w:p>
            <w:pPr>
              <w:spacing w:after="0"/>
            </w:pPr>
            <w:r>
              <w:rPr>
                <w:sz w:val="19"/>
              </w:rPr>
              <w:t>R7</w:t>
            </w:r>
          </w:p>
        </w:tc>
        <w:tc>
          <w:tcPr>
            <w:tcW w:type="dxa" w:w="943"/>
          </w:tcPr>
          <w:p>
            <w:pPr>
              <w:spacing w:after="0"/>
            </w:pPr>
            <w:r>
              <w:rPr>
                <w:sz w:val="19"/>
              </w:rPr>
              <w:t>N2</w:t>
            </w:r>
          </w:p>
        </w:tc>
        <w:tc>
          <w:tcPr>
            <w:tcW w:type="dxa" w:w="1399"/>
          </w:tcPr>
          <w:p>
            <w:pPr>
              <w:spacing w:after="0"/>
            </w:pPr>
            <w:r>
              <w:rPr>
                <w:sz w:val="19"/>
              </w:rPr>
              <w:t>temperature</w:t>
            </w:r>
          </w:p>
        </w:tc>
        <w:tc>
          <w:tcPr>
            <w:tcW w:type="dxa" w:w="1806"/>
          </w:tcPr>
          <w:p>
            <w:pPr>
              <w:spacing w:after="0"/>
            </w:pPr>
            <w:r>
              <w:rPr>
                <w:sz w:val="19"/>
              </w:rPr>
              <w:t>4.033 Werte &lt; 0 °C</w:t>
            </w:r>
          </w:p>
        </w:tc>
        <w:tc>
          <w:tcPr>
            <w:tcW w:type="dxa" w:w="1423"/>
          </w:tcPr>
          <w:p>
            <w:pPr>
              <w:spacing w:after="0"/>
            </w:pPr>
            <w:r>
              <w:rPr>
                <w:sz w:val="19"/>
              </w:rPr>
              <w:t>behalten</w:t>
            </w:r>
          </w:p>
        </w:tc>
        <w:tc>
          <w:tcPr>
            <w:tcW w:type="dxa" w:w="848"/>
          </w:tcPr>
          <w:p>
            <w:pPr>
              <w:spacing w:after="0"/>
            </w:pPr>
            <w:r>
              <w:rPr>
                <w:sz w:val="19"/>
              </w:rPr>
              <w:t>2.7</w:t>
            </w:r>
          </w:p>
        </w:tc>
        <w:tc>
          <w:tcPr>
            <w:tcW w:type="dxa" w:w="2285"/>
          </w:tcPr>
          <w:p>
            <w:pPr>
              <w:spacing w:after="0"/>
            </w:pPr>
            <w:r>
              <w:rPr>
                <w:sz w:val="19"/>
              </w:rPr>
              <w:t>Frost im Winter ist echt und bleibt erhalten.</w:t>
            </w:r>
          </w:p>
        </w:tc>
      </w:tr>
      <w:tr>
        <w:trPr/>
        <w:tc>
          <w:tcPr>
            <w:tcW w:type="dxa" w:w="706"/>
          </w:tcPr>
          <w:p>
            <w:pPr>
              <w:spacing w:after="0"/>
            </w:pPr>
            <w:r>
              <w:rPr>
                <w:sz w:val="19"/>
              </w:rPr>
              <w:t>R8</w:t>
            </w:r>
          </w:p>
        </w:tc>
        <w:tc>
          <w:tcPr>
            <w:tcW w:type="dxa" w:w="943"/>
          </w:tcPr>
          <w:p>
            <w:pPr>
              <w:spacing w:after="0"/>
            </w:pPr>
            <w:r>
              <w:rPr>
                <w:sz w:val="19"/>
              </w:rPr>
              <w:t>N2</w:t>
            </w:r>
          </w:p>
        </w:tc>
        <w:tc>
          <w:tcPr>
            <w:tcW w:type="dxa" w:w="1399"/>
          </w:tcPr>
          <w:p>
            <w:pPr>
              <w:spacing w:after="0"/>
            </w:pPr>
            <w:r>
              <w:rPr>
                <w:sz w:val="19"/>
              </w:rPr>
              <w:t>flow</w:t>
            </w:r>
          </w:p>
        </w:tc>
        <w:tc>
          <w:tcPr>
            <w:tcW w:type="dxa" w:w="1806"/>
          </w:tcPr>
          <w:p>
            <w:pPr>
              <w:spacing w:after="0"/>
            </w:pPr>
            <w:r>
              <w:rPr>
                <w:sz w:val="19"/>
              </w:rPr>
              <w:t>zwei Messreihen untereinander</w:t>
            </w:r>
          </w:p>
        </w:tc>
        <w:tc>
          <w:tcPr>
            <w:tcW w:type="dxa" w:w="1423"/>
          </w:tcPr>
          <w:p>
            <w:pPr>
              <w:spacing w:after="0"/>
            </w:pPr>
            <w:r>
              <w:rPr>
                <w:sz w:val="19"/>
              </w:rPr>
              <w:t>in zwei Spalten trennen</w:t>
            </w:r>
          </w:p>
        </w:tc>
        <w:tc>
          <w:tcPr>
            <w:tcW w:type="dxa" w:w="848"/>
          </w:tcPr>
          <w:p>
            <w:pPr>
              <w:spacing w:after="0"/>
            </w:pPr>
            <w:r>
              <w:rPr>
                <w:sz w:val="19"/>
              </w:rPr>
              <w:t>2.8</w:t>
            </w:r>
          </w:p>
        </w:tc>
        <w:tc>
          <w:tcPr>
            <w:tcW w:type="dxa" w:w="2285"/>
          </w:tcPr>
          <w:p>
            <w:pPr>
              <w:spacing w:after="0"/>
            </w:pPr>
            <w:r>
              <w:rPr>
                <w:sz w:val="19"/>
              </w:rPr>
              <w:t>Ein- und Ausflüge standen untereinander und werden nebeneinandergestellt.</w:t>
            </w:r>
          </w:p>
        </w:tc>
      </w:tr>
      <w:tr>
        <w:trPr/>
        <w:tc>
          <w:tcPr>
            <w:tcW w:type="dxa" w:w="706"/>
          </w:tcPr>
          <w:p>
            <w:pPr>
              <w:spacing w:after="0"/>
            </w:pPr>
            <w:r>
              <w:rPr>
                <w:sz w:val="19"/>
              </w:rPr>
              <w:t>R9</w:t>
            </w:r>
          </w:p>
        </w:tc>
        <w:tc>
          <w:tcPr>
            <w:tcW w:type="dxa" w:w="943"/>
          </w:tcPr>
          <w:p>
            <w:pPr>
              <w:spacing w:after="0"/>
            </w:pPr>
            <w:r>
              <w:rPr>
                <w:sz w:val="19"/>
              </w:rPr>
              <w:t>N2</w:t>
            </w:r>
          </w:p>
        </w:tc>
        <w:tc>
          <w:tcPr>
            <w:tcW w:type="dxa" w:w="1399"/>
          </w:tcPr>
          <w:p>
            <w:pPr>
              <w:spacing w:after="0"/>
            </w:pPr>
            <w:r>
              <w:rPr>
                <w:sz w:val="19"/>
              </w:rPr>
              <w:t>alle</w:t>
            </w:r>
          </w:p>
        </w:tc>
        <w:tc>
          <w:tcPr>
            <w:tcW w:type="dxa" w:w="1806"/>
          </w:tcPr>
          <w:p>
            <w:pPr>
              <w:spacing w:after="0"/>
            </w:pPr>
            <w:r>
              <w:rPr>
                <w:sz w:val="19"/>
              </w:rPr>
              <w:t>kurzzeitige Ausreißer</w:t>
            </w:r>
          </w:p>
        </w:tc>
        <w:tc>
          <w:tcPr>
            <w:tcW w:type="dxa" w:w="1423"/>
          </w:tcPr>
          <w:p>
            <w:pPr>
              <w:spacing w:after="0"/>
            </w:pPr>
            <w:r>
              <w:rPr>
                <w:sz w:val="19"/>
              </w:rPr>
              <w:t>robuster z-Score, nur markieren</w:t>
            </w:r>
          </w:p>
        </w:tc>
        <w:tc>
          <w:tcPr>
            <w:tcW w:type="dxa" w:w="848"/>
          </w:tcPr>
          <w:p>
            <w:pPr>
              <w:spacing w:after="0"/>
            </w:pPr>
            <w:r>
              <w:rPr>
                <w:sz w:val="19"/>
              </w:rPr>
              <w:t>3.2</w:t>
            </w:r>
          </w:p>
        </w:tc>
        <w:tc>
          <w:tcPr>
            <w:tcW w:type="dxa" w:w="2285"/>
          </w:tcPr>
          <w:p>
            <w:pPr>
              <w:spacing w:after="0"/>
            </w:pPr>
            <w:r>
              <w:rPr>
                <w:sz w:val="19"/>
              </w:rPr>
              <w:t>Einzelwerte, die plötzlich stark abweichen, werden markiert, nicht gelöscht.</w:t>
            </w:r>
          </w:p>
        </w:tc>
      </w:tr>
    </w:tbl>
    <w:p>
      <w:pPr>
        <w:spacing w:after="0" w:line="20" w:lineRule="exact"/>
      </w:pPr>
    </w:p>
    <w:p>
      <w:r>
        <w:rPr>
          <w:b/>
        </w:rPr>
        <w:t>Ergebnisbefunde, Prüfungen, Wetter, Zusatz</w:t>
      </w:r>
    </w:p>
    <w:tbl>
      <w:tblPr>
        <w:tblStyle w:val="TableGrid"/>
        <w:tblW w:type="auto" w:w="0"/>
        <w:jc w:val="center"/>
        <w:tblLayout w:type="fixed"/>
        <w:tblLook w:firstColumn="1" w:firstRow="1" w:lastColumn="0" w:lastRow="0" w:noHBand="0" w:noVBand="1" w:val="04A0"/>
      </w:tblPr>
      <w:tblGrid>
        <w:gridCol w:w="1466"/>
        <w:gridCol w:w="3700"/>
        <w:gridCol w:w="1528"/>
        <w:gridCol w:w="2717"/>
      </w:tblGrid>
      <w:tr>
        <w:trPr>
          <w:tblHeader/>
        </w:trPr>
        <w:tc>
          <w:tcPr>
            <w:tcW w:type="dxa" w:w="1466"/>
            <w:shd w:val="clear" w:color="auto" w:fill="D9E2F3"/>
          </w:tcPr>
          <w:p>
            <w:pPr>
              <w:spacing w:after="0"/>
            </w:pPr>
            <w:r>
              <w:rPr>
                <w:b/>
                <w:sz w:val="19"/>
              </w:rPr>
              <w:t>#</w:t>
            </w:r>
          </w:p>
        </w:tc>
        <w:tc>
          <w:tcPr>
            <w:tcW w:type="dxa" w:w="3700"/>
            <w:shd w:val="clear" w:color="auto" w:fill="D9E2F3"/>
          </w:tcPr>
          <w:p>
            <w:pPr>
              <w:spacing w:after="0"/>
            </w:pPr>
            <w:r>
              <w:rPr>
                <w:b/>
                <w:sz w:val="19"/>
              </w:rPr>
              <w:t>Kurzfassung</w:t>
            </w:r>
          </w:p>
        </w:tc>
        <w:tc>
          <w:tcPr>
            <w:tcW w:type="dxa" w:w="1528"/>
            <w:shd w:val="clear" w:color="auto" w:fill="D9E2F3"/>
          </w:tcPr>
          <w:p>
            <w:pPr>
              <w:spacing w:after="0"/>
            </w:pPr>
            <w:r>
              <w:rPr>
                <w:b/>
                <w:sz w:val="19"/>
              </w:rPr>
              <w:t>Schritt</w:t>
            </w:r>
          </w:p>
        </w:tc>
        <w:tc>
          <w:tcPr>
            <w:tcW w:type="dxa" w:w="2717"/>
            <w:shd w:val="clear" w:color="auto" w:fill="D9E2F3"/>
          </w:tcPr>
          <w:p>
            <w:pPr>
              <w:spacing w:after="0"/>
            </w:pPr>
            <w:r>
              <w:rPr>
                <w:b/>
                <w:sz w:val="19"/>
              </w:rPr>
              <w:t>Einfach erklärt</w:t>
            </w:r>
          </w:p>
        </w:tc>
      </w:tr>
      <w:tr>
        <w:trPr/>
        <w:tc>
          <w:tcPr>
            <w:tcW w:type="dxa" w:w="1466"/>
          </w:tcPr>
          <w:p>
            <w:pPr>
              <w:spacing w:after="0"/>
            </w:pPr>
            <w:r>
              <w:rPr>
                <w:sz w:val="19"/>
              </w:rPr>
              <w:t>E1</w:t>
            </w:r>
          </w:p>
        </w:tc>
        <w:tc>
          <w:tcPr>
            <w:tcW w:type="dxa" w:w="3700"/>
          </w:tcPr>
          <w:p>
            <w:pPr>
              <w:spacing w:after="0"/>
            </w:pPr>
            <w:r>
              <w:rPr>
                <w:sz w:val="19"/>
              </w:rPr>
              <w:t>Duplikate erst nach UTC beurteilbar</w:t>
            </w:r>
          </w:p>
        </w:tc>
        <w:tc>
          <w:tcPr>
            <w:tcW w:type="dxa" w:w="1528"/>
          </w:tcPr>
          <w:p>
            <w:pPr>
              <w:spacing w:after="0"/>
            </w:pPr>
            <w:r>
              <w:rPr>
                <w:sz w:val="19"/>
              </w:rPr>
              <w:t>2.4</w:t>
            </w:r>
          </w:p>
        </w:tc>
        <w:tc>
          <w:tcPr>
            <w:tcW w:type="dxa" w:w="2717"/>
          </w:tcPr>
          <w:p>
            <w:pPr>
              <w:spacing w:after="0"/>
            </w:pPr>
            <w:r>
              <w:rPr>
                <w:sz w:val="19"/>
              </w:rPr>
              <w:t>Doppelte Uhrzeiten waren nur Folge der Zeitumstellung.</w:t>
            </w:r>
          </w:p>
        </w:tc>
      </w:tr>
      <w:tr>
        <w:trPr/>
        <w:tc>
          <w:tcPr>
            <w:tcW w:type="dxa" w:w="1466"/>
          </w:tcPr>
          <w:p>
            <w:pPr>
              <w:spacing w:after="0"/>
            </w:pPr>
            <w:r>
              <w:rPr>
                <w:sz w:val="19"/>
              </w:rPr>
              <w:t>E2</w:t>
            </w:r>
          </w:p>
        </w:tc>
        <w:tc>
          <w:tcPr>
            <w:tcW w:type="dxa" w:w="3700"/>
          </w:tcPr>
          <w:p>
            <w:pPr>
              <w:spacing w:after="0"/>
            </w:pPr>
            <w:r>
              <w:rPr>
                <w:sz w:val="19"/>
              </w:rPr>
              <w:t>humidity/weight nach UTC immer 00:00/12:00 → Ortszeit mit Sommerzeit</w:t>
            </w:r>
          </w:p>
        </w:tc>
        <w:tc>
          <w:tcPr>
            <w:tcW w:type="dxa" w:w="1528"/>
          </w:tcPr>
          <w:p>
            <w:pPr>
              <w:spacing w:after="0"/>
            </w:pPr>
            <w:r>
              <w:rPr>
                <w:sz w:val="19"/>
              </w:rPr>
              <w:t>2.4</w:t>
            </w:r>
          </w:p>
        </w:tc>
        <w:tc>
          <w:tcPr>
            <w:tcW w:type="dxa" w:w="2717"/>
          </w:tcPr>
          <w:p>
            <w:pPr>
              <w:spacing w:after="0"/>
            </w:pPr>
            <w:r>
              <w:rPr>
                <w:sz w:val="19"/>
              </w:rPr>
              <w:t>Die Uhrzeiten belegen, dass die Daten deutsche Ortszeit sind.</w:t>
            </w:r>
          </w:p>
        </w:tc>
      </w:tr>
      <w:tr>
        <w:trPr/>
        <w:tc>
          <w:tcPr>
            <w:tcW w:type="dxa" w:w="1466"/>
          </w:tcPr>
          <w:p>
            <w:pPr>
              <w:spacing w:after="0"/>
            </w:pPr>
            <w:r>
              <w:rPr>
                <w:sz w:val="19"/>
              </w:rPr>
              <w:t>E3</w:t>
            </w:r>
          </w:p>
        </w:tc>
        <w:tc>
          <w:tcPr>
            <w:tcW w:type="dxa" w:w="3700"/>
          </w:tcPr>
          <w:p>
            <w:pPr>
              <w:spacing w:after="0"/>
            </w:pPr>
            <w:r>
              <w:rPr>
                <w:sz w:val="19"/>
              </w:rPr>
              <w:t>29.10.2017 02:00 mehrdeutig; eigene Regel 1. = Sommer-, 2. = Winterzeit</w:t>
            </w:r>
          </w:p>
        </w:tc>
        <w:tc>
          <w:tcPr>
            <w:tcW w:type="dxa" w:w="1528"/>
          </w:tcPr>
          <w:p>
            <w:pPr>
              <w:spacing w:after="0"/>
            </w:pPr>
            <w:r>
              <w:rPr>
                <w:sz w:val="19"/>
              </w:rPr>
              <w:t>2.4</w:t>
            </w:r>
          </w:p>
        </w:tc>
        <w:tc>
          <w:tcPr>
            <w:tcW w:type="dxa" w:w="2717"/>
          </w:tcPr>
          <w:p>
            <w:pPr>
              <w:spacing w:after="0"/>
            </w:pPr>
            <w:r>
              <w:rPr>
                <w:sz w:val="19"/>
              </w:rPr>
              <w:t>Die doppelte Stunde im Oktober wird nach fester Regel zugeordnet.</w:t>
            </w:r>
          </w:p>
        </w:tc>
      </w:tr>
      <w:tr>
        <w:trPr/>
        <w:tc>
          <w:tcPr>
            <w:tcW w:type="dxa" w:w="1466"/>
          </w:tcPr>
          <w:p>
            <w:pPr>
              <w:spacing w:after="0"/>
            </w:pPr>
            <w:r>
              <w:rPr>
                <w:sz w:val="19"/>
              </w:rPr>
              <w:t>E4</w:t>
            </w:r>
          </w:p>
        </w:tc>
        <w:tc>
          <w:tcPr>
            <w:tcW w:type="dxa" w:w="3700"/>
          </w:tcPr>
          <w:p>
            <w:pPr>
              <w:spacing w:after="0"/>
            </w:pPr>
            <w:r>
              <w:rPr>
                <w:sz w:val="19"/>
              </w:rPr>
              <w:t>nach UTC keine Duplikate, keine Rücksprünge</w:t>
            </w:r>
          </w:p>
        </w:tc>
        <w:tc>
          <w:tcPr>
            <w:tcW w:type="dxa" w:w="1528"/>
          </w:tcPr>
          <w:p>
            <w:pPr>
              <w:spacing w:after="0"/>
            </w:pPr>
            <w:r>
              <w:rPr>
                <w:sz w:val="19"/>
              </w:rPr>
              <w:t>2.4</w:t>
            </w:r>
          </w:p>
        </w:tc>
        <w:tc>
          <w:tcPr>
            <w:tcW w:type="dxa" w:w="2717"/>
          </w:tcPr>
          <w:p>
            <w:pPr>
              <w:spacing w:after="0"/>
            </w:pPr>
            <w:r>
              <w:rPr>
                <w:sz w:val="19"/>
              </w:rPr>
              <w:t>Nach der Umrechnung gibt es keine Doppelungen mehr.</w:t>
            </w:r>
          </w:p>
        </w:tc>
      </w:tr>
      <w:tr>
        <w:trPr/>
        <w:tc>
          <w:tcPr>
            <w:tcW w:type="dxa" w:w="1466"/>
          </w:tcPr>
          <w:p>
            <w:pPr>
              <w:spacing w:after="0"/>
            </w:pPr>
            <w:r>
              <w:rPr>
                <w:sz w:val="19"/>
              </w:rPr>
              <w:t>E5</w:t>
            </w:r>
          </w:p>
        </w:tc>
        <w:tc>
          <w:tcPr>
            <w:tcW w:type="dxa" w:w="3700"/>
          </w:tcPr>
          <w:p>
            <w:pPr>
              <w:spacing w:after="0"/>
            </w:pPr>
            <w:r>
              <w:rPr>
                <w:sz w:val="19"/>
              </w:rPr>
              <w:t>28.04.–02.07.2018 Stock nicht auf der Waage (entschieden 30.09.)</w:t>
            </w:r>
          </w:p>
        </w:tc>
        <w:tc>
          <w:tcPr>
            <w:tcW w:type="dxa" w:w="1528"/>
          </w:tcPr>
          <w:p>
            <w:pPr>
              <w:spacing w:after="0"/>
            </w:pPr>
            <w:r>
              <w:rPr>
                <w:sz w:val="19"/>
              </w:rPr>
              <w:t>5.1</w:t>
            </w:r>
          </w:p>
        </w:tc>
        <w:tc>
          <w:tcPr>
            <w:tcW w:type="dxa" w:w="2717"/>
          </w:tcPr>
          <w:p>
            <w:pPr>
              <w:spacing w:after="0"/>
            </w:pPr>
            <w:r>
              <w:rPr>
                <w:sz w:val="19"/>
              </w:rPr>
              <w:t>Zwei Monate stand der Stock nicht auf der Waage.</w:t>
            </w:r>
          </w:p>
        </w:tc>
      </w:tr>
      <w:tr>
        <w:trPr/>
        <w:tc>
          <w:tcPr>
            <w:tcW w:type="dxa" w:w="1466"/>
          </w:tcPr>
          <w:p>
            <w:pPr>
              <w:spacing w:after="0"/>
            </w:pPr>
            <w:r>
              <w:rPr>
                <w:sz w:val="19"/>
              </w:rPr>
              <w:t>E6</w:t>
            </w:r>
          </w:p>
        </w:tc>
        <w:tc>
          <w:tcPr>
            <w:tcW w:type="dxa" w:w="3700"/>
          </w:tcPr>
          <w:p>
            <w:pPr>
              <w:spacing w:after="0"/>
            </w:pPr>
            <w:r>
              <w:rPr>
                <w:sz w:val="19"/>
              </w:rPr>
              <w:t>Temperatursensor misst im Stock (Sommer 34–35 °C)</w:t>
            </w:r>
          </w:p>
        </w:tc>
        <w:tc>
          <w:tcPr>
            <w:tcW w:type="dxa" w:w="1528"/>
          </w:tcPr>
          <w:p>
            <w:pPr>
              <w:spacing w:after="0"/>
            </w:pPr>
            <w:r>
              <w:rPr>
                <w:sz w:val="19"/>
              </w:rPr>
              <w:t>2.7, 2.10</w:t>
            </w:r>
          </w:p>
        </w:tc>
        <w:tc>
          <w:tcPr>
            <w:tcW w:type="dxa" w:w="2717"/>
          </w:tcPr>
          <w:p>
            <w:pPr>
              <w:spacing w:after="0"/>
            </w:pPr>
            <w:r>
              <w:rPr>
                <w:sz w:val="19"/>
              </w:rPr>
              <w:t>Der Sensor misst im warmen Stock, nicht draußen.</w:t>
            </w:r>
          </w:p>
        </w:tc>
      </w:tr>
      <w:tr>
        <w:trPr/>
        <w:tc>
          <w:tcPr>
            <w:tcW w:type="dxa" w:w="1466"/>
          </w:tcPr>
          <w:p>
            <w:pPr>
              <w:spacing w:after="0"/>
            </w:pPr>
            <w:r>
              <w:rPr>
                <w:sz w:val="19"/>
              </w:rPr>
              <w:t>E7</w:t>
            </w:r>
          </w:p>
        </w:tc>
        <w:tc>
          <w:tcPr>
            <w:tcW w:type="dxa" w:w="3700"/>
          </w:tcPr>
          <w:p>
            <w:pPr>
              <w:spacing w:after="0"/>
            </w:pPr>
            <w:r>
              <w:rPr>
                <w:sz w:val="19"/>
              </w:rPr>
              <w:t>Datenmengen je Stufe; Speicherformat bestimmt Kosten</w:t>
            </w:r>
          </w:p>
        </w:tc>
        <w:tc>
          <w:tcPr>
            <w:tcW w:type="dxa" w:w="1528"/>
          </w:tcPr>
          <w:p>
            <w:pPr>
              <w:spacing w:after="0"/>
            </w:pPr>
            <w:r>
              <w:rPr>
                <w:sz w:val="19"/>
              </w:rPr>
              <w:t>2.6, 2.9, 5.2</w:t>
            </w:r>
          </w:p>
        </w:tc>
        <w:tc>
          <w:tcPr>
            <w:tcW w:type="dxa" w:w="2717"/>
          </w:tcPr>
          <w:p>
            <w:pPr>
              <w:spacing w:after="0"/>
            </w:pPr>
            <w:r>
              <w:rPr>
                <w:sz w:val="19"/>
              </w:rPr>
              <w:t>Das Dateiformat bestimmt Platzbedarf und Kosten.</w:t>
            </w:r>
          </w:p>
        </w:tc>
      </w:tr>
      <w:tr>
        <w:trPr/>
        <w:tc>
          <w:tcPr>
            <w:tcW w:type="dxa" w:w="1466"/>
          </w:tcPr>
          <w:p>
            <w:pPr>
              <w:spacing w:after="0"/>
            </w:pPr>
            <w:r>
              <w:rPr>
                <w:sz w:val="19"/>
              </w:rPr>
              <w:t>E8</w:t>
            </w:r>
          </w:p>
        </w:tc>
        <w:tc>
          <w:tcPr>
            <w:tcW w:type="dxa" w:w="3700"/>
          </w:tcPr>
          <w:p>
            <w:pPr>
              <w:spacing w:after="0"/>
            </w:pPr>
            <w:r>
              <w:rPr>
                <w:sz w:val="19"/>
              </w:rPr>
              <w:t>R9-Anteile; nachts und bei humidity zu streng</w:t>
            </w:r>
          </w:p>
        </w:tc>
        <w:tc>
          <w:tcPr>
            <w:tcW w:type="dxa" w:w="1528"/>
          </w:tcPr>
          <w:p>
            <w:pPr>
              <w:spacing w:after="0"/>
            </w:pPr>
            <w:r>
              <w:rPr>
                <w:sz w:val="19"/>
              </w:rPr>
              <w:t>3.2</w:t>
            </w:r>
          </w:p>
        </w:tc>
        <w:tc>
          <w:tcPr>
            <w:tcW w:type="dxa" w:w="2717"/>
          </w:tcPr>
          <w:p>
            <w:pPr>
              <w:spacing w:after="0"/>
            </w:pPr>
            <w:r>
              <w:rPr>
                <w:sz w:val="19"/>
              </w:rPr>
              <w:t>Die Ausreißer-Prüfung ist nachts zu empfindlich.</w:t>
            </w:r>
          </w:p>
        </w:tc>
      </w:tr>
      <w:tr>
        <w:trPr/>
        <w:tc>
          <w:tcPr>
            <w:tcW w:type="dxa" w:w="1466"/>
          </w:tcPr>
          <w:p>
            <w:pPr>
              <w:spacing w:after="0"/>
            </w:pPr>
            <w:r>
              <w:rPr>
                <w:sz w:val="19"/>
              </w:rPr>
              <w:t>E9</w:t>
            </w:r>
          </w:p>
        </w:tc>
        <w:tc>
          <w:tcPr>
            <w:tcW w:type="dxa" w:w="3700"/>
          </w:tcPr>
          <w:p>
            <w:pPr>
              <w:spacing w:after="0"/>
            </w:pPr>
            <w:r>
              <w:rPr>
                <w:sz w:val="19"/>
              </w:rPr>
              <w:t>Temperatur-Auffälligkeiten meist Rauschen → D2 = 1 °C</w:t>
            </w:r>
          </w:p>
        </w:tc>
        <w:tc>
          <w:tcPr>
            <w:tcW w:type="dxa" w:w="1528"/>
          </w:tcPr>
          <w:p>
            <w:pPr>
              <w:spacing w:after="0"/>
            </w:pPr>
            <w:r>
              <w:rPr>
                <w:sz w:val="19"/>
              </w:rPr>
              <w:t>3.3</w:t>
            </w:r>
          </w:p>
        </w:tc>
        <w:tc>
          <w:tcPr>
            <w:tcW w:type="dxa" w:w="2717"/>
          </w:tcPr>
          <w:p>
            <w:pPr>
              <w:spacing w:after="0"/>
            </w:pPr>
            <w:r>
              <w:rPr>
                <w:sz w:val="19"/>
              </w:rPr>
              <w:t>Kleine Temperatur-Abweichungen sind Rauschen, kein Ereignis.</w:t>
            </w:r>
          </w:p>
        </w:tc>
      </w:tr>
      <w:tr>
        <w:trPr/>
        <w:tc>
          <w:tcPr>
            <w:tcW w:type="dxa" w:w="1466"/>
          </w:tcPr>
          <w:p>
            <w:pPr>
              <w:spacing w:after="0"/>
            </w:pPr>
            <w:r>
              <w:rPr>
                <w:sz w:val="19"/>
              </w:rPr>
              <w:t>E10</w:t>
            </w:r>
          </w:p>
        </w:tc>
        <w:tc>
          <w:tcPr>
            <w:tcW w:type="dxa" w:w="3700"/>
          </w:tcPr>
          <w:p>
            <w:pPr>
              <w:spacing w:after="0"/>
            </w:pPr>
            <w:r>
              <w:rPr>
                <w:sz w:val="19"/>
              </w:rPr>
              <w:t>Datensatz-Beschreibung nennt Gewicht in kg, Schwartau-Dateien enthalten Gramm; Würzburg tatsächlich kg</w:t>
            </w:r>
          </w:p>
        </w:tc>
        <w:tc>
          <w:tcPr>
            <w:tcW w:type="dxa" w:w="1528"/>
          </w:tcPr>
          <w:p>
            <w:pPr>
              <w:spacing w:after="0"/>
            </w:pPr>
            <w:r>
              <w:rPr>
                <w:sz w:val="19"/>
              </w:rPr>
              <w:t>2.1, 5.9</w:t>
            </w:r>
          </w:p>
        </w:tc>
        <w:tc>
          <w:tcPr>
            <w:tcW w:type="dxa" w:w="2717"/>
          </w:tcPr>
          <w:p>
            <w:pPr>
              <w:spacing w:after="0"/>
            </w:pPr>
            <w:r>
              <w:rPr>
                <w:sz w:val="19"/>
              </w:rPr>
              <w:t>Die Beschreibung sagt kg, die Schwartau-Daten sind aber Gramm.</w:t>
            </w:r>
          </w:p>
        </w:tc>
      </w:tr>
      <w:tr>
        <w:trPr/>
        <w:tc>
          <w:tcPr>
            <w:tcW w:type="dxa" w:w="1466"/>
          </w:tcPr>
          <w:p>
            <w:pPr>
              <w:spacing w:after="0"/>
            </w:pPr>
            <w:r>
              <w:rPr>
                <w:sz w:val="19"/>
              </w:rPr>
              <w:t>P1–P8</w:t>
            </w:r>
          </w:p>
        </w:tc>
        <w:tc>
          <w:tcPr>
            <w:tcW w:type="dxa" w:w="3700"/>
          </w:tcPr>
          <w:p>
            <w:pPr>
              <w:spacing w:after="0"/>
            </w:pPr>
            <w:r>
              <w:rPr>
                <w:sz w:val="19"/>
              </w:rPr>
              <w:t>Zeitabstände · flow-Teilung · Temperatur realistisch · Ausreißer · Warnhinweis (Folgeprojekt FP-2 Dashboard) · Lücken (P6 = c) · Synapse-Notebook · Dokumentation</w:t>
            </w:r>
          </w:p>
        </w:tc>
        <w:tc>
          <w:tcPr>
            <w:tcW w:type="dxa" w:w="1528"/>
          </w:tcPr>
          <w:p>
            <w:pPr>
              <w:spacing w:after="0"/>
            </w:pPr>
            <w:r>
              <w:rPr>
                <w:sz w:val="19"/>
              </w:rPr>
              <w:t>3.1–3.3, 2.8, 5.11</w:t>
            </w:r>
          </w:p>
        </w:tc>
        <w:tc>
          <w:tcPr>
            <w:tcW w:type="dxa" w:w="2717"/>
          </w:tcPr>
          <w:p>
            <w:pPr>
              <w:spacing w:after="0"/>
            </w:pPr>
            <w:r>
              <w:rPr>
                <w:sz w:val="19"/>
              </w:rPr>
              <w:t>Plausibilitätsprüfungen: passen die Werte zur Wirklichkeit?</w:t>
            </w:r>
          </w:p>
        </w:tc>
      </w:tr>
      <w:tr>
        <w:trPr/>
        <w:tc>
          <w:tcPr>
            <w:tcW w:type="dxa" w:w="1466"/>
          </w:tcPr>
          <w:p>
            <w:pPr>
              <w:spacing w:after="0"/>
            </w:pPr>
            <w:r>
              <w:rPr>
                <w:sz w:val="19"/>
              </w:rPr>
              <w:t>W1–W4</w:t>
            </w:r>
          </w:p>
        </w:tc>
        <w:tc>
          <w:tcPr>
            <w:tcW w:type="dxa" w:w="3700"/>
          </w:tcPr>
          <w:p>
            <w:pPr>
              <w:spacing w:after="0"/>
            </w:pPr>
            <w:r>
              <w:rPr>
                <w:sz w:val="19"/>
              </w:rPr>
              <w:t>Stationen · Sonnenschein nachts · Sonnenstand · erweiterte Wettergrößen</w:t>
            </w:r>
          </w:p>
        </w:tc>
        <w:tc>
          <w:tcPr>
            <w:tcW w:type="dxa" w:w="1528"/>
          </w:tcPr>
          <w:p>
            <w:pPr>
              <w:spacing w:after="0"/>
            </w:pPr>
            <w:r>
              <w:rPr>
                <w:sz w:val="19"/>
              </w:rPr>
              <w:t>3.4, 3.5, 4.3</w:t>
            </w:r>
          </w:p>
        </w:tc>
        <w:tc>
          <w:tcPr>
            <w:tcW w:type="dxa" w:w="2717"/>
          </w:tcPr>
          <w:p>
            <w:pPr>
              <w:spacing w:after="0"/>
            </w:pPr>
            <w:r>
              <w:rPr>
                <w:sz w:val="19"/>
              </w:rPr>
              <w:t>Woher die Wetterwerte stammen und wie sie aufbereitet sind.</w:t>
            </w:r>
          </w:p>
        </w:tc>
      </w:tr>
      <w:tr>
        <w:trPr/>
        <w:tc>
          <w:tcPr>
            <w:tcW w:type="dxa" w:w="1466"/>
          </w:tcPr>
          <w:p>
            <w:pPr>
              <w:spacing w:after="0"/>
            </w:pPr>
            <w:r>
              <w:rPr>
                <w:sz w:val="19"/>
              </w:rPr>
              <w:t>F1–F3, A1–A10, H1</w:t>
            </w:r>
          </w:p>
        </w:tc>
        <w:tc>
          <w:tcPr>
            <w:tcW w:type="dxa" w:w="3700"/>
          </w:tcPr>
          <w:p>
            <w:pPr>
              <w:spacing w:after="0"/>
            </w:pPr>
            <w:r>
              <w:rPr>
                <w:sz w:val="19"/>
              </w:rPr>
              <w:t>Analysefragen</w:t>
            </w:r>
          </w:p>
        </w:tc>
        <w:tc>
          <w:tcPr>
            <w:tcW w:type="dxa" w:w="1528"/>
          </w:tcPr>
          <w:p>
            <w:pPr>
              <w:spacing w:after="0"/>
            </w:pPr>
            <w:r>
              <w:rPr>
                <w:sz w:val="19"/>
              </w:rPr>
              <w:t>2.10, 3.7, 4.4, 4.5</w:t>
            </w:r>
          </w:p>
        </w:tc>
        <w:tc>
          <w:tcPr>
            <w:tcW w:type="dxa" w:w="2717"/>
          </w:tcPr>
          <w:p>
            <w:pPr>
              <w:spacing w:after="0"/>
            </w:pPr>
            <w:r>
              <w:rPr>
                <w:sz w:val="19"/>
              </w:rPr>
              <w:t>Die Fragen, die die Analyse beantwortet.</w:t>
            </w:r>
          </w:p>
        </w:tc>
      </w:tr>
      <w:tr>
        <w:trPr/>
        <w:tc>
          <w:tcPr>
            <w:tcW w:type="dxa" w:w="1466"/>
          </w:tcPr>
          <w:p>
            <w:pPr>
              <w:spacing w:after="0"/>
            </w:pPr>
            <w:r>
              <w:rPr>
                <w:sz w:val="19"/>
              </w:rPr>
              <w:t>Z1</w:t>
            </w:r>
          </w:p>
        </w:tc>
        <w:tc>
          <w:tcPr>
            <w:tcW w:type="dxa" w:w="3700"/>
          </w:tcPr>
          <w:p>
            <w:pPr>
              <w:spacing w:after="0"/>
            </w:pPr>
            <w:r>
              <w:rPr>
                <w:sz w:val="19"/>
              </w:rPr>
              <w:t>Parquet 13–18 % von CSV; zeitsortiert am kleinsten</w:t>
            </w:r>
          </w:p>
        </w:tc>
        <w:tc>
          <w:tcPr>
            <w:tcW w:type="dxa" w:w="1528"/>
          </w:tcPr>
          <w:p>
            <w:pPr>
              <w:spacing w:after="0"/>
            </w:pPr>
            <w:r>
              <w:rPr>
                <w:sz w:val="19"/>
              </w:rPr>
              <w:t>5.2</w:t>
            </w:r>
          </w:p>
        </w:tc>
        <w:tc>
          <w:tcPr>
            <w:tcW w:type="dxa" w:w="2717"/>
          </w:tcPr>
          <w:p>
            <w:pPr>
              <w:spacing w:after="0"/>
            </w:pPr>
            <w:r>
              <w:rPr>
                <w:sz w:val="19"/>
              </w:rPr>
              <w:t>Parquet braucht nur ein Sechstel des Platzes von CSV.</w:t>
            </w:r>
          </w:p>
        </w:tc>
      </w:tr>
    </w:tbl>
    <w:p>
      <w:pPr>
        <w:spacing w:after="0" w:line="20" w:lineRule="exact"/>
      </w:pPr>
    </w:p>
    <w:p>
      <w:r>
        <w:rPr>
          <w:b/>
        </w:rPr>
        <w:t>Fragen aus dem Projekt (Brainstorming Kap. 7) – Endstand</w:t>
      </w:r>
    </w:p>
    <w:tbl>
      <w:tblPr>
        <w:tblStyle w:val="TableGrid"/>
        <w:tblW w:type="auto" w:w="0"/>
        <w:jc w:val="center"/>
        <w:tblLayout w:type="fixed"/>
        <w:tblLook w:firstColumn="1" w:firstRow="1" w:lastColumn="0" w:lastRow="0" w:noHBand="0" w:noVBand="1" w:val="04A0"/>
      </w:tblPr>
      <w:tblGrid>
        <w:gridCol w:w="1121"/>
        <w:gridCol w:w="3296"/>
        <w:gridCol w:w="4995"/>
      </w:tblGrid>
      <w:tr>
        <w:trPr>
          <w:tblHeader/>
        </w:trPr>
        <w:tc>
          <w:tcPr>
            <w:tcW w:type="dxa" w:w="1121"/>
            <w:shd w:val="clear" w:color="auto" w:fill="D9E2F3"/>
          </w:tcPr>
          <w:p>
            <w:pPr>
              <w:spacing w:after="0"/>
            </w:pPr>
            <w:r>
              <w:rPr>
                <w:b/>
                <w:sz w:val="19"/>
              </w:rPr>
              <w:t>#</w:t>
            </w:r>
          </w:p>
        </w:tc>
        <w:tc>
          <w:tcPr>
            <w:tcW w:type="dxa" w:w="3296"/>
            <w:shd w:val="clear" w:color="auto" w:fill="D9E2F3"/>
          </w:tcPr>
          <w:p>
            <w:pPr>
              <w:spacing w:after="0"/>
            </w:pPr>
            <w:r>
              <w:rPr>
                <w:b/>
                <w:sz w:val="19"/>
              </w:rPr>
              <w:t>Frage</w:t>
            </w:r>
          </w:p>
        </w:tc>
        <w:tc>
          <w:tcPr>
            <w:tcW w:type="dxa" w:w="4995"/>
            <w:shd w:val="clear" w:color="auto" w:fill="D9E2F3"/>
          </w:tcPr>
          <w:p>
            <w:pPr>
              <w:spacing w:after="0"/>
            </w:pPr>
            <w:r>
              <w:rPr>
                <w:b/>
                <w:sz w:val="19"/>
              </w:rPr>
              <w:t>Stand</w:t>
            </w:r>
          </w:p>
        </w:tc>
      </w:tr>
      <w:tr>
        <w:trPr/>
        <w:tc>
          <w:tcPr>
            <w:tcW w:type="dxa" w:w="1121"/>
          </w:tcPr>
          <w:p>
            <w:pPr>
              <w:spacing w:after="0"/>
            </w:pPr>
            <w:r>
              <w:rPr>
                <w:sz w:val="19"/>
              </w:rPr>
              <w:t>F1</w:t>
            </w:r>
          </w:p>
        </w:tc>
        <w:tc>
          <w:tcPr>
            <w:tcW w:type="dxa" w:w="3296"/>
          </w:tcPr>
          <w:p>
            <w:pPr>
              <w:spacing w:after="0"/>
            </w:pPr>
            <w:r>
              <w:rPr>
                <w:sz w:val="19"/>
              </w:rPr>
              <w:t>Vorzeichen flow: negativ = Aus- oder Einflug?</w:t>
            </w:r>
          </w:p>
        </w:tc>
        <w:tc>
          <w:tcPr>
            <w:tcW w:type="dxa" w:w="4995"/>
          </w:tcPr>
          <w:p>
            <w:pPr>
              <w:spacing w:after="0"/>
            </w:pPr>
            <w:r>
              <w:rPr>
                <w:sz w:val="19"/>
              </w:rPr>
              <w:t>erledigt 30.09.2026: negativ = Abflug, positiv = Ankunft (Kaggle/HOBOS)</w:t>
            </w:r>
          </w:p>
        </w:tc>
      </w:tr>
      <w:tr>
        <w:trPr/>
        <w:tc>
          <w:tcPr>
            <w:tcW w:type="dxa" w:w="1121"/>
          </w:tcPr>
          <w:p>
            <w:pPr>
              <w:spacing w:after="0"/>
            </w:pPr>
            <w:r>
              <w:rPr>
                <w:sz w:val="19"/>
              </w:rPr>
              <w:t>F2</w:t>
            </w:r>
          </w:p>
        </w:tc>
        <w:tc>
          <w:tcPr>
            <w:tcW w:type="dxa" w:w="3296"/>
          </w:tcPr>
          <w:p>
            <w:pPr>
              <w:spacing w:after="0"/>
            </w:pPr>
            <w:r>
              <w:rPr>
                <w:sz w:val="19"/>
              </w:rPr>
              <w:t>Lizenz des Datensatzes</w:t>
            </w:r>
          </w:p>
        </w:tc>
        <w:tc>
          <w:tcPr>
            <w:tcW w:type="dxa" w:w="4995"/>
          </w:tcPr>
          <w:p>
            <w:pPr>
              <w:spacing w:after="0"/>
            </w:pPr>
            <w:r>
              <w:rPr>
                <w:sz w:val="19"/>
              </w:rPr>
              <w:t>Kaggle: „Unbekannt“ → Rohdaten werden nicht veröffentlicht (Entscheidung Geschäftsführung 05.10.2026); keine Anfrage bei HOBOS nötig</w:t>
            </w:r>
          </w:p>
        </w:tc>
      </w:tr>
      <w:tr>
        <w:trPr/>
        <w:tc>
          <w:tcPr>
            <w:tcW w:type="dxa" w:w="1121"/>
          </w:tcPr>
          <w:p>
            <w:pPr>
              <w:spacing w:after="0"/>
            </w:pPr>
            <w:r>
              <w:rPr>
                <w:sz w:val="19"/>
              </w:rPr>
              <w:t>F3</w:t>
            </w:r>
          </w:p>
        </w:tc>
        <w:tc>
          <w:tcPr>
            <w:tcW w:type="dxa" w:w="3296"/>
          </w:tcPr>
          <w:p>
            <w:pPr>
              <w:spacing w:after="0"/>
            </w:pPr>
            <w:r>
              <w:rPr>
                <w:sz w:val="19"/>
              </w:rPr>
              <w:t>Gewichtsgrenze bei Sensorstörung (E5)</w:t>
            </w:r>
          </w:p>
        </w:tc>
        <w:tc>
          <w:tcPr>
            <w:tcW w:type="dxa" w:w="4995"/>
          </w:tcPr>
          <w:p>
            <w:pPr>
              <w:spacing w:after="0"/>
            </w:pPr>
            <w:r>
              <w:rPr>
                <w:sz w:val="19"/>
              </w:rPr>
              <w:t>erledigt 30.09.2026 (Schritt 5.1)</w:t>
            </w:r>
          </w:p>
        </w:tc>
      </w:tr>
      <w:tr>
        <w:trPr/>
        <w:tc>
          <w:tcPr>
            <w:tcW w:type="dxa" w:w="1121"/>
          </w:tcPr>
          <w:p>
            <w:pPr>
              <w:spacing w:after="0"/>
            </w:pPr>
            <w:r>
              <w:rPr>
                <w:sz w:val="19"/>
              </w:rPr>
              <w:t>F4</w:t>
            </w:r>
          </w:p>
        </w:tc>
        <w:tc>
          <w:tcPr>
            <w:tcW w:type="dxa" w:w="3296"/>
          </w:tcPr>
          <w:p>
            <w:pPr>
              <w:spacing w:after="0"/>
            </w:pPr>
            <w:r>
              <w:rPr>
                <w:rFonts w:ascii="Courier New" w:hAnsi="Courier New"/>
                <w:sz w:val="17"/>
              </w:rPr>
              <w:t>silver/processing</w:t>
            </w:r>
            <w:r>
              <w:rPr>
                <w:sz w:val="19"/>
              </w:rPr>
              <w:t xml:space="preserve"> in Silver oder Bronze?</w:t>
            </w:r>
          </w:p>
        </w:tc>
        <w:tc>
          <w:tcPr>
            <w:tcW w:type="dxa" w:w="4995"/>
          </w:tcPr>
          <w:p>
            <w:pPr>
              <w:spacing w:after="0"/>
            </w:pPr>
            <w:r>
              <w:rPr>
                <w:sz w:val="19"/>
              </w:rPr>
              <w:t xml:space="preserve">erledigt 01.10.2026: Kurs-Vorgabe </w:t>
            </w:r>
            <w:r>
              <w:rPr>
                <w:rFonts w:ascii="Courier New" w:hAnsi="Courier New"/>
                <w:sz w:val="17"/>
              </w:rPr>
              <w:t>silver/processing</w:t>
            </w:r>
            <w:r>
              <w:rPr>
                <w:sz w:val="19"/>
              </w:rPr>
              <w:t xml:space="preserve"> umgesetzt; für den Betrieb Empfehlung Bronze (FP-1)</w:t>
            </w:r>
          </w:p>
        </w:tc>
      </w:tr>
      <w:tr>
        <w:trPr/>
        <w:tc>
          <w:tcPr>
            <w:tcW w:type="dxa" w:w="1121"/>
          </w:tcPr>
          <w:p>
            <w:pPr>
              <w:spacing w:after="0"/>
            </w:pPr>
            <w:r>
              <w:rPr>
                <w:sz w:val="19"/>
              </w:rPr>
              <w:t>F5</w:t>
            </w:r>
          </w:p>
        </w:tc>
        <w:tc>
          <w:tcPr>
            <w:tcW w:type="dxa" w:w="3296"/>
          </w:tcPr>
          <w:p>
            <w:pPr>
              <w:spacing w:after="0"/>
            </w:pPr>
            <w:r>
              <w:rPr>
                <w:sz w:val="19"/>
              </w:rPr>
              <w:t>Kosten eines Notebook-Laufs</w:t>
            </w:r>
          </w:p>
        </w:tc>
        <w:tc>
          <w:tcPr>
            <w:tcW w:type="dxa" w:w="4995"/>
          </w:tcPr>
          <w:p>
            <w:pPr>
              <w:spacing w:after="0"/>
            </w:pPr>
            <w:r>
              <w:rPr>
                <w:sz w:val="19"/>
              </w:rPr>
              <w:t>erledigt 02.10.2026: Tageslauf mit zwei Städten ca. 0,50 €, alle Tests 1,02 € (Kap. 8.8)</w:t>
            </w:r>
          </w:p>
        </w:tc>
      </w:tr>
      <w:tr>
        <w:trPr/>
        <w:tc>
          <w:tcPr>
            <w:tcW w:type="dxa" w:w="1121"/>
          </w:tcPr>
          <w:p>
            <w:pPr>
              <w:spacing w:after="0"/>
            </w:pPr>
            <w:r>
              <w:rPr>
                <w:sz w:val="19"/>
              </w:rPr>
              <w:t>F6</w:t>
            </w:r>
          </w:p>
        </w:tc>
        <w:tc>
          <w:tcPr>
            <w:tcW w:type="dxa" w:w="3296"/>
          </w:tcPr>
          <w:p>
            <w:pPr>
              <w:spacing w:after="0"/>
            </w:pPr>
            <w:r>
              <w:rPr>
                <w:sz w:val="19"/>
              </w:rPr>
              <w:t>Was wird nach Projektende gesichert, was gelöscht?</w:t>
            </w:r>
          </w:p>
        </w:tc>
        <w:tc>
          <w:tcPr>
            <w:tcW w:type="dxa" w:w="4995"/>
          </w:tcPr>
          <w:p>
            <w:pPr>
              <w:spacing w:after="0"/>
            </w:pPr>
            <w:r>
              <w:rPr>
                <w:sz w:val="19"/>
              </w:rPr>
              <w:t>geplant nach Kursende 13.10.2026 (Schritt 5.14, Aufgabe 82): sichern, Kosten melden, löschen nach Freigabe</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2916"/>
        <w:gridCol w:w="2500"/>
        <w:gridCol w:w="3995"/>
      </w:tblGrid>
      <w:tr>
        <w:trPr>
          <w:tblHeader/>
          <w:cantSplit/>
        </w:trPr>
        <w:tc>
          <w:tcPr>
            <w:tcW w:type="dxa" w:w="9411"/>
            <w:gridSpan w:val="3"/>
            <w:tcBorders>
              <w:top w:val="nil"/>
              <w:left w:val="nil"/>
              <w:right w:val="nil"/>
            </w:tcBorders>
          </w:tcPr>
          <w:p>
            <w:pPr>
              <w:pStyle w:val="Heading2"/>
              <w:spacing w:before="200" w:after="60"/>
            </w:pPr>
            <w:r>
              <w:t>8.3 Ablage-Regel (Rückgriff auf letzten guten Stand)</w:t>
            </w:r>
          </w:p>
        </w:tc>
      </w:tr>
      <w:tr>
        <w:trPr>
          <w:tblHeader/>
        </w:trPr>
        <w:tc>
          <w:tcPr>
            <w:tcW w:type="dxa" w:w="2916"/>
            <w:shd w:val="clear" w:color="auto" w:fill="D9E2F3"/>
          </w:tcPr>
          <w:p>
            <w:pPr>
              <w:spacing w:after="0"/>
            </w:pPr>
            <w:r>
              <w:rPr>
                <w:b/>
                <w:sz w:val="19"/>
              </w:rPr>
              <w:t>Ordner</w:t>
            </w:r>
          </w:p>
        </w:tc>
        <w:tc>
          <w:tcPr>
            <w:tcW w:type="dxa" w:w="2500"/>
            <w:shd w:val="clear" w:color="auto" w:fill="D9E2F3"/>
          </w:tcPr>
          <w:p>
            <w:pPr>
              <w:spacing w:after="0"/>
            </w:pPr>
            <w:r>
              <w:rPr>
                <w:b/>
                <w:sz w:val="19"/>
              </w:rPr>
              <w:t>Zeitstempel</w:t>
            </w:r>
          </w:p>
        </w:tc>
        <w:tc>
          <w:tcPr>
            <w:tcW w:type="dxa" w:w="3995"/>
            <w:shd w:val="clear" w:color="auto" w:fill="D9E2F3"/>
          </w:tcPr>
          <w:p>
            <w:pPr>
              <w:spacing w:after="0"/>
            </w:pPr>
            <w:r>
              <w:rPr>
                <w:b/>
                <w:sz w:val="19"/>
              </w:rPr>
              <w:t>Aufgabe</w:t>
            </w:r>
          </w:p>
        </w:tc>
      </w:tr>
      <w:tr>
        <w:trPr/>
        <w:tc>
          <w:tcPr>
            <w:tcW w:type="dxa" w:w="2916"/>
          </w:tcPr>
          <w:p>
            <w:pPr>
              <w:spacing w:after="0"/>
            </w:pPr>
            <w:r>
              <w:rPr>
                <w:rFonts w:ascii="Courier New" w:hAnsi="Courier New"/>
                <w:sz w:val="17"/>
              </w:rPr>
              <w:t>bronze/new</w:t>
            </w:r>
          </w:p>
        </w:tc>
        <w:tc>
          <w:tcPr>
            <w:tcW w:type="dxa" w:w="2500"/>
          </w:tcPr>
          <w:p>
            <w:pPr>
              <w:spacing w:after="0"/>
            </w:pPr>
            <w:r>
              <w:rPr>
                <w:sz w:val="19"/>
              </w:rPr>
              <w:t>nein</w:t>
            </w:r>
          </w:p>
        </w:tc>
        <w:tc>
          <w:tcPr>
            <w:tcW w:type="dxa" w:w="3995"/>
          </w:tcPr>
          <w:p>
            <w:pPr>
              <w:spacing w:after="0"/>
            </w:pPr>
            <w:r>
              <w:rPr>
                <w:sz w:val="19"/>
              </w:rPr>
              <w:t>Eingang der aktuellen Lieferung (nach dem Lauf leer)</w:t>
            </w:r>
          </w:p>
        </w:tc>
      </w:tr>
      <w:tr>
        <w:trPr/>
        <w:tc>
          <w:tcPr>
            <w:tcW w:type="dxa" w:w="2916"/>
          </w:tcPr>
          <w:p>
            <w:pPr>
              <w:spacing w:after="0"/>
            </w:pPr>
            <w:r>
              <w:rPr>
                <w:rFonts w:ascii="Courier New" w:hAnsi="Courier New"/>
                <w:sz w:val="17"/>
              </w:rPr>
              <w:t>bronze/archive</w:t>
            </w:r>
          </w:p>
        </w:tc>
        <w:tc>
          <w:tcPr>
            <w:tcW w:type="dxa" w:w="2500"/>
          </w:tcPr>
          <w:p>
            <w:pPr>
              <w:spacing w:after="0"/>
            </w:pPr>
            <w:r>
              <w:rPr>
                <w:sz w:val="19"/>
              </w:rPr>
              <w:t>ja (UTC)</w:t>
            </w:r>
          </w:p>
        </w:tc>
        <w:tc>
          <w:tcPr>
            <w:tcW w:type="dxa" w:w="3995"/>
          </w:tcPr>
          <w:p>
            <w:pPr>
              <w:spacing w:after="0"/>
            </w:pPr>
            <w:r>
              <w:rPr>
                <w:sz w:val="19"/>
              </w:rPr>
              <w:t>jede Rohdaten-Lieferung, dauerhaft</w:t>
            </w:r>
          </w:p>
        </w:tc>
      </w:tr>
      <w:tr>
        <w:trPr/>
        <w:tc>
          <w:tcPr>
            <w:tcW w:type="dxa" w:w="2916"/>
          </w:tcPr>
          <w:p>
            <w:pPr>
              <w:spacing w:after="0"/>
            </w:pPr>
            <w:r>
              <w:rPr>
                <w:rFonts w:ascii="Courier New" w:hAnsi="Courier New"/>
                <w:sz w:val="17"/>
              </w:rPr>
              <w:t>silver/processing/&lt;stadt&gt;/&lt;sensor&gt;/</w:t>
            </w:r>
          </w:p>
        </w:tc>
        <w:tc>
          <w:tcPr>
            <w:tcW w:type="dxa" w:w="2500"/>
          </w:tcPr>
          <w:p>
            <w:pPr>
              <w:spacing w:after="0"/>
            </w:pPr>
            <w:r>
              <w:rPr>
                <w:sz w:val="19"/>
              </w:rPr>
              <w:t>nein</w:t>
            </w:r>
          </w:p>
        </w:tc>
        <w:tc>
          <w:tcPr>
            <w:tcW w:type="dxa" w:w="3995"/>
          </w:tcPr>
          <w:p>
            <w:pPr>
              <w:spacing w:after="0"/>
            </w:pPr>
            <w:r>
              <w:rPr>
                <w:sz w:val="19"/>
              </w:rPr>
              <w:t>aktuelle unbereinigte Arbeitskopie (je Lauf überschrieben; Notebooks lesen nur)</w:t>
            </w:r>
          </w:p>
        </w:tc>
      </w:tr>
      <w:tr>
        <w:trPr/>
        <w:tc>
          <w:tcPr>
            <w:tcW w:type="dxa" w:w="2916"/>
          </w:tcPr>
          <w:p>
            <w:pPr>
              <w:spacing w:after="0"/>
            </w:pPr>
            <w:r>
              <w:rPr>
                <w:rFonts w:ascii="Courier New" w:hAnsi="Courier New"/>
                <w:sz w:val="17"/>
              </w:rPr>
              <w:t>silver/cleaned/&lt;stadt&gt;/&lt;sensor&gt;/</w:t>
            </w:r>
          </w:p>
        </w:tc>
        <w:tc>
          <w:tcPr>
            <w:tcW w:type="dxa" w:w="2500"/>
          </w:tcPr>
          <w:p>
            <w:pPr>
              <w:spacing w:after="0"/>
            </w:pPr>
            <w:r>
              <w:rPr>
                <w:sz w:val="19"/>
              </w:rPr>
              <w:t>ja (UTC)</w:t>
            </w:r>
          </w:p>
        </w:tc>
        <w:tc>
          <w:tcPr>
            <w:tcW w:type="dxa" w:w="3995"/>
          </w:tcPr>
          <w:p>
            <w:pPr>
              <w:spacing w:after="0"/>
            </w:pPr>
            <w:r>
              <w:rPr>
                <w:sz w:val="19"/>
              </w:rPr>
              <w:t xml:space="preserve">nur die neueste bereinigte Version; ältere in </w:t>
            </w:r>
            <w:r>
              <w:rPr>
                <w:rFonts w:ascii="Courier New" w:hAnsi="Courier New"/>
                <w:sz w:val="17"/>
              </w:rPr>
              <w:t>_archiv/</w:t>
            </w:r>
          </w:p>
        </w:tc>
      </w:tr>
      <w:tr>
        <w:trPr/>
        <w:tc>
          <w:tcPr>
            <w:tcW w:type="dxa" w:w="2916"/>
          </w:tcPr>
          <w:p>
            <w:pPr>
              <w:spacing w:after="0"/>
            </w:pPr>
            <w:r>
              <w:rPr>
                <w:rFonts w:ascii="Courier New" w:hAnsi="Courier New"/>
                <w:sz w:val="17"/>
              </w:rPr>
              <w:t>gold/&lt;stadt&gt;/</w:t>
            </w:r>
          </w:p>
        </w:tc>
        <w:tc>
          <w:tcPr>
            <w:tcW w:type="dxa" w:w="2500"/>
          </w:tcPr>
          <w:p>
            <w:pPr>
              <w:spacing w:after="0"/>
            </w:pPr>
            <w:r>
              <w:rPr>
                <w:sz w:val="19"/>
              </w:rPr>
              <w:t>im Archiv (</w:t>
            </w:r>
            <w:r>
              <w:rPr>
                <w:rFonts w:ascii="Courier New" w:hAnsi="Courier New"/>
                <w:sz w:val="17"/>
              </w:rPr>
              <w:t>__bis_&lt;UTC&gt;</w:t>
            </w:r>
            <w:r>
              <w:rPr>
                <w:sz w:val="19"/>
              </w:rPr>
              <w:t>)</w:t>
            </w:r>
          </w:p>
        </w:tc>
        <w:tc>
          <w:tcPr>
            <w:tcW w:type="dxa" w:w="3995"/>
          </w:tcPr>
          <w:p>
            <w:pPr>
              <w:spacing w:after="0"/>
            </w:pPr>
            <w:r>
              <w:rPr>
                <w:sz w:val="19"/>
              </w:rPr>
              <w:t xml:space="preserve">aktuelle Tageswerte; vor dem Überschreiben nach </w:t>
            </w:r>
            <w:r>
              <w:rPr>
                <w:rFonts w:ascii="Courier New" w:hAnsi="Courier New"/>
                <w:sz w:val="17"/>
              </w:rPr>
              <w:t>_archiv/</w:t>
            </w:r>
          </w:p>
        </w:tc>
      </w:tr>
      <w:tr>
        <w:trPr/>
        <w:tc>
          <w:tcPr>
            <w:tcW w:type="dxa" w:w="2916"/>
          </w:tcPr>
          <w:p>
            <w:pPr>
              <w:spacing w:after="0"/>
            </w:pPr>
            <w:r>
              <w:rPr>
                <w:rFonts w:ascii="Courier New" w:hAnsi="Courier New"/>
                <w:sz w:val="17"/>
              </w:rPr>
              <w:t>konfiguration/standorte.csv</w:t>
            </w:r>
          </w:p>
        </w:tc>
        <w:tc>
          <w:tcPr>
            <w:tcW w:type="dxa" w:w="2500"/>
          </w:tcPr>
          <w:p>
            <w:pPr>
              <w:spacing w:after="0"/>
            </w:pPr>
            <w:r>
              <w:rPr>
                <w:sz w:val="19"/>
              </w:rPr>
              <w:t>–</w:t>
            </w:r>
          </w:p>
        </w:tc>
        <w:tc>
          <w:tcPr>
            <w:tcW w:type="dxa" w:w="3995"/>
          </w:tcPr>
          <w:p>
            <w:pPr>
              <w:spacing w:after="0"/>
            </w:pPr>
            <w:r>
              <w:rPr>
                <w:sz w:val="19"/>
              </w:rPr>
              <w:t>Standort-Tabelle (Stadt, Koordinaten, Zeitzone, Quelle)</w:t>
            </w:r>
          </w:p>
        </w:tc>
      </w:tr>
    </w:tbl>
    <w:p>
      <w:pPr>
        <w:spacing w:after="0" w:line="20" w:lineRule="exact"/>
      </w:pPr>
    </w:p>
    <w:p>
      <w:pPr>
        <w:pStyle w:val="Heading2"/>
      </w:pPr>
      <w:r>
        <w:t>8.4 Quellen</w:t>
      </w:r>
    </w:p>
    <w:p>
      <w:pPr>
        <w:spacing w:after="0" w:line="20" w:lineRule="exact"/>
      </w:pPr>
    </w:p>
    <w:p>
      <w:pPr>
        <w:pStyle w:val="ListBullet"/>
        <w:spacing w:after="40"/>
      </w:pPr>
      <w:r>
        <w:t>Microsoft Learn: „Pipelines and activities“, „Transform data by running a Synapse notebook“, „Synapse notebook activity“, „Apache Spark pool configurations“, „Plan and manage costs for Azure Synapse Analytics“, Managed Identities, Cloud Adoption Framework (Stand 24.–29.09.2026)</w:t>
      </w:r>
    </w:p>
    <w:p>
      <w:pPr>
        <w:pStyle w:val="ListBullet"/>
        <w:spacing w:after="40"/>
      </w:pPr>
      <w:r>
        <w:t>Kursunterlagen WBS Coding School Kapitel 4 (Datenbereinigung) und Kapitel 9 (8.14–8.22), Notebooks der Kursleitung</w:t>
      </w:r>
    </w:p>
    <w:p>
      <w:pPr>
        <w:pStyle w:val="ListBullet"/>
        <w:spacing w:after="40"/>
      </w:pPr>
      <w:r>
        <w:t>Kaggle „Beehive Metrics“ (HOBOS): https://www.kaggle.com/datasets/se18m502/bee-hive-metrics</w:t>
      </w:r>
    </w:p>
    <w:p>
      <w:pPr>
        <w:pStyle w:val="ListBullet"/>
        <w:spacing w:after="40"/>
      </w:pPr>
      <w:r>
        <w:t>Wetter: „Datenbasis: Deutscher Wetterdienst“ (über Bright Sky, https://brightsky.dev); Open-Meteo (CC BY 4.0); NOAA Solar Calculation</w:t>
      </w:r>
    </w:p>
    <w:p>
      <w:pPr>
        <w:pStyle w:val="ListBullet"/>
        <w:spacing w:after="40"/>
      </w:pPr>
      <w:r>
        <w:t xml:space="preserve">pandas-Dokumentation </w:t>
      </w:r>
      <w:r>
        <w:rPr>
          <w:rFonts w:ascii="Courier New" w:hAnsi="Courier New"/>
          <w:sz w:val="19"/>
        </w:rPr>
        <w:t>tz_localize</w:t>
      </w:r>
      <w:r>
        <w:t xml:space="preserve"> (Zeitzonen, </w:t>
      </w:r>
      <w:r>
        <w:rPr>
          <w:rFonts w:ascii="Courier New" w:hAnsi="Courier New"/>
          <w:sz w:val="19"/>
        </w:rPr>
        <w:t>ambiguous</w:t>
      </w:r>
      <w:r>
        <w:t>)</w:t>
      </w:r>
    </w:p>
    <w:p>
      <w:pPr>
        <w:pStyle w:val="ListBullet"/>
        <w:spacing w:after="40"/>
      </w:pPr>
      <w:r>
        <w:t>[T1] Fahrenholz, Lamprecht, Kraus (1989), Journal of Comparative Physiology B: https://link.springer.com/article/10.1007/BF00694379</w:t>
      </w:r>
    </w:p>
    <w:p>
      <w:pPr>
        <w:pStyle w:val="ListBullet"/>
        <w:spacing w:after="40"/>
      </w:pPr>
      <w:r>
        <w:t>[T2] Stabentheiner, Kovac, Brodschneider (2010), PLOS ONE: https://www.ncbi.nlm.nih.gov/pmc/articles/PMC2813292/</w:t>
      </w:r>
    </w:p>
    <w:p>
      <w:pPr>
        <w:pStyle w:val="ListBullet"/>
        <w:spacing w:after="40"/>
      </w:pPr>
      <w:r>
        <w:t>[T3] Wikipedia „Winter cluster“: https://en.wikipedia.org/wiki/Winter_cluster</w:t>
      </w:r>
    </w:p>
    <w:p>
      <w:pPr>
        <w:pStyle w:val="ListBullet"/>
        <w:spacing w:after="40"/>
      </w:pPr>
      <w:r>
        <w:t>[R1] Wikipedia „Honey flow“: https://en.wikipedia.org/wiki/Honey_flow</w:t>
      </w:r>
    </w:p>
    <w:p>
      <w:pPr>
        <w:pStyle w:val="ListBullet"/>
        <w:spacing w:after="40"/>
      </w:pPr>
      <w:r>
        <w:t>[R2] BEEP Bijenmonitoring „Weight – data interpretation“: https://beep.nl/measurement-system-2/data-interpretation/weight</w:t>
      </w:r>
    </w:p>
    <w:p>
      <w:pPr>
        <w:pStyle w:val="ListBullet"/>
        <w:spacing w:after="40"/>
      </w:pPr>
      <w:r>
        <w:t>[R3] „A review of short-term weather impacts on honey production“, International Journal of Biometeorology (2025): https://pmc.ncbi.nlm.nih.gov/articles/PMC11785677/</w:t>
      </w:r>
    </w:p>
    <w:p>
      <w:pPr>
        <w:pStyle w:val="ListBullet"/>
        <w:spacing w:after="40"/>
      </w:pPr>
      <w:r>
        <w:t>[R4] „Predictive modelling of honey bee foraging activity using local weather conditions“, Apidologie (2018): https://link.springer.com/content/pdf/10.1007/s13592-018-0565-3.pdf</w:t>
      </w:r>
    </w:p>
    <w:p>
      <w:pPr>
        <w:pStyle w:val="ListBullet"/>
        <w:spacing w:after="40"/>
      </w:pPr>
      <w:r>
        <w:t>[R5] „Using within-day hive weight changes to measure environmental effects on honey bee colonies“, PLOS ONE (2018): https://journals.plos.org/plosone/article?id=10.1371/journal.pone.0197589</w:t>
      </w:r>
    </w:p>
    <w:p>
      <w:pPr>
        <w:pStyle w:val="ListBullet"/>
        <w:spacing w:after="40"/>
      </w:pPr>
      <w:r>
        <w:t>[R6] „Dietary requirements of individual nectar foragers …“, Apidologie (2019): https://link.springer.com/article/10.1007/s13592-019-00694-9</w:t>
      </w:r>
    </w:p>
    <w:p>
      <w:pPr>
        <w:pStyle w:val="ListBullet"/>
        <w:spacing w:after="40"/>
      </w:pPr>
      <w:r>
        <w:t>[Q1] Apache Parquet – Dokumentation „Compression“ und „Encodings“, parquet.apache.org/docs (abgerufen 30.09.2026)</w:t>
      </w:r>
    </w:p>
    <w:p>
      <w:pPr>
        <w:pStyle w:val="ListBullet"/>
        <w:spacing w:after="40"/>
      </w:pPr>
      <w:r>
        <w:t xml:space="preserve">[Q2] pandas – </w:t>
      </w:r>
      <w:r>
        <w:rPr>
          <w:rFonts w:ascii="Courier New" w:hAnsi="Courier New"/>
          <w:sz w:val="19"/>
        </w:rPr>
        <w:t>DataFrame.to_parquet</w:t>
      </w:r>
      <w:r>
        <w:t xml:space="preserve"> (Engine pyarrow, Standard-Kompression snappy), pandas.pydata.org (abgerufen 30.09.2026)</w:t>
      </w:r>
    </w:p>
    <w:p>
      <w:pPr>
        <w:pStyle w:val="Heading2"/>
      </w:pPr>
      <w:r>
        <w:t>8.5 Grafiken (verlinkt; übergreifend in `04_images/`, je Standort in `04_images/&lt;stadt&gt;/`)</w:t>
      </w:r>
    </w:p>
    <w:p>
      <w:pPr>
        <w:spacing w:after="0" w:line="20" w:lineRule="exact"/>
      </w:pPr>
    </w:p>
    <w:p>
      <w:r>
        <w:rPr>
          <w:b/>
        </w:rPr>
        <w:t>Übergreifend – `04_images/`</w:t>
      </w:r>
    </w:p>
    <w:tbl>
      <w:tblPr>
        <w:tblStyle w:val="TableGrid"/>
        <w:tblW w:type="auto" w:w="0"/>
        <w:jc w:val="center"/>
        <w:tblLayout w:type="fixed"/>
        <w:tblLook w:firstColumn="1" w:firstRow="1" w:lastColumn="0" w:lastRow="0" w:noHBand="0" w:noVBand="1" w:val="04A0"/>
      </w:tblPr>
      <w:tblGrid>
        <w:gridCol w:w="3770"/>
        <w:gridCol w:w="3849"/>
        <w:gridCol w:w="1792"/>
      </w:tblGrid>
      <w:tr>
        <w:trPr>
          <w:tblHeader/>
        </w:trPr>
        <w:tc>
          <w:tcPr>
            <w:tcW w:type="dxa" w:w="3770"/>
            <w:shd w:val="clear" w:color="auto" w:fill="D9E2F3"/>
          </w:tcPr>
          <w:p>
            <w:pPr>
              <w:spacing w:after="0"/>
            </w:pPr>
            <w:r>
              <w:rPr>
                <w:b/>
                <w:sz w:val="19"/>
              </w:rPr>
              <w:t>Grafik</w:t>
            </w:r>
          </w:p>
        </w:tc>
        <w:tc>
          <w:tcPr>
            <w:tcW w:type="dxa" w:w="3849"/>
            <w:shd w:val="clear" w:color="auto" w:fill="D9E2F3"/>
          </w:tcPr>
          <w:p>
            <w:pPr>
              <w:spacing w:after="0"/>
            </w:pPr>
            <w:r>
              <w:rPr>
                <w:b/>
                <w:sz w:val="19"/>
              </w:rPr>
              <w:t>Aussage</w:t>
            </w:r>
          </w:p>
        </w:tc>
        <w:tc>
          <w:tcPr>
            <w:tcW w:type="dxa" w:w="1792"/>
            <w:shd w:val="clear" w:color="auto" w:fill="D9E2F3"/>
          </w:tcPr>
          <w:p>
            <w:pPr>
              <w:spacing w:after="0"/>
            </w:pPr>
            <w:r>
              <w:rPr>
                <w:b/>
                <w:sz w:val="19"/>
              </w:rPr>
              <w:t>Schritt</w:t>
            </w:r>
          </w:p>
        </w:tc>
      </w:tr>
      <w:tr>
        <w:trPr/>
        <w:tc>
          <w:tcPr>
            <w:tcW w:type="dxa" w:w="3770"/>
          </w:tcPr>
          <w:p>
            <w:pPr>
              <w:spacing w:after="0"/>
            </w:pPr>
            <w:hyperlink r:id="rId10">
              <w:r>
                <w:rPr>
                  <w:color w:val="0563C1"/>
                  <w:u w:val="single"/>
                </w:rPr>
                <w:t xml:space="preserve">04_images/p2_pipeline_endstand.png</w:t>
              </w:r>
            </w:hyperlink>
          </w:p>
        </w:tc>
        <w:tc>
          <w:tcPr>
            <w:tcW w:type="dxa" w:w="3849"/>
          </w:tcPr>
          <w:p>
            <w:pPr>
              <w:spacing w:after="0"/>
            </w:pPr>
            <w:r>
              <w:rPr>
                <w:sz w:val="19"/>
              </w:rPr>
              <w:t>fertige Pipeline: täglich automatisch von Rohdaten bis Gold, 2 Städte in ca. 13 Min.</w:t>
            </w:r>
          </w:p>
        </w:tc>
        <w:tc>
          <w:tcPr>
            <w:tcW w:type="dxa" w:w="1792"/>
          </w:tcPr>
          <w:p>
            <w:pPr>
              <w:spacing w:after="0"/>
            </w:pPr>
            <w:r>
              <w:rPr>
                <w:sz w:val="19"/>
              </w:rPr>
              <w:t>Kap. 0, 5.10</w:t>
            </w:r>
          </w:p>
        </w:tc>
      </w:tr>
      <w:tr>
        <w:trPr/>
        <w:tc>
          <w:tcPr>
            <w:tcW w:type="dxa" w:w="3770"/>
          </w:tcPr>
          <w:p>
            <w:pPr>
              <w:spacing w:after="0"/>
            </w:pPr>
            <w:hyperlink r:id="rId11">
              <w:r>
                <w:rPr>
                  <w:color w:val="0563C1"/>
                  <w:u w:val="single"/>
                </w:rPr>
                <w:t xml:space="preserve">04_images/v1_honig_saison.png</w:t>
              </w:r>
            </w:hyperlink>
          </w:p>
        </w:tc>
        <w:tc>
          <w:tcPr>
            <w:tcW w:type="dxa" w:w="3849"/>
          </w:tcPr>
          <w:p>
            <w:pPr>
              <w:spacing w:after="0"/>
            </w:pPr>
            <w:r>
              <w:rPr>
                <w:sz w:val="19"/>
              </w:rPr>
              <w:t>Saisonertrag 2017: Schwartau ca. 74 kg, Würzburg ca. 24 kg</w:t>
            </w:r>
          </w:p>
        </w:tc>
        <w:tc>
          <w:tcPr>
            <w:tcW w:type="dxa" w:w="1792"/>
          </w:tcPr>
          <w:p>
            <w:pPr>
              <w:spacing w:after="0"/>
            </w:pPr>
            <w:r>
              <w:rPr>
                <w:sz w:val="19"/>
              </w:rPr>
              <w:t>5.9a</w:t>
            </w:r>
          </w:p>
        </w:tc>
      </w:tr>
      <w:tr>
        <w:trPr/>
        <w:tc>
          <w:tcPr>
            <w:tcW w:type="dxa" w:w="3770"/>
          </w:tcPr>
          <w:p>
            <w:pPr>
              <w:spacing w:after="0"/>
            </w:pPr>
            <w:hyperlink r:id="rId25">
              <w:r>
                <w:rPr>
                  <w:color w:val="0563C1"/>
                  <w:u w:val="single"/>
                </w:rPr>
                <w:t xml:space="preserve">04_images/z1_speicherformate.png</w:t>
              </w:r>
            </w:hyperlink>
          </w:p>
        </w:tc>
        <w:tc>
          <w:tcPr>
            <w:tcW w:type="dxa" w:w="3849"/>
          </w:tcPr>
          <w:p>
            <w:pPr>
              <w:spacing w:after="0"/>
            </w:pPr>
            <w:r>
              <w:rPr>
                <w:sz w:val="19"/>
              </w:rPr>
              <w:t>Parquet 13–18 % von CSV</w:t>
            </w:r>
          </w:p>
        </w:tc>
        <w:tc>
          <w:tcPr>
            <w:tcW w:type="dxa" w:w="1792"/>
          </w:tcPr>
          <w:p>
            <w:pPr>
              <w:spacing w:after="0"/>
            </w:pPr>
            <w:r>
              <w:rPr>
                <w:sz w:val="19"/>
              </w:rPr>
              <w:t>5.2</w:t>
            </w:r>
          </w:p>
        </w:tc>
      </w:tr>
      <w:tr>
        <w:trPr/>
        <w:tc>
          <w:tcPr>
            <w:tcW w:type="dxa" w:w="3770"/>
          </w:tcPr>
          <w:p>
            <w:pPr>
              <w:spacing w:after="0"/>
            </w:pPr>
            <w:hyperlink r:id="rId21">
              <w:r>
                <w:rPr>
                  <w:color w:val="0563C1"/>
                  <w:u w:val="single"/>
                </w:rPr>
                <w:t xml:space="preserve">04_images/p1_pipeline_ist_soll.png</w:t>
              </w:r>
            </w:hyperlink>
          </w:p>
        </w:tc>
        <w:tc>
          <w:tcPr>
            <w:tcW w:type="dxa" w:w="3849"/>
          </w:tcPr>
          <w:p>
            <w:pPr>
              <w:spacing w:after="0"/>
            </w:pPr>
            <w:r>
              <w:rPr>
                <w:sz w:val="19"/>
              </w:rPr>
              <w:t>Projektverlauf: Pipeline am 29.09. und geplanter Weg A</w:t>
            </w:r>
          </w:p>
        </w:tc>
        <w:tc>
          <w:tcPr>
            <w:tcW w:type="dxa" w:w="1792"/>
          </w:tcPr>
          <w:p>
            <w:pPr>
              <w:spacing w:after="0"/>
            </w:pPr>
            <w:r>
              <w:rPr>
                <w:sz w:val="19"/>
              </w:rPr>
              <w:t>4.1</w:t>
            </w:r>
          </w:p>
        </w:tc>
      </w:tr>
      <w:tr>
        <w:trPr/>
        <w:tc>
          <w:tcPr>
            <w:tcW w:type="dxa" w:w="3770"/>
          </w:tcPr>
          <w:p>
            <w:pPr>
              <w:spacing w:after="0"/>
            </w:pPr>
            <w:hyperlink r:id="rId26">
              <w:r>
                <w:rPr>
                  <w:color w:val="0563C1"/>
                  <w:u w:val="single"/>
                </w:rPr>
                <w:t xml:space="preserve">04_images/gesamtgrafik_beehaven.png</w:t>
              </w:r>
            </w:hyperlink>
          </w:p>
        </w:tc>
        <w:tc>
          <w:tcPr>
            <w:tcW w:type="dxa" w:w="3849"/>
          </w:tcPr>
          <w:p>
            <w:pPr>
              <w:spacing w:after="0"/>
            </w:pPr>
            <w:r>
              <w:rPr>
                <w:sz w:val="19"/>
              </w:rPr>
              <w:t>Projektverlauf: Einrichtung und Datenfluss (Stand 28.09.)</w:t>
            </w:r>
          </w:p>
        </w:tc>
        <w:tc>
          <w:tcPr>
            <w:tcW w:type="dxa" w:w="1792"/>
          </w:tcPr>
          <w:p>
            <w:pPr>
              <w:spacing w:after="0"/>
            </w:pPr>
            <w:r>
              <w:rPr>
                <w:sz w:val="19"/>
              </w:rPr>
              <w:t>–</w:t>
            </w:r>
          </w:p>
        </w:tc>
      </w:tr>
    </w:tbl>
    <w:p>
      <w:pPr>
        <w:spacing w:after="0" w:line="20" w:lineRule="exact"/>
      </w:pPr>
    </w:p>
    <w:p>
      <w:r>
        <w:rPr>
          <w:b/>
        </w:rPr>
        <w:t>Je Standort – `04_images/schwartau/` und `04_images/wurzburg/` (gleiche Dateinamen)</w:t>
      </w:r>
    </w:p>
    <w:tbl>
      <w:tblPr>
        <w:tblStyle w:val="TableGrid"/>
        <w:tblW w:type="auto" w:w="0"/>
        <w:jc w:val="center"/>
        <w:tblLayout w:type="fixed"/>
        <w:tblLook w:firstColumn="1" w:firstRow="1" w:lastColumn="0" w:lastRow="0" w:noHBand="0" w:noVBand="1" w:val="04A0"/>
      </w:tblPr>
      <w:tblGrid>
        <w:gridCol w:w="4960"/>
        <w:gridCol w:w="2987"/>
        <w:gridCol w:w="1464"/>
      </w:tblGrid>
      <w:tr>
        <w:trPr>
          <w:tblHeader/>
        </w:trPr>
        <w:tc>
          <w:tcPr>
            <w:tcW w:type="dxa" w:w="4960"/>
            <w:shd w:val="clear" w:color="auto" w:fill="D9E2F3"/>
          </w:tcPr>
          <w:p>
            <w:pPr>
              <w:spacing w:after="0"/>
            </w:pPr>
            <w:r>
              <w:rPr>
                <w:b/>
                <w:sz w:val="19"/>
              </w:rPr>
              <w:t>Grafik</w:t>
            </w:r>
          </w:p>
        </w:tc>
        <w:tc>
          <w:tcPr>
            <w:tcW w:type="dxa" w:w="2987"/>
            <w:shd w:val="clear" w:color="auto" w:fill="D9E2F3"/>
          </w:tcPr>
          <w:p>
            <w:pPr>
              <w:spacing w:after="0"/>
            </w:pPr>
            <w:r>
              <w:rPr>
                <w:b/>
                <w:sz w:val="19"/>
              </w:rPr>
              <w:t>Aussage (Schwartau)</w:t>
            </w:r>
          </w:p>
        </w:tc>
        <w:tc>
          <w:tcPr>
            <w:tcW w:type="dxa" w:w="1464"/>
            <w:shd w:val="clear" w:color="auto" w:fill="D9E2F3"/>
          </w:tcPr>
          <w:p>
            <w:pPr>
              <w:spacing w:after="0"/>
            </w:pPr>
            <w:r>
              <w:rPr>
                <w:b/>
                <w:sz w:val="19"/>
              </w:rPr>
              <w:t>Schritt</w:t>
            </w:r>
          </w:p>
        </w:tc>
      </w:tr>
      <w:tr>
        <w:trPr/>
        <w:tc>
          <w:tcPr>
            <w:tcW w:type="dxa" w:w="4960"/>
          </w:tcPr>
          <w:p>
            <w:pPr>
              <w:spacing w:after="0"/>
            </w:pPr>
            <w:hyperlink r:id="rId14">
              <w:r>
                <w:rPr>
                  <w:color w:val="0563C1"/>
                  <w:u w:val="single"/>
                </w:rPr>
                <w:t xml:space="preserve">04_images/schwartau/f1_gewicht_verlauf.png</w:t>
              </w:r>
            </w:hyperlink>
            <w:r>
              <w:rPr>
                <w:sz w:val="19"/>
              </w:rPr>
              <w:t xml:space="preserve"> · </w:t>
            </w:r>
            <w:hyperlink r:id="rId27">
              <w:r>
                <w:rPr>
                  <w:color w:val="0563C1"/>
                  <w:u w:val="single"/>
                </w:rPr>
                <w:t xml:space="preserve">Würzburg</w:t>
              </w:r>
            </w:hyperlink>
          </w:p>
        </w:tc>
        <w:tc>
          <w:tcPr>
            <w:tcW w:type="dxa" w:w="2987"/>
          </w:tcPr>
          <w:p>
            <w:pPr>
              <w:spacing w:after="0"/>
            </w:pPr>
            <w:r>
              <w:rPr>
                <w:sz w:val="19"/>
              </w:rPr>
              <w:t>Gewichtsverlauf, Ernte, Ausfallzeitraum grau</w:t>
            </w:r>
          </w:p>
        </w:tc>
        <w:tc>
          <w:tcPr>
            <w:tcW w:type="dxa" w:w="1464"/>
          </w:tcPr>
          <w:p>
            <w:pPr>
              <w:spacing w:after="0"/>
            </w:pPr>
            <w:r>
              <w:rPr>
                <w:sz w:val="19"/>
              </w:rPr>
              <w:t>2.10, 5.1</w:t>
            </w:r>
          </w:p>
        </w:tc>
      </w:tr>
      <w:tr>
        <w:trPr/>
        <w:tc>
          <w:tcPr>
            <w:tcW w:type="dxa" w:w="4960"/>
          </w:tcPr>
          <w:p>
            <w:pPr>
              <w:spacing w:after="0"/>
            </w:pPr>
            <w:hyperlink r:id="rId15">
              <w:r>
                <w:rPr>
                  <w:color w:val="0563C1"/>
                  <w:u w:val="single"/>
                </w:rPr>
                <w:t xml:space="preserve">04_images/schwartau/f2_flugaktivitaet_monat.png</w:t>
              </w:r>
            </w:hyperlink>
            <w:r>
              <w:rPr>
                <w:sz w:val="19"/>
              </w:rPr>
              <w:t xml:space="preserve"> · </w:t>
            </w:r>
            <w:hyperlink r:id="rId28">
              <w:r>
                <w:rPr>
                  <w:color w:val="0563C1"/>
                  <w:u w:val="single"/>
                </w:rPr>
                <w:t xml:space="preserve">Würzburg</w:t>
              </w:r>
            </w:hyperlink>
          </w:p>
        </w:tc>
        <w:tc>
          <w:tcPr>
            <w:tcW w:type="dxa" w:w="2987"/>
          </w:tcPr>
          <w:p>
            <w:pPr>
              <w:spacing w:after="0"/>
            </w:pPr>
            <w:r>
              <w:rPr>
                <w:sz w:val="19"/>
              </w:rPr>
              <w:t>Flugsaison Mai–August</w:t>
            </w:r>
          </w:p>
        </w:tc>
        <w:tc>
          <w:tcPr>
            <w:tcW w:type="dxa" w:w="1464"/>
          </w:tcPr>
          <w:p>
            <w:pPr>
              <w:spacing w:after="0"/>
            </w:pPr>
            <w:r>
              <w:rPr>
                <w:sz w:val="19"/>
              </w:rPr>
              <w:t>2.10</w:t>
            </w:r>
          </w:p>
        </w:tc>
      </w:tr>
      <w:tr>
        <w:trPr/>
        <w:tc>
          <w:tcPr>
            <w:tcW w:type="dxa" w:w="4960"/>
          </w:tcPr>
          <w:p>
            <w:pPr>
              <w:spacing w:after="0"/>
            </w:pPr>
            <w:hyperlink r:id="rId16">
              <w:r>
                <w:rPr>
                  <w:color w:val="0563C1"/>
                  <w:u w:val="single"/>
                </w:rPr>
                <w:t xml:space="preserve">04_images/schwartau/f3_temperatur_einflug.png</w:t>
              </w:r>
            </w:hyperlink>
            <w:r>
              <w:rPr>
                <w:sz w:val="19"/>
              </w:rPr>
              <w:t xml:space="preserve"> · </w:t>
            </w:r>
            <w:hyperlink r:id="rId29">
              <w:r>
                <w:rPr>
                  <w:color w:val="0563C1"/>
                  <w:u w:val="single"/>
                </w:rPr>
                <w:t xml:space="preserve">Würzburg</w:t>
              </w:r>
            </w:hyperlink>
          </w:p>
        </w:tc>
        <w:tc>
          <w:tcPr>
            <w:tcW w:type="dxa" w:w="2987"/>
          </w:tcPr>
          <w:p>
            <w:pPr>
              <w:spacing w:after="0"/>
            </w:pPr>
            <w:r>
              <w:rPr>
                <w:sz w:val="19"/>
              </w:rPr>
              <w:t>Temperatur und Einflug</w:t>
            </w:r>
          </w:p>
        </w:tc>
        <w:tc>
          <w:tcPr>
            <w:tcW w:type="dxa" w:w="1464"/>
          </w:tcPr>
          <w:p>
            <w:pPr>
              <w:spacing w:after="0"/>
            </w:pPr>
            <w:r>
              <w:rPr>
                <w:sz w:val="19"/>
              </w:rPr>
              <w:t>2.10</w:t>
            </w:r>
          </w:p>
        </w:tc>
      </w:tr>
      <w:tr>
        <w:trPr/>
        <w:tc>
          <w:tcPr>
            <w:tcW w:type="dxa" w:w="4960"/>
          </w:tcPr>
          <w:p>
            <w:pPr>
              <w:spacing w:after="0"/>
            </w:pPr>
            <w:hyperlink r:id="rId17">
              <w:r>
                <w:rPr>
                  <w:color w:val="0563C1"/>
                  <w:u w:val="single"/>
                </w:rPr>
                <w:t xml:space="preserve">04_images/schwartau/d2_sensitivitaet_temperatur.png</w:t>
              </w:r>
            </w:hyperlink>
            <w:r>
              <w:rPr>
                <w:sz w:val="19"/>
              </w:rPr>
              <w:t xml:space="preserve"> · </w:t>
            </w:r>
            <w:hyperlink r:id="rId30">
              <w:r>
                <w:rPr>
                  <w:color w:val="0563C1"/>
                  <w:u w:val="single"/>
                </w:rPr>
                <w:t xml:space="preserve">Würzburg</w:t>
              </w:r>
            </w:hyperlink>
          </w:p>
        </w:tc>
        <w:tc>
          <w:tcPr>
            <w:tcW w:type="dxa" w:w="2987"/>
          </w:tcPr>
          <w:p>
            <w:pPr>
              <w:spacing w:after="0"/>
            </w:pPr>
            <w:r>
              <w:rPr>
                <w:sz w:val="19"/>
              </w:rPr>
              <w:t>Großteil der Temperatur-Markierungen ist Rauschen</w:t>
            </w:r>
          </w:p>
        </w:tc>
        <w:tc>
          <w:tcPr>
            <w:tcW w:type="dxa" w:w="1464"/>
          </w:tcPr>
          <w:p>
            <w:pPr>
              <w:spacing w:after="0"/>
            </w:pPr>
            <w:r>
              <w:rPr>
                <w:sz w:val="19"/>
              </w:rPr>
              <w:t>3.3</w:t>
            </w:r>
          </w:p>
        </w:tc>
      </w:tr>
      <w:tr>
        <w:trPr/>
        <w:tc>
          <w:tcPr>
            <w:tcW w:type="dxa" w:w="4960"/>
          </w:tcPr>
          <w:p>
            <w:pPr>
              <w:spacing w:after="0"/>
            </w:pPr>
            <w:hyperlink r:id="rId18">
              <w:r>
                <w:rPr>
                  <w:color w:val="0563C1"/>
                  <w:u w:val="single"/>
                </w:rPr>
                <w:t xml:space="preserve">04_images/schwartau/n3_wetter_sonne.png</w:t>
              </w:r>
            </w:hyperlink>
            <w:r>
              <w:rPr>
                <w:sz w:val="19"/>
              </w:rPr>
              <w:t xml:space="preserve"> · </w:t>
            </w:r>
            <w:hyperlink r:id="rId31">
              <w:r>
                <w:rPr>
                  <w:color w:val="0563C1"/>
                  <w:u w:val="single"/>
                </w:rPr>
                <w:t xml:space="preserve">Würzburg</w:t>
              </w:r>
            </w:hyperlink>
          </w:p>
        </w:tc>
        <w:tc>
          <w:tcPr>
            <w:tcW w:type="dxa" w:w="2987"/>
          </w:tcPr>
          <w:p>
            <w:pPr>
              <w:spacing w:after="0"/>
            </w:pPr>
            <w:r>
              <w:rPr>
                <w:sz w:val="19"/>
              </w:rPr>
              <w:t>Wetter und Sonnenstand plausibel</w:t>
            </w:r>
          </w:p>
        </w:tc>
        <w:tc>
          <w:tcPr>
            <w:tcW w:type="dxa" w:w="1464"/>
          </w:tcPr>
          <w:p>
            <w:pPr>
              <w:spacing w:after="0"/>
            </w:pPr>
            <w:r>
              <w:rPr>
                <w:sz w:val="19"/>
              </w:rPr>
              <w:t>3.4, 3.5</w:t>
            </w:r>
          </w:p>
        </w:tc>
      </w:tr>
      <w:tr>
        <w:trPr/>
        <w:tc>
          <w:tcPr>
            <w:tcW w:type="dxa" w:w="4960"/>
          </w:tcPr>
          <w:p>
            <w:pPr>
              <w:spacing w:after="0"/>
            </w:pPr>
            <w:hyperlink r:id="rId19">
              <w:r>
                <w:rPr>
                  <w:color w:val="0563C1"/>
                  <w:u w:val="single"/>
                </w:rPr>
                <w:t xml:space="preserve">04_images/schwartau/a2_flug_tageszeit.png</w:t>
              </w:r>
            </w:hyperlink>
            <w:r>
              <w:rPr>
                <w:sz w:val="19"/>
              </w:rPr>
              <w:t xml:space="preserve"> · </w:t>
            </w:r>
            <w:hyperlink r:id="rId32">
              <w:r>
                <w:rPr>
                  <w:color w:val="0563C1"/>
                  <w:u w:val="single"/>
                </w:rPr>
                <w:t xml:space="preserve">Würzburg</w:t>
              </w:r>
            </w:hyperlink>
          </w:p>
        </w:tc>
        <w:tc>
          <w:tcPr>
            <w:tcW w:type="dxa" w:w="2987"/>
          </w:tcPr>
          <w:p>
            <w:pPr>
              <w:spacing w:after="0"/>
            </w:pPr>
            <w:r>
              <w:rPr>
                <w:sz w:val="19"/>
              </w:rPr>
              <w:t>90 % der Flüge bei Tag</w:t>
            </w:r>
          </w:p>
        </w:tc>
        <w:tc>
          <w:tcPr>
            <w:tcW w:type="dxa" w:w="1464"/>
          </w:tcPr>
          <w:p>
            <w:pPr>
              <w:spacing w:after="0"/>
            </w:pPr>
            <w:r>
              <w:rPr>
                <w:sz w:val="19"/>
              </w:rPr>
              <w:t>3.7</w:t>
            </w:r>
          </w:p>
        </w:tc>
      </w:tr>
      <w:tr>
        <w:trPr/>
        <w:tc>
          <w:tcPr>
            <w:tcW w:type="dxa" w:w="4960"/>
          </w:tcPr>
          <w:p>
            <w:pPr>
              <w:spacing w:after="0"/>
            </w:pPr>
            <w:hyperlink r:id="rId20">
              <w:r>
                <w:rPr>
                  <w:color w:val="0563C1"/>
                  <w:u w:val="single"/>
                </w:rPr>
                <w:t xml:space="preserve">04_images/schwartau/a3_a5_flug_temperatur.png</w:t>
              </w:r>
            </w:hyperlink>
            <w:r>
              <w:rPr>
                <w:sz w:val="19"/>
              </w:rPr>
              <w:t xml:space="preserve"> · </w:t>
            </w:r>
            <w:hyperlink r:id="rId33">
              <w:r>
                <w:rPr>
                  <w:color w:val="0563C1"/>
                  <w:u w:val="single"/>
                </w:rPr>
                <w:t xml:space="preserve">Würzburg</w:t>
              </w:r>
            </w:hyperlink>
          </w:p>
        </w:tc>
        <w:tc>
          <w:tcPr>
            <w:tcW w:type="dxa" w:w="2987"/>
          </w:tcPr>
          <w:p>
            <w:pPr>
              <w:spacing w:after="0"/>
            </w:pPr>
            <w:r>
              <w:rPr>
                <w:sz w:val="19"/>
              </w:rPr>
              <w:t>Maximum 20–30 °C, Hitze-Effekt nicht belegt</w:t>
            </w:r>
          </w:p>
        </w:tc>
        <w:tc>
          <w:tcPr>
            <w:tcW w:type="dxa" w:w="1464"/>
          </w:tcPr>
          <w:p>
            <w:pPr>
              <w:spacing w:after="0"/>
            </w:pPr>
            <w:r>
              <w:rPr>
                <w:sz w:val="19"/>
              </w:rPr>
              <w:t>3.7</w:t>
            </w:r>
          </w:p>
        </w:tc>
      </w:tr>
      <w:tr>
        <w:trPr/>
        <w:tc>
          <w:tcPr>
            <w:tcW w:type="dxa" w:w="4960"/>
          </w:tcPr>
          <w:p>
            <w:pPr>
              <w:spacing w:after="0"/>
            </w:pPr>
            <w:hyperlink r:id="rId12">
              <w:r>
                <w:rPr>
                  <w:color w:val="0563C1"/>
                  <w:u w:val="single"/>
                </w:rPr>
                <w:t xml:space="preserve">04_images/schwartau/a4_a6_flug_regen_sonne_stunde.png</w:t>
              </w:r>
            </w:hyperlink>
            <w:r>
              <w:rPr>
                <w:sz w:val="19"/>
              </w:rPr>
              <w:t xml:space="preserve"> · </w:t>
            </w:r>
            <w:hyperlink r:id="rId34">
              <w:r>
                <w:rPr>
                  <w:color w:val="0563C1"/>
                  <w:u w:val="single"/>
                </w:rPr>
                <w:t xml:space="preserve">Würzburg</w:t>
              </w:r>
            </w:hyperlink>
          </w:p>
        </w:tc>
        <w:tc>
          <w:tcPr>
            <w:tcW w:type="dxa" w:w="2987"/>
          </w:tcPr>
          <w:p>
            <w:pPr>
              <w:spacing w:after="0"/>
            </w:pPr>
            <w:r>
              <w:rPr>
                <w:sz w:val="19"/>
              </w:rPr>
              <w:t>Regen −58 %, Flug folgt dem Tageslicht</w:t>
            </w:r>
          </w:p>
        </w:tc>
        <w:tc>
          <w:tcPr>
            <w:tcW w:type="dxa" w:w="1464"/>
          </w:tcPr>
          <w:p>
            <w:pPr>
              <w:spacing w:after="0"/>
            </w:pPr>
            <w:r>
              <w:rPr>
                <w:sz w:val="19"/>
              </w:rPr>
              <w:t>3.7</w:t>
            </w:r>
          </w:p>
        </w:tc>
      </w:tr>
      <w:tr>
        <w:trPr/>
        <w:tc>
          <w:tcPr>
            <w:tcW w:type="dxa" w:w="4960"/>
          </w:tcPr>
          <w:p>
            <w:pPr>
              <w:spacing w:after="0"/>
            </w:pPr>
            <w:hyperlink r:id="rId22">
              <w:r>
                <w:rPr>
                  <w:color w:val="0563C1"/>
                  <w:u w:val="single"/>
                </w:rPr>
                <w:t xml:space="preserve">04_images/schwartau/a7_flug_feuchte.png</w:t>
              </w:r>
            </w:hyperlink>
            <w:r>
              <w:rPr>
                <w:sz w:val="19"/>
              </w:rPr>
              <w:t xml:space="preserve"> · </w:t>
            </w:r>
            <w:hyperlink r:id="rId35">
              <w:r>
                <w:rPr>
                  <w:color w:val="0563C1"/>
                  <w:u w:val="single"/>
                </w:rPr>
                <w:t xml:space="preserve">Würzburg</w:t>
              </w:r>
            </w:hyperlink>
          </w:p>
        </w:tc>
        <w:tc>
          <w:tcPr>
            <w:tcW w:type="dxa" w:w="2987"/>
          </w:tcPr>
          <w:p>
            <w:pPr>
              <w:spacing w:after="0"/>
            </w:pPr>
            <w:r>
              <w:rPr>
                <w:sz w:val="19"/>
              </w:rPr>
              <w:t>trockene Luft = mehr Flug</w:t>
            </w:r>
          </w:p>
        </w:tc>
        <w:tc>
          <w:tcPr>
            <w:tcW w:type="dxa" w:w="1464"/>
          </w:tcPr>
          <w:p>
            <w:pPr>
              <w:spacing w:after="0"/>
            </w:pPr>
            <w:r>
              <w:rPr>
                <w:sz w:val="19"/>
              </w:rPr>
              <w:t>4.4</w:t>
            </w:r>
          </w:p>
        </w:tc>
      </w:tr>
      <w:tr>
        <w:trPr/>
        <w:tc>
          <w:tcPr>
            <w:tcW w:type="dxa" w:w="4960"/>
          </w:tcPr>
          <w:p>
            <w:pPr>
              <w:spacing w:after="0"/>
            </w:pPr>
            <w:hyperlink r:id="rId23">
              <w:r>
                <w:rPr>
                  <w:color w:val="0563C1"/>
                  <w:u w:val="single"/>
                </w:rPr>
                <w:t xml:space="preserve">04_images/schwartau/a8_flug_strahlung_hitze.png</w:t>
              </w:r>
            </w:hyperlink>
            <w:r>
              <w:rPr>
                <w:sz w:val="19"/>
              </w:rPr>
              <w:t xml:space="preserve"> · </w:t>
            </w:r>
            <w:hyperlink r:id="rId36">
              <w:r>
                <w:rPr>
                  <w:color w:val="0563C1"/>
                  <w:u w:val="single"/>
                </w:rPr>
                <w:t xml:space="preserve">Würzburg</w:t>
              </w:r>
            </w:hyperlink>
          </w:p>
        </w:tc>
        <w:tc>
          <w:tcPr>
            <w:tcW w:type="dxa" w:w="2987"/>
          </w:tcPr>
          <w:p>
            <w:pPr>
              <w:spacing w:after="0"/>
            </w:pPr>
            <w:r>
              <w:rPr>
                <w:sz w:val="19"/>
              </w:rPr>
              <w:t>Strahlung steigert den Flug</w:t>
            </w:r>
          </w:p>
        </w:tc>
        <w:tc>
          <w:tcPr>
            <w:tcW w:type="dxa" w:w="1464"/>
          </w:tcPr>
          <w:p>
            <w:pPr>
              <w:spacing w:after="0"/>
            </w:pPr>
            <w:r>
              <w:rPr>
                <w:sz w:val="19"/>
              </w:rPr>
              <w:t>4.4</w:t>
            </w:r>
          </w:p>
        </w:tc>
      </w:tr>
      <w:tr>
        <w:trPr/>
        <w:tc>
          <w:tcPr>
            <w:tcW w:type="dxa" w:w="4960"/>
          </w:tcPr>
          <w:p>
            <w:pPr>
              <w:spacing w:after="0"/>
            </w:pPr>
            <w:hyperlink r:id="rId24">
              <w:r>
                <w:rPr>
                  <w:color w:val="0563C1"/>
                  <w:u w:val="single"/>
                </w:rPr>
                <w:t xml:space="preserve">04_images/schwartau/a9_a10_flug_wind_luftdruck.png</w:t>
              </w:r>
            </w:hyperlink>
            <w:r>
              <w:rPr>
                <w:sz w:val="19"/>
              </w:rPr>
              <w:t xml:space="preserve"> · </w:t>
            </w:r>
            <w:hyperlink r:id="rId37">
              <w:r>
                <w:rPr>
                  <w:color w:val="0563C1"/>
                  <w:u w:val="single"/>
                </w:rPr>
                <w:t xml:space="preserve">Würzburg</w:t>
              </w:r>
            </w:hyperlink>
          </w:p>
        </w:tc>
        <w:tc>
          <w:tcPr>
            <w:tcW w:type="dxa" w:w="2987"/>
          </w:tcPr>
          <w:p>
            <w:pPr>
              <w:spacing w:after="0"/>
            </w:pPr>
            <w:r>
              <w:rPr>
                <w:sz w:val="19"/>
              </w:rPr>
              <w:t>Wind und Luftdruck unter gleichen Bedingungen ohne Einfluss</w:t>
            </w:r>
          </w:p>
        </w:tc>
        <w:tc>
          <w:tcPr>
            <w:tcW w:type="dxa" w:w="1464"/>
          </w:tcPr>
          <w:p>
            <w:pPr>
              <w:spacing w:after="0"/>
            </w:pPr>
            <w:r>
              <w:rPr>
                <w:sz w:val="19"/>
              </w:rPr>
              <w:t>4.4</w:t>
            </w:r>
          </w:p>
        </w:tc>
      </w:tr>
      <w:tr>
        <w:trPr/>
        <w:tc>
          <w:tcPr>
            <w:tcW w:type="dxa" w:w="4960"/>
          </w:tcPr>
          <w:p>
            <w:pPr>
              <w:spacing w:after="0"/>
            </w:pPr>
            <w:hyperlink r:id="rId13">
              <w:r>
                <w:rPr>
                  <w:color w:val="0563C1"/>
                  <w:u w:val="single"/>
                </w:rPr>
                <w:t xml:space="preserve">04_images/schwartau/h1_honig_produktion.png</w:t>
              </w:r>
            </w:hyperlink>
            <w:r>
              <w:rPr>
                <w:sz w:val="19"/>
              </w:rPr>
              <w:t xml:space="preserve"> · </w:t>
            </w:r>
            <w:hyperlink r:id="rId38">
              <w:r>
                <w:rPr>
                  <w:color w:val="0563C1"/>
                  <w:u w:val="single"/>
                </w:rPr>
                <w:t xml:space="preserve">Würzburg</w:t>
              </w:r>
            </w:hyperlink>
          </w:p>
        </w:tc>
        <w:tc>
          <w:tcPr>
            <w:tcW w:type="dxa" w:w="2987"/>
          </w:tcPr>
          <w:p>
            <w:pPr>
              <w:spacing w:after="0"/>
            </w:pPr>
            <w:r>
              <w:rPr>
                <w:sz w:val="19"/>
              </w:rPr>
              <w:t>Honigtage sind sonnig und regenfrei</w:t>
            </w:r>
          </w:p>
        </w:tc>
        <w:tc>
          <w:tcPr>
            <w:tcW w:type="dxa" w:w="1464"/>
          </w:tcPr>
          <w:p>
            <w:pPr>
              <w:spacing w:after="0"/>
            </w:pPr>
            <w:r>
              <w:rPr>
                <w:sz w:val="19"/>
              </w:rPr>
              <w:t>4.5</w:t>
            </w:r>
          </w:p>
        </w:tc>
      </w:tr>
    </w:tbl>
    <w:p>
      <w:pPr>
        <w:spacing w:after="0" w:line="20" w:lineRule="exact"/>
      </w:pPr>
    </w:p>
    <w:p>
      <w:pPr>
        <w:pStyle w:val="Heading2"/>
      </w:pPr>
      <w:r>
        <w:t>8.6 Azure-Konfiguration (Ist-Stand 02.10.2026, zum Nachschlagen)</w:t>
      </w:r>
    </w:p>
    <w:p>
      <w:pPr>
        <w:spacing w:after="0" w:line="20" w:lineRule="exact"/>
      </w:pPr>
    </w:p>
    <w:p>
      <w:r>
        <w:rPr>
          <w:b/>
        </w:rPr>
        <w:t>Ressourcen</w:t>
      </w:r>
    </w:p>
    <w:tbl>
      <w:tblPr>
        <w:tblStyle w:val="TableGrid"/>
        <w:tblW w:type="auto" w:w="0"/>
        <w:jc w:val="center"/>
        <w:tblLayout w:type="fixed"/>
        <w:tblLook w:firstColumn="1" w:firstRow="1" w:lastColumn="0" w:lastRow="0" w:noHBand="0" w:noVBand="1" w:val="04A0"/>
      </w:tblPr>
      <w:tblGrid>
        <w:gridCol w:w="2535"/>
        <w:gridCol w:w="2707"/>
        <w:gridCol w:w="3029"/>
        <w:gridCol w:w="1140"/>
      </w:tblGrid>
      <w:tr>
        <w:trPr>
          <w:tblHeader/>
        </w:trPr>
        <w:tc>
          <w:tcPr>
            <w:tcW w:type="dxa" w:w="2535"/>
            <w:shd w:val="clear" w:color="auto" w:fill="D9E2F3"/>
          </w:tcPr>
          <w:p>
            <w:pPr>
              <w:spacing w:after="0"/>
            </w:pPr>
            <w:r>
              <w:rPr>
                <w:b/>
                <w:sz w:val="19"/>
              </w:rPr>
              <w:t>Ressource</w:t>
            </w:r>
          </w:p>
        </w:tc>
        <w:tc>
          <w:tcPr>
            <w:tcW w:type="dxa" w:w="2707"/>
            <w:shd w:val="clear" w:color="auto" w:fill="D9E2F3"/>
          </w:tcPr>
          <w:p>
            <w:pPr>
              <w:spacing w:after="0"/>
            </w:pPr>
            <w:r>
              <w:rPr>
                <w:b/>
                <w:sz w:val="19"/>
              </w:rPr>
              <w:t>Name</w:t>
            </w:r>
          </w:p>
        </w:tc>
        <w:tc>
          <w:tcPr>
            <w:tcW w:type="dxa" w:w="3029"/>
            <w:shd w:val="clear" w:color="auto" w:fill="D9E2F3"/>
          </w:tcPr>
          <w:p>
            <w:pPr>
              <w:spacing w:after="0"/>
            </w:pPr>
            <w:r>
              <w:rPr>
                <w:b/>
                <w:sz w:val="19"/>
              </w:rPr>
              <w:t>Einstellungen</w:t>
            </w:r>
          </w:p>
        </w:tc>
        <w:tc>
          <w:tcPr>
            <w:tcW w:type="dxa" w:w="1140"/>
            <w:shd w:val="clear" w:color="auto" w:fill="D9E2F3"/>
          </w:tcPr>
          <w:p>
            <w:pPr>
              <w:spacing w:after="0"/>
            </w:pPr>
            <w:r>
              <w:rPr>
                <w:b/>
                <w:sz w:val="19"/>
              </w:rPr>
              <w:t>Schritt</w:t>
            </w:r>
          </w:p>
        </w:tc>
      </w:tr>
      <w:tr>
        <w:trPr/>
        <w:tc>
          <w:tcPr>
            <w:tcW w:type="dxa" w:w="2535"/>
          </w:tcPr>
          <w:p>
            <w:pPr>
              <w:spacing w:after="0"/>
            </w:pPr>
            <w:r>
              <w:rPr>
                <w:sz w:val="19"/>
              </w:rPr>
              <w:t>Resource Group (Ressourcengruppe)</w:t>
            </w:r>
          </w:p>
        </w:tc>
        <w:tc>
          <w:tcPr>
            <w:tcW w:type="dxa" w:w="2707"/>
          </w:tcPr>
          <w:p>
            <w:pPr>
              <w:spacing w:after="0"/>
            </w:pPr>
            <w:r>
              <w:rPr>
                <w:rFonts w:ascii="Courier New" w:hAnsi="Courier New"/>
                <w:sz w:val="17"/>
              </w:rPr>
              <w:t>rg-beehaven-dev-gwc</w:t>
            </w:r>
          </w:p>
        </w:tc>
        <w:tc>
          <w:tcPr>
            <w:tcW w:type="dxa" w:w="3029"/>
          </w:tcPr>
          <w:p>
            <w:pPr>
              <w:spacing w:after="0"/>
            </w:pPr>
            <w:r>
              <w:rPr>
                <w:sz w:val="19"/>
              </w:rPr>
              <w:t>Germany West Central; Tags projekt, umgebung, verantwortlich (Rolle), zweck</w:t>
            </w:r>
          </w:p>
        </w:tc>
        <w:tc>
          <w:tcPr>
            <w:tcW w:type="dxa" w:w="1140"/>
          </w:tcPr>
          <w:p>
            <w:pPr>
              <w:spacing w:after="0"/>
            </w:pPr>
            <w:r>
              <w:rPr>
                <w:sz w:val="19"/>
              </w:rPr>
              <w:t>1.2</w:t>
            </w:r>
          </w:p>
        </w:tc>
      </w:tr>
      <w:tr>
        <w:trPr/>
        <w:tc>
          <w:tcPr>
            <w:tcW w:type="dxa" w:w="2535"/>
          </w:tcPr>
          <w:p>
            <w:pPr>
              <w:spacing w:after="0"/>
            </w:pPr>
            <w:r>
              <w:rPr>
                <w:sz w:val="19"/>
              </w:rPr>
              <w:t>Storage Account (Speicherkonto), Quelle</w:t>
            </w:r>
          </w:p>
        </w:tc>
        <w:tc>
          <w:tcPr>
            <w:tcW w:type="dxa" w:w="2707"/>
          </w:tcPr>
          <w:p>
            <w:pPr>
              <w:spacing w:after="0"/>
            </w:pPr>
            <w:r>
              <w:rPr>
                <w:rFonts w:ascii="Courier New" w:hAnsi="Courier New"/>
                <w:sz w:val="17"/>
              </w:rPr>
              <w:t>mabeehavenraw</w:t>
            </w:r>
          </w:p>
        </w:tc>
        <w:tc>
          <w:tcPr>
            <w:tcW w:type="dxa" w:w="3029"/>
          </w:tcPr>
          <w:p>
            <w:pPr>
              <w:spacing w:after="0"/>
            </w:pPr>
            <w:r>
              <w:rPr>
                <w:sz w:val="19"/>
              </w:rPr>
              <w:t xml:space="preserve">Blob, hierarchischer Namespace aus, Standard, LRS; Container </w:t>
            </w:r>
            <w:r>
              <w:rPr>
                <w:rFonts w:ascii="Courier New" w:hAnsi="Courier New"/>
                <w:sz w:val="17"/>
              </w:rPr>
              <w:t>source-data</w:t>
            </w:r>
            <w:r>
              <w:rPr>
                <w:sz w:val="19"/>
              </w:rPr>
              <w:t xml:space="preserve"> mit 4 CSV</w:t>
            </w:r>
          </w:p>
        </w:tc>
        <w:tc>
          <w:tcPr>
            <w:tcW w:type="dxa" w:w="1140"/>
          </w:tcPr>
          <w:p>
            <w:pPr>
              <w:spacing w:after="0"/>
            </w:pPr>
            <w:r>
              <w:rPr>
                <w:sz w:val="19"/>
              </w:rPr>
              <w:t>1.3</w:t>
            </w:r>
          </w:p>
        </w:tc>
      </w:tr>
      <w:tr>
        <w:trPr/>
        <w:tc>
          <w:tcPr>
            <w:tcW w:type="dxa" w:w="2535"/>
          </w:tcPr>
          <w:p>
            <w:pPr>
              <w:spacing w:after="0"/>
            </w:pPr>
            <w:r>
              <w:rPr>
                <w:sz w:val="19"/>
              </w:rPr>
              <w:t>Storage Account, Data Lake Gen2</w:t>
            </w:r>
          </w:p>
        </w:tc>
        <w:tc>
          <w:tcPr>
            <w:tcW w:type="dxa" w:w="2707"/>
          </w:tcPr>
          <w:p>
            <w:pPr>
              <w:spacing w:after="0"/>
            </w:pPr>
            <w:r>
              <w:rPr>
                <w:rFonts w:ascii="Courier New" w:hAnsi="Courier New"/>
                <w:sz w:val="17"/>
              </w:rPr>
              <w:t>mabeehavenlakehouse</w:t>
            </w:r>
          </w:p>
        </w:tc>
        <w:tc>
          <w:tcPr>
            <w:tcW w:type="dxa" w:w="3029"/>
          </w:tcPr>
          <w:p>
            <w:pPr>
              <w:spacing w:after="0"/>
            </w:pPr>
            <w:r>
              <w:rPr>
                <w:sz w:val="19"/>
              </w:rPr>
              <w:t xml:space="preserve">StorageV2, Standard, LRS, Hot, hierarchischer Namespace an; Container </w:t>
            </w:r>
            <w:r>
              <w:rPr>
                <w:rFonts w:ascii="Courier New" w:hAnsi="Courier New"/>
                <w:sz w:val="17"/>
              </w:rPr>
              <w:t>lakehouse</w:t>
            </w:r>
          </w:p>
        </w:tc>
        <w:tc>
          <w:tcPr>
            <w:tcW w:type="dxa" w:w="1140"/>
          </w:tcPr>
          <w:p>
            <w:pPr>
              <w:spacing w:after="0"/>
            </w:pPr>
            <w:r>
              <w:rPr>
                <w:sz w:val="19"/>
              </w:rPr>
              <w:t>1.3, 1.4</w:t>
            </w:r>
          </w:p>
        </w:tc>
      </w:tr>
      <w:tr>
        <w:trPr/>
        <w:tc>
          <w:tcPr>
            <w:tcW w:type="dxa" w:w="2535"/>
          </w:tcPr>
          <w:p>
            <w:pPr>
              <w:spacing w:after="0"/>
            </w:pPr>
            <w:r>
              <w:rPr>
                <w:sz w:val="19"/>
              </w:rPr>
              <w:t>Data Factory</w:t>
            </w:r>
          </w:p>
        </w:tc>
        <w:tc>
          <w:tcPr>
            <w:tcW w:type="dxa" w:w="2707"/>
          </w:tcPr>
          <w:p>
            <w:pPr>
              <w:spacing w:after="0"/>
            </w:pPr>
            <w:r>
              <w:rPr>
                <w:rFonts w:ascii="Courier New" w:hAnsi="Courier New"/>
                <w:sz w:val="17"/>
              </w:rPr>
              <w:t>adf-beehaven-dev-gwc</w:t>
            </w:r>
          </w:p>
        </w:tc>
        <w:tc>
          <w:tcPr>
            <w:tcW w:type="dxa" w:w="3029"/>
          </w:tcPr>
          <w:p>
            <w:pPr>
              <w:spacing w:after="0"/>
            </w:pPr>
            <w:r>
              <w:rPr>
                <w:sz w:val="19"/>
              </w:rPr>
              <w:t>V2, Germany West Central, Git später, verwaltete Identität</w:t>
            </w:r>
          </w:p>
        </w:tc>
        <w:tc>
          <w:tcPr>
            <w:tcW w:type="dxa" w:w="1140"/>
          </w:tcPr>
          <w:p>
            <w:pPr>
              <w:spacing w:after="0"/>
            </w:pPr>
            <w:r>
              <w:rPr>
                <w:sz w:val="19"/>
              </w:rPr>
              <w:t>1.5</w:t>
            </w:r>
          </w:p>
        </w:tc>
      </w:tr>
      <w:tr>
        <w:trPr/>
        <w:tc>
          <w:tcPr>
            <w:tcW w:type="dxa" w:w="2535"/>
          </w:tcPr>
          <w:p>
            <w:pPr>
              <w:spacing w:after="0"/>
            </w:pPr>
            <w:r>
              <w:rPr>
                <w:sz w:val="19"/>
              </w:rPr>
              <w:t>Rollen der verwalteten Identität</w:t>
            </w:r>
          </w:p>
        </w:tc>
        <w:tc>
          <w:tcPr>
            <w:tcW w:type="dxa" w:w="2707"/>
          </w:tcPr>
          <w:p>
            <w:pPr>
              <w:spacing w:after="0"/>
            </w:pPr>
            <w:r>
              <w:rPr>
                <w:sz w:val="19"/>
              </w:rPr>
              <w:t>–</w:t>
            </w:r>
          </w:p>
        </w:tc>
        <w:tc>
          <w:tcPr>
            <w:tcW w:type="dxa" w:w="3029"/>
          </w:tcPr>
          <w:p>
            <w:pPr>
              <w:spacing w:after="0"/>
            </w:pPr>
            <w:r>
              <w:rPr>
                <w:rFonts w:ascii="Courier New" w:hAnsi="Courier New"/>
                <w:sz w:val="17"/>
              </w:rPr>
              <w:t>mabeehavenraw</w:t>
            </w:r>
            <w:r>
              <w:rPr>
                <w:sz w:val="19"/>
              </w:rPr>
              <w:t xml:space="preserve">: Storage-Blobdatenleser · </w:t>
            </w:r>
            <w:r>
              <w:rPr>
                <w:rFonts w:ascii="Courier New" w:hAnsi="Courier New"/>
                <w:sz w:val="17"/>
              </w:rPr>
              <w:t>mabeehavenlakehouse</w:t>
            </w:r>
            <w:r>
              <w:rPr>
                <w:sz w:val="19"/>
              </w:rPr>
              <w:t>: Mitwirkender an Storage-Blobdaten</w:t>
            </w:r>
          </w:p>
        </w:tc>
        <w:tc>
          <w:tcPr>
            <w:tcW w:type="dxa" w:w="1140"/>
          </w:tcPr>
          <w:p>
            <w:pPr>
              <w:spacing w:after="0"/>
            </w:pPr>
            <w:r>
              <w:rPr>
                <w:sz w:val="19"/>
              </w:rPr>
              <w:t>1.5</w:t>
            </w:r>
          </w:p>
        </w:tc>
      </w:tr>
      <w:tr>
        <w:trPr/>
        <w:tc>
          <w:tcPr>
            <w:tcW w:type="dxa" w:w="2535"/>
          </w:tcPr>
          <w:p>
            <w:pPr>
              <w:spacing w:after="0"/>
            </w:pPr>
            <w:r>
              <w:rPr>
                <w:sz w:val="19"/>
              </w:rPr>
              <w:t>Linked Services (verknüpfte Dienste)</w:t>
            </w:r>
          </w:p>
        </w:tc>
        <w:tc>
          <w:tcPr>
            <w:tcW w:type="dxa" w:w="2707"/>
          </w:tcPr>
          <w:p>
            <w:pPr>
              <w:spacing w:after="0"/>
            </w:pPr>
            <w:r>
              <w:rPr>
                <w:rFonts w:ascii="Courier New" w:hAnsi="Courier New"/>
                <w:sz w:val="17"/>
              </w:rPr>
              <w:t>ls_blob_mabeehavenraw</w:t>
            </w:r>
            <w:r>
              <w:rPr>
                <w:sz w:val="19"/>
              </w:rPr>
              <w:t xml:space="preserve">, </w:t>
            </w:r>
            <w:r>
              <w:rPr>
                <w:rFonts w:ascii="Courier New" w:hAnsi="Courier New"/>
                <w:sz w:val="17"/>
              </w:rPr>
              <w:t>ls_adls_mabeehavenlakehouse</w:t>
            </w:r>
            <w:r>
              <w:rPr>
                <w:sz w:val="19"/>
              </w:rPr>
              <w:t xml:space="preserve">, </w:t>
            </w:r>
            <w:r>
              <w:rPr>
                <w:rFonts w:ascii="Courier New" w:hAnsi="Courier New"/>
                <w:sz w:val="17"/>
              </w:rPr>
              <w:t>ls_synapse_beehaven</w:t>
            </w:r>
          </w:p>
        </w:tc>
        <w:tc>
          <w:tcPr>
            <w:tcW w:type="dxa" w:w="3029"/>
          </w:tcPr>
          <w:p>
            <w:pPr>
              <w:spacing w:after="0"/>
            </w:pPr>
            <w:r>
              <w:rPr>
                <w:sz w:val="19"/>
              </w:rPr>
              <w:t>Blob, ADLS Gen2 bzw. Azure Synapse Analytics (Artifacts); Anmeldung über verwaltete Identität</w:t>
            </w:r>
          </w:p>
        </w:tc>
        <w:tc>
          <w:tcPr>
            <w:tcW w:type="dxa" w:w="1140"/>
          </w:tcPr>
          <w:p>
            <w:pPr>
              <w:spacing w:after="0"/>
            </w:pPr>
            <w:r>
              <w:rPr>
                <w:sz w:val="19"/>
              </w:rPr>
              <w:t>1.6, 5.9</w:t>
            </w:r>
          </w:p>
        </w:tc>
      </w:tr>
      <w:tr>
        <w:trPr/>
        <w:tc>
          <w:tcPr>
            <w:tcW w:type="dxa" w:w="2535"/>
          </w:tcPr>
          <w:p>
            <w:pPr>
              <w:spacing w:after="0"/>
            </w:pPr>
            <w:r>
              <w:rPr>
                <w:sz w:val="19"/>
              </w:rPr>
              <w:t>Synapse-Arbeitsbereich, Spark-Pool</w:t>
            </w:r>
          </w:p>
        </w:tc>
        <w:tc>
          <w:tcPr>
            <w:tcW w:type="dxa" w:w="2707"/>
          </w:tcPr>
          <w:p>
            <w:pPr>
              <w:spacing w:after="0"/>
            </w:pPr>
            <w:r>
              <w:rPr>
                <w:rFonts w:ascii="Courier New" w:hAnsi="Courier New"/>
                <w:sz w:val="17"/>
              </w:rPr>
              <w:t>syn-beehaven-dev-gwc</w:t>
            </w:r>
            <w:r>
              <w:rPr>
                <w:sz w:val="19"/>
              </w:rPr>
              <w:t xml:space="preserve">, </w:t>
            </w:r>
            <w:r>
              <w:rPr>
                <w:rFonts w:ascii="Courier New" w:hAnsi="Courier New"/>
                <w:sz w:val="17"/>
              </w:rPr>
              <w:t>sparkbeehaven</w:t>
            </w:r>
          </w:p>
        </w:tc>
        <w:tc>
          <w:tcPr>
            <w:tcW w:type="dxa" w:w="3029"/>
          </w:tcPr>
          <w:p>
            <w:pPr>
              <w:spacing w:after="0"/>
            </w:pPr>
            <w:r>
              <w:rPr>
                <w:sz w:val="19"/>
              </w:rPr>
              <w:t>Small, 3 Knoten, Auto-Pause 5 Min.; Identität des Arbeitsbereichs: Mitwirkender an Storage-Blobdaten</w:t>
            </w:r>
          </w:p>
        </w:tc>
        <w:tc>
          <w:tcPr>
            <w:tcW w:type="dxa" w:w="1140"/>
          </w:tcPr>
          <w:p>
            <w:pPr>
              <w:spacing w:after="0"/>
            </w:pPr>
            <w:r>
              <w:rPr>
                <w:sz w:val="19"/>
              </w:rPr>
              <w:t>5.9</w:t>
            </w:r>
          </w:p>
        </w:tc>
      </w:tr>
      <w:tr>
        <w:trPr/>
        <w:tc>
          <w:tcPr>
            <w:tcW w:type="dxa" w:w="2535"/>
          </w:tcPr>
          <w:p>
            <w:pPr>
              <w:spacing w:after="0"/>
            </w:pPr>
            <w:r>
              <w:rPr>
                <w:sz w:val="19"/>
              </w:rPr>
              <w:t>Synapse-Rollen der Data Factory</w:t>
            </w:r>
          </w:p>
        </w:tc>
        <w:tc>
          <w:tcPr>
            <w:tcW w:type="dxa" w:w="2707"/>
          </w:tcPr>
          <w:p>
            <w:pPr>
              <w:spacing w:after="0"/>
            </w:pPr>
            <w:r>
              <w:rPr>
                <w:rFonts w:ascii="Courier New" w:hAnsi="Courier New"/>
                <w:sz w:val="17"/>
              </w:rPr>
              <w:t>adf-beehaven-dev-gwc</w:t>
            </w:r>
          </w:p>
        </w:tc>
        <w:tc>
          <w:tcPr>
            <w:tcW w:type="dxa" w:w="3029"/>
          </w:tcPr>
          <w:p>
            <w:pPr>
              <w:spacing w:after="0"/>
            </w:pPr>
            <w:r>
              <w:rPr>
                <w:sz w:val="19"/>
              </w:rPr>
              <w:t>Synapse Compute Operator, Synapse Artifact User, Synapse Credential User (Bereich Arbeitsbereich)</w:t>
            </w:r>
          </w:p>
        </w:tc>
        <w:tc>
          <w:tcPr>
            <w:tcW w:type="dxa" w:w="1140"/>
          </w:tcPr>
          <w:p>
            <w:pPr>
              <w:spacing w:after="0"/>
            </w:pPr>
            <w:r>
              <w:rPr>
                <w:sz w:val="19"/>
              </w:rPr>
              <w:t>5.9</w:t>
            </w:r>
          </w:p>
        </w:tc>
      </w:tr>
    </w:tbl>
    <w:p>
      <w:pPr>
        <w:spacing w:after="0" w:line="20" w:lineRule="exact"/>
      </w:pPr>
    </w:p>
    <w:p>
      <w:r>
        <w:rPr>
          <w:b/>
        </w:rPr>
        <w:t>Datasets (Datensätze)</w:t>
      </w:r>
    </w:p>
    <w:tbl>
      <w:tblPr>
        <w:tblStyle w:val="TableGrid"/>
        <w:tblW w:type="auto" w:w="0"/>
        <w:jc w:val="center"/>
        <w:tblLayout w:type="fixed"/>
        <w:tblLook w:firstColumn="1" w:firstRow="1" w:lastColumn="0" w:lastRow="0" w:noHBand="0" w:noVBand="1" w:val="04A0"/>
      </w:tblPr>
      <w:tblGrid>
        <w:gridCol w:w="2656"/>
        <w:gridCol w:w="2656"/>
        <w:gridCol w:w="2079"/>
        <w:gridCol w:w="2020"/>
      </w:tblGrid>
      <w:tr>
        <w:trPr>
          <w:tblHeader/>
        </w:trPr>
        <w:tc>
          <w:tcPr>
            <w:tcW w:type="dxa" w:w="2656"/>
            <w:shd w:val="clear" w:color="auto" w:fill="D9E2F3"/>
          </w:tcPr>
          <w:p>
            <w:pPr>
              <w:spacing w:after="0"/>
            </w:pPr>
            <w:r>
              <w:rPr>
                <w:b/>
                <w:sz w:val="19"/>
              </w:rPr>
              <w:t>Name</w:t>
            </w:r>
          </w:p>
        </w:tc>
        <w:tc>
          <w:tcPr>
            <w:tcW w:type="dxa" w:w="2656"/>
            <w:shd w:val="clear" w:color="auto" w:fill="D9E2F3"/>
          </w:tcPr>
          <w:p>
            <w:pPr>
              <w:spacing w:after="0"/>
            </w:pPr>
            <w:r>
              <w:rPr>
                <w:b/>
                <w:sz w:val="19"/>
              </w:rPr>
              <w:t>Speicher / Ordner</w:t>
            </w:r>
          </w:p>
        </w:tc>
        <w:tc>
          <w:tcPr>
            <w:tcW w:type="dxa" w:w="2079"/>
            <w:shd w:val="clear" w:color="auto" w:fill="D9E2F3"/>
          </w:tcPr>
          <w:p>
            <w:pPr>
              <w:spacing w:after="0"/>
            </w:pPr>
            <w:r>
              <w:rPr>
                <w:b/>
                <w:sz w:val="19"/>
              </w:rPr>
              <w:t>Format</w:t>
            </w:r>
          </w:p>
        </w:tc>
        <w:tc>
          <w:tcPr>
            <w:tcW w:type="dxa" w:w="2020"/>
            <w:shd w:val="clear" w:color="auto" w:fill="D9E2F3"/>
          </w:tcPr>
          <w:p>
            <w:pPr>
              <w:spacing w:after="0"/>
            </w:pPr>
            <w:r>
              <w:rPr>
                <w:b/>
                <w:sz w:val="19"/>
              </w:rPr>
              <w:t>Parameter</w:t>
            </w:r>
          </w:p>
        </w:tc>
      </w:tr>
      <w:tr>
        <w:trPr/>
        <w:tc>
          <w:tcPr>
            <w:tcW w:type="dxa" w:w="2656"/>
          </w:tcPr>
          <w:p>
            <w:pPr>
              <w:spacing w:after="0"/>
            </w:pPr>
            <w:r>
              <w:rPr>
                <w:rFonts w:ascii="Courier New" w:hAnsi="Courier New"/>
                <w:sz w:val="17"/>
              </w:rPr>
              <w:t>ds_raw_sourcedata_bin</w:t>
            </w:r>
          </w:p>
        </w:tc>
        <w:tc>
          <w:tcPr>
            <w:tcW w:type="dxa" w:w="2656"/>
          </w:tcPr>
          <w:p>
            <w:pPr>
              <w:spacing w:after="0"/>
            </w:pPr>
            <w:r>
              <w:rPr>
                <w:rFonts w:ascii="Courier New" w:hAnsi="Courier New"/>
                <w:sz w:val="17"/>
              </w:rPr>
              <w:t>mabeehavenraw/source-data</w:t>
            </w:r>
          </w:p>
        </w:tc>
        <w:tc>
          <w:tcPr>
            <w:tcW w:type="dxa" w:w="2079"/>
          </w:tcPr>
          <w:p>
            <w:pPr>
              <w:spacing w:after="0"/>
            </w:pPr>
            <w:r>
              <w:rPr>
                <w:sz w:val="19"/>
              </w:rPr>
              <w:t>Binär</w:t>
            </w:r>
          </w:p>
        </w:tc>
        <w:tc>
          <w:tcPr>
            <w:tcW w:type="dxa" w:w="2020"/>
          </w:tcPr>
          <w:p>
            <w:pPr>
              <w:spacing w:after="0"/>
            </w:pPr>
            <w:r>
              <w:rPr>
                <w:sz w:val="19"/>
              </w:rPr>
              <w:t>–</w:t>
            </w:r>
          </w:p>
        </w:tc>
      </w:tr>
      <w:tr>
        <w:trPr/>
        <w:tc>
          <w:tcPr>
            <w:tcW w:type="dxa" w:w="2656"/>
          </w:tcPr>
          <w:p>
            <w:pPr>
              <w:spacing w:after="0"/>
            </w:pPr>
            <w:r>
              <w:rPr>
                <w:rFonts w:ascii="Courier New" w:hAnsi="Courier New"/>
                <w:sz w:val="17"/>
              </w:rPr>
              <w:t>ds_lake_bronze_new_bin</w:t>
            </w:r>
          </w:p>
        </w:tc>
        <w:tc>
          <w:tcPr>
            <w:tcW w:type="dxa" w:w="2656"/>
          </w:tcPr>
          <w:p>
            <w:pPr>
              <w:spacing w:after="0"/>
            </w:pPr>
            <w:r>
              <w:rPr>
                <w:rFonts w:ascii="Courier New" w:hAnsi="Courier New"/>
                <w:sz w:val="17"/>
              </w:rPr>
              <w:t>lakehouse/bronze/new</w:t>
            </w:r>
            <w:r>
              <w:rPr>
                <w:sz w:val="19"/>
              </w:rPr>
              <w:t xml:space="preserve"> (Ordner)</w:t>
            </w:r>
          </w:p>
        </w:tc>
        <w:tc>
          <w:tcPr>
            <w:tcW w:type="dxa" w:w="2079"/>
          </w:tcPr>
          <w:p>
            <w:pPr>
              <w:spacing w:after="0"/>
            </w:pPr>
            <w:r>
              <w:rPr>
                <w:sz w:val="19"/>
              </w:rPr>
              <w:t>Binär</w:t>
            </w:r>
          </w:p>
        </w:tc>
        <w:tc>
          <w:tcPr>
            <w:tcW w:type="dxa" w:w="2020"/>
          </w:tcPr>
          <w:p>
            <w:pPr>
              <w:spacing w:after="0"/>
            </w:pPr>
            <w:r>
              <w:rPr>
                <w:sz w:val="19"/>
              </w:rPr>
              <w:t>–</w:t>
            </w:r>
          </w:p>
        </w:tc>
      </w:tr>
      <w:tr>
        <w:trPr/>
        <w:tc>
          <w:tcPr>
            <w:tcW w:type="dxa" w:w="2656"/>
          </w:tcPr>
          <w:p>
            <w:pPr>
              <w:spacing w:after="0"/>
            </w:pPr>
            <w:r>
              <w:rPr>
                <w:rFonts w:ascii="Courier New" w:hAnsi="Courier New"/>
                <w:sz w:val="17"/>
              </w:rPr>
              <w:t>ds_lake_bronze_new_file_bin</w:t>
            </w:r>
          </w:p>
        </w:tc>
        <w:tc>
          <w:tcPr>
            <w:tcW w:type="dxa" w:w="2656"/>
          </w:tcPr>
          <w:p>
            <w:pPr>
              <w:spacing w:after="0"/>
            </w:pPr>
            <w:r>
              <w:rPr>
                <w:rFonts w:ascii="Courier New" w:hAnsi="Courier New"/>
                <w:sz w:val="17"/>
              </w:rPr>
              <w:t>lakehouse/bronze/new</w:t>
            </w:r>
            <w:r>
              <w:rPr>
                <w:sz w:val="19"/>
              </w:rPr>
              <w:t xml:space="preserve"> (Datei)</w:t>
            </w:r>
          </w:p>
        </w:tc>
        <w:tc>
          <w:tcPr>
            <w:tcW w:type="dxa" w:w="2079"/>
          </w:tcPr>
          <w:p>
            <w:pPr>
              <w:spacing w:after="0"/>
            </w:pPr>
            <w:r>
              <w:rPr>
                <w:sz w:val="19"/>
              </w:rPr>
              <w:t>Binär</w:t>
            </w:r>
          </w:p>
        </w:tc>
        <w:tc>
          <w:tcPr>
            <w:tcW w:type="dxa" w:w="2020"/>
          </w:tcPr>
          <w:p>
            <w:pPr>
              <w:spacing w:after="0"/>
            </w:pPr>
            <w:r>
              <w:rPr>
                <w:rFonts w:ascii="Courier New" w:hAnsi="Courier New"/>
                <w:sz w:val="17"/>
              </w:rPr>
              <w:t>file_name</w:t>
            </w:r>
          </w:p>
        </w:tc>
      </w:tr>
      <w:tr>
        <w:trPr/>
        <w:tc>
          <w:tcPr>
            <w:tcW w:type="dxa" w:w="2656"/>
          </w:tcPr>
          <w:p>
            <w:pPr>
              <w:spacing w:after="0"/>
            </w:pPr>
            <w:r>
              <w:rPr>
                <w:rFonts w:ascii="Courier New" w:hAnsi="Courier New"/>
                <w:sz w:val="17"/>
              </w:rPr>
              <w:t>ds_lake_bronze_new_csv</w:t>
            </w:r>
          </w:p>
        </w:tc>
        <w:tc>
          <w:tcPr>
            <w:tcW w:type="dxa" w:w="2656"/>
          </w:tcPr>
          <w:p>
            <w:pPr>
              <w:spacing w:after="0"/>
            </w:pPr>
            <w:r>
              <w:rPr>
                <w:rFonts w:ascii="Courier New" w:hAnsi="Courier New"/>
                <w:sz w:val="17"/>
              </w:rPr>
              <w:t>lakehouse/bronze/new</w:t>
            </w:r>
          </w:p>
        </w:tc>
        <w:tc>
          <w:tcPr>
            <w:tcW w:type="dxa" w:w="2079"/>
          </w:tcPr>
          <w:p>
            <w:pPr>
              <w:spacing w:after="0"/>
            </w:pPr>
            <w:r>
              <w:rPr>
                <w:sz w:val="19"/>
              </w:rPr>
              <w:t>CSV, erste Zeile Überschrift</w:t>
            </w:r>
          </w:p>
        </w:tc>
        <w:tc>
          <w:tcPr>
            <w:tcW w:type="dxa" w:w="2020"/>
          </w:tcPr>
          <w:p>
            <w:pPr>
              <w:spacing w:after="0"/>
            </w:pPr>
            <w:r>
              <w:rPr>
                <w:rFonts w:ascii="Courier New" w:hAnsi="Courier New"/>
                <w:sz w:val="17"/>
              </w:rPr>
              <w:t>file_name</w:t>
            </w:r>
          </w:p>
        </w:tc>
      </w:tr>
      <w:tr>
        <w:trPr/>
        <w:tc>
          <w:tcPr>
            <w:tcW w:type="dxa" w:w="2656"/>
          </w:tcPr>
          <w:p>
            <w:pPr>
              <w:spacing w:after="0"/>
            </w:pPr>
            <w:r>
              <w:rPr>
                <w:rFonts w:ascii="Courier New" w:hAnsi="Courier New"/>
                <w:sz w:val="17"/>
              </w:rPr>
              <w:t>ds_lake_silver_csv</w:t>
            </w:r>
          </w:p>
        </w:tc>
        <w:tc>
          <w:tcPr>
            <w:tcW w:type="dxa" w:w="2656"/>
          </w:tcPr>
          <w:p>
            <w:pPr>
              <w:spacing w:after="0"/>
            </w:pPr>
            <w:r>
              <w:rPr>
                <w:rFonts w:ascii="Courier New" w:hAnsi="Courier New"/>
                <w:sz w:val="17"/>
              </w:rPr>
              <w:t>lakehouse/silver/&lt;folder_name&gt;</w:t>
            </w:r>
          </w:p>
        </w:tc>
        <w:tc>
          <w:tcPr>
            <w:tcW w:type="dxa" w:w="2079"/>
          </w:tcPr>
          <w:p>
            <w:pPr>
              <w:spacing w:after="0"/>
            </w:pPr>
            <w:r>
              <w:rPr>
                <w:sz w:val="19"/>
              </w:rPr>
              <w:t>CSV, erste Zeile Überschrift</w:t>
            </w:r>
          </w:p>
        </w:tc>
        <w:tc>
          <w:tcPr>
            <w:tcW w:type="dxa" w:w="2020"/>
          </w:tcPr>
          <w:p>
            <w:pPr>
              <w:spacing w:after="0"/>
            </w:pPr>
            <w:r>
              <w:rPr>
                <w:rFonts w:ascii="Courier New" w:hAnsi="Courier New"/>
                <w:sz w:val="17"/>
              </w:rPr>
              <w:t>folder_name</w:t>
            </w:r>
            <w:r>
              <w:rPr>
                <w:sz w:val="19"/>
              </w:rPr>
              <w:t xml:space="preserve">, </w:t>
            </w:r>
            <w:r>
              <w:rPr>
                <w:rFonts w:ascii="Courier New" w:hAnsi="Courier New"/>
                <w:sz w:val="17"/>
              </w:rPr>
              <w:t>file_name</w:t>
            </w:r>
          </w:p>
        </w:tc>
      </w:tr>
      <w:tr>
        <w:trPr/>
        <w:tc>
          <w:tcPr>
            <w:tcW w:type="dxa" w:w="2656"/>
          </w:tcPr>
          <w:p>
            <w:pPr>
              <w:spacing w:after="0"/>
            </w:pPr>
            <w:r>
              <w:rPr>
                <w:rFonts w:ascii="Courier New" w:hAnsi="Courier New"/>
                <w:sz w:val="17"/>
              </w:rPr>
              <w:t>ds_lake_bronze_archive_bin</w:t>
            </w:r>
          </w:p>
        </w:tc>
        <w:tc>
          <w:tcPr>
            <w:tcW w:type="dxa" w:w="2656"/>
          </w:tcPr>
          <w:p>
            <w:pPr>
              <w:spacing w:after="0"/>
            </w:pPr>
            <w:r>
              <w:rPr>
                <w:rFonts w:ascii="Courier New" w:hAnsi="Courier New"/>
                <w:sz w:val="17"/>
              </w:rPr>
              <w:t>lakehouse/bronze/archive/&lt;folder_name&gt;</w:t>
            </w:r>
          </w:p>
        </w:tc>
        <w:tc>
          <w:tcPr>
            <w:tcW w:type="dxa" w:w="2079"/>
          </w:tcPr>
          <w:p>
            <w:pPr>
              <w:spacing w:after="0"/>
            </w:pPr>
            <w:r>
              <w:rPr>
                <w:sz w:val="19"/>
              </w:rPr>
              <w:t>Binär</w:t>
            </w:r>
          </w:p>
        </w:tc>
        <w:tc>
          <w:tcPr>
            <w:tcW w:type="dxa" w:w="2020"/>
          </w:tcPr>
          <w:p>
            <w:pPr>
              <w:spacing w:after="0"/>
            </w:pPr>
            <w:r>
              <w:rPr>
                <w:rFonts w:ascii="Courier New" w:hAnsi="Courier New"/>
                <w:sz w:val="17"/>
              </w:rPr>
              <w:t>folder_name</w:t>
            </w:r>
            <w:r>
              <w:rPr>
                <w:sz w:val="19"/>
              </w:rPr>
              <w:t xml:space="preserve">, </w:t>
            </w:r>
            <w:r>
              <w:rPr>
                <w:rFonts w:ascii="Courier New" w:hAnsi="Courier New"/>
                <w:sz w:val="17"/>
              </w:rPr>
              <w:t>file_name</w:t>
            </w:r>
          </w:p>
        </w:tc>
      </w:tr>
      <w:tr>
        <w:trPr/>
        <w:tc>
          <w:tcPr>
            <w:tcW w:type="dxa" w:w="2656"/>
          </w:tcPr>
          <w:p>
            <w:pPr>
              <w:spacing w:after="0"/>
            </w:pPr>
            <w:r>
              <w:rPr>
                <w:rFonts w:ascii="Courier New" w:hAnsi="Courier New"/>
                <w:sz w:val="17"/>
              </w:rPr>
              <w:t>ds_lake_konfiguration_standorte_csv</w:t>
            </w:r>
          </w:p>
        </w:tc>
        <w:tc>
          <w:tcPr>
            <w:tcW w:type="dxa" w:w="2656"/>
          </w:tcPr>
          <w:p>
            <w:pPr>
              <w:spacing w:after="0"/>
            </w:pPr>
            <w:r>
              <w:rPr>
                <w:rFonts w:ascii="Courier New" w:hAnsi="Courier New"/>
                <w:sz w:val="17"/>
              </w:rPr>
              <w:t>lakehouse/konfiguration/standorte.csv</w:t>
            </w:r>
          </w:p>
        </w:tc>
        <w:tc>
          <w:tcPr>
            <w:tcW w:type="dxa" w:w="2079"/>
          </w:tcPr>
          <w:p>
            <w:pPr>
              <w:spacing w:after="0"/>
            </w:pPr>
            <w:r>
              <w:rPr>
                <w:sz w:val="19"/>
              </w:rPr>
              <w:t>CSV, erste Zeile Überschrift</w:t>
            </w:r>
          </w:p>
        </w:tc>
        <w:tc>
          <w:tcPr>
            <w:tcW w:type="dxa" w:w="2020"/>
          </w:tcPr>
          <w:p>
            <w:pPr>
              <w:spacing w:after="0"/>
            </w:pPr>
            <w:r>
              <w:rPr>
                <w:sz w:val="19"/>
              </w:rPr>
              <w:t>–</w:t>
            </w:r>
          </w:p>
        </w:tc>
      </w:tr>
    </w:tbl>
    <w:p>
      <w:pPr>
        <w:spacing w:after="0" w:line="20" w:lineRule="exact"/>
      </w:pPr>
    </w:p>
    <w:p>
      <w:r>
        <w:rPr>
          <w:b/>
        </w:rPr>
        <w:t>Pipelines und wichtige Ausdrücke</w:t>
      </w:r>
    </w:p>
    <w:tbl>
      <w:tblPr>
        <w:tblStyle w:val="TableGrid"/>
        <w:tblW w:type="auto" w:w="0"/>
        <w:jc w:val="center"/>
        <w:tblLayout w:type="fixed"/>
        <w:tblLook w:firstColumn="1" w:firstRow="1" w:lastColumn="0" w:lastRow="0" w:noHBand="0" w:noVBand="1" w:val="04A0"/>
      </w:tblPr>
      <w:tblGrid>
        <w:gridCol w:w="2477"/>
        <w:gridCol w:w="3016"/>
        <w:gridCol w:w="2804"/>
        <w:gridCol w:w="1114"/>
      </w:tblGrid>
      <w:tr>
        <w:trPr>
          <w:tblHeader/>
        </w:trPr>
        <w:tc>
          <w:tcPr>
            <w:tcW w:type="dxa" w:w="2477"/>
            <w:shd w:val="clear" w:color="auto" w:fill="D9E2F3"/>
          </w:tcPr>
          <w:p>
            <w:pPr>
              <w:spacing w:after="0"/>
            </w:pPr>
            <w:r>
              <w:rPr>
                <w:b/>
                <w:sz w:val="19"/>
              </w:rPr>
              <w:t>Pipeline</w:t>
            </w:r>
          </w:p>
        </w:tc>
        <w:tc>
          <w:tcPr>
            <w:tcW w:type="dxa" w:w="3016"/>
            <w:shd w:val="clear" w:color="auto" w:fill="D9E2F3"/>
          </w:tcPr>
          <w:p>
            <w:pPr>
              <w:spacing w:after="0"/>
            </w:pPr>
            <w:r>
              <w:rPr>
                <w:b/>
                <w:sz w:val="19"/>
              </w:rPr>
              <w:t>Aufbau</w:t>
            </w:r>
          </w:p>
        </w:tc>
        <w:tc>
          <w:tcPr>
            <w:tcW w:type="dxa" w:w="2804"/>
            <w:shd w:val="clear" w:color="auto" w:fill="D9E2F3"/>
          </w:tcPr>
          <w:p>
            <w:pPr>
              <w:spacing w:after="0"/>
            </w:pPr>
            <w:r>
              <w:rPr>
                <w:b/>
                <w:sz w:val="19"/>
              </w:rPr>
              <w:t>Ausdrücke</w:t>
            </w:r>
          </w:p>
        </w:tc>
        <w:tc>
          <w:tcPr>
            <w:tcW w:type="dxa" w:w="1114"/>
            <w:shd w:val="clear" w:color="auto" w:fill="D9E2F3"/>
          </w:tcPr>
          <w:p>
            <w:pPr>
              <w:spacing w:after="0"/>
            </w:pPr>
            <w:r>
              <w:rPr>
                <w:b/>
                <w:sz w:val="19"/>
              </w:rPr>
              <w:t>Schritt</w:t>
            </w:r>
          </w:p>
        </w:tc>
      </w:tr>
      <w:tr>
        <w:trPr/>
        <w:tc>
          <w:tcPr>
            <w:tcW w:type="dxa" w:w="2477"/>
          </w:tcPr>
          <w:p>
            <w:pPr>
              <w:spacing w:after="0"/>
            </w:pPr>
            <w:r>
              <w:rPr>
                <w:rFonts w:ascii="Courier New" w:hAnsi="Courier New"/>
                <w:sz w:val="17"/>
              </w:rPr>
              <w:t>pl_ingest_raw_to_bronze</w:t>
            </w:r>
          </w:p>
        </w:tc>
        <w:tc>
          <w:tcPr>
            <w:tcW w:type="dxa" w:w="3016"/>
          </w:tcPr>
          <w:p>
            <w:pPr>
              <w:spacing w:after="0"/>
            </w:pPr>
            <w:r>
              <w:rPr>
                <w:sz w:val="19"/>
              </w:rPr>
              <w:t>Get Metadata (</w:t>
            </w:r>
            <w:r>
              <w:rPr>
                <w:rFonts w:ascii="Courier New" w:hAnsi="Courier New"/>
                <w:sz w:val="17"/>
              </w:rPr>
              <w:t>childItems</w:t>
            </w:r>
            <w:r>
              <w:rPr>
                <w:sz w:val="19"/>
              </w:rPr>
              <w:t>) → ForEach → Copy binär</w:t>
            </w:r>
          </w:p>
        </w:tc>
        <w:tc>
          <w:tcPr>
            <w:tcW w:type="dxa" w:w="2804"/>
          </w:tcPr>
          <w:p>
            <w:pPr>
              <w:spacing w:after="0"/>
            </w:pPr>
            <w:r>
              <w:rPr>
                <w:sz w:val="19"/>
              </w:rPr>
              <w:t xml:space="preserve">Datei: </w:t>
            </w:r>
            <w:r>
              <w:rPr>
                <w:rFonts w:ascii="Courier New" w:hAnsi="Courier New"/>
                <w:sz w:val="17"/>
              </w:rPr>
              <w:t>@item().name</w:t>
            </w:r>
          </w:p>
        </w:tc>
        <w:tc>
          <w:tcPr>
            <w:tcW w:type="dxa" w:w="1114"/>
          </w:tcPr>
          <w:p>
            <w:pPr>
              <w:spacing w:after="0"/>
            </w:pPr>
            <w:r>
              <w:rPr>
                <w:sz w:val="19"/>
              </w:rPr>
              <w:t>1.7</w:t>
            </w:r>
          </w:p>
        </w:tc>
      </w:tr>
      <w:tr>
        <w:trPr/>
        <w:tc>
          <w:tcPr>
            <w:tcW w:type="dxa" w:w="2477"/>
          </w:tcPr>
          <w:p>
            <w:pPr>
              <w:spacing w:after="0"/>
            </w:pPr>
            <w:r>
              <w:rPr>
                <w:rFonts w:ascii="Courier New" w:hAnsi="Courier New"/>
                <w:sz w:val="17"/>
              </w:rPr>
              <w:t>pl_bronze_to_silver</w:t>
            </w:r>
          </w:p>
        </w:tc>
        <w:tc>
          <w:tcPr>
            <w:tcW w:type="dxa" w:w="3016"/>
          </w:tcPr>
          <w:p>
            <w:pPr>
              <w:spacing w:after="0"/>
            </w:pPr>
            <w:r>
              <w:rPr>
                <w:sz w:val="19"/>
              </w:rPr>
              <w:t xml:space="preserve">Get Metadata auf </w:t>
            </w:r>
            <w:r>
              <w:rPr>
                <w:rFonts w:ascii="Courier New" w:hAnsi="Courier New"/>
                <w:sz w:val="17"/>
              </w:rPr>
              <w:t>bronze/new</w:t>
            </w:r>
            <w:r>
              <w:rPr>
                <w:sz w:val="19"/>
              </w:rPr>
              <w:t xml:space="preserve"> → ForEach → Copy CSV → CSV → Notebook </w:t>
            </w:r>
            <w:r>
              <w:rPr>
                <w:rFonts w:ascii="Courier New" w:hAnsi="Courier New"/>
                <w:sz w:val="17"/>
              </w:rPr>
              <w:t>silver_automatisierung</w:t>
            </w:r>
            <w:r>
              <w:rPr>
                <w:sz w:val="19"/>
              </w:rPr>
              <w:t xml:space="preserve"> → bei Erfolg Delete </w:t>
            </w:r>
            <w:r>
              <w:rPr>
                <w:rFonts w:ascii="Courier New" w:hAnsi="Courier New"/>
                <w:sz w:val="17"/>
              </w:rPr>
              <w:t>processing_leeren</w:t>
            </w:r>
            <w:r>
              <w:rPr>
                <w:sz w:val="19"/>
              </w:rPr>
              <w:t xml:space="preserve"> (</w:t>
            </w:r>
            <w:r>
              <w:rPr>
                <w:rFonts w:ascii="Courier New" w:hAnsi="Courier New"/>
                <w:sz w:val="17"/>
              </w:rPr>
              <w:t>*.csv</w:t>
            </w:r>
            <w:r>
              <w:rPr>
                <w:sz w:val="19"/>
              </w:rPr>
              <w:t>, rekursiv)</w:t>
            </w:r>
          </w:p>
        </w:tc>
        <w:tc>
          <w:tcPr>
            <w:tcW w:type="dxa" w:w="2804"/>
          </w:tcPr>
          <w:p>
            <w:pPr>
              <w:spacing w:after="0"/>
            </w:pPr>
            <w:r>
              <w:rPr>
                <w:sz w:val="19"/>
              </w:rPr>
              <w:t xml:space="preserve">Ordner: </w:t>
            </w:r>
            <w:r>
              <w:rPr>
                <w:rFonts w:ascii="Courier New" w:hAnsi="Courier New"/>
                <w:sz w:val="17"/>
              </w:rPr>
              <w:t>@concat('processing/', split(split(item().name,'_')[1],'.')[0], '/', split(item().name,'_')[0])</w:t>
            </w:r>
            <w:r>
              <w:rPr>
                <w:sz w:val="19"/>
              </w:rPr>
              <w:t xml:space="preserve"> · Datei: </w:t>
            </w:r>
            <w:r>
              <w:rPr>
                <w:rFonts w:ascii="Courier New" w:hAnsi="Courier New"/>
                <w:sz w:val="17"/>
              </w:rPr>
              <w:t>@item().name</w:t>
            </w:r>
          </w:p>
        </w:tc>
        <w:tc>
          <w:tcPr>
            <w:tcW w:type="dxa" w:w="1114"/>
          </w:tcPr>
          <w:p>
            <w:pPr>
              <w:spacing w:after="0"/>
            </w:pPr>
            <w:r>
              <w:rPr>
                <w:sz w:val="19"/>
              </w:rPr>
              <w:t>1.8, 2.2</w:t>
            </w:r>
          </w:p>
        </w:tc>
      </w:tr>
      <w:tr>
        <w:trPr/>
        <w:tc>
          <w:tcPr>
            <w:tcW w:type="dxa" w:w="2477"/>
          </w:tcPr>
          <w:p>
            <w:pPr>
              <w:spacing w:after="0"/>
            </w:pPr>
            <w:r>
              <w:rPr>
                <w:rFonts w:ascii="Courier New" w:hAnsi="Courier New"/>
                <w:sz w:val="17"/>
              </w:rPr>
              <w:t>pl_bronze_new_to_archive</w:t>
            </w:r>
          </w:p>
        </w:tc>
        <w:tc>
          <w:tcPr>
            <w:tcW w:type="dxa" w:w="3016"/>
          </w:tcPr>
          <w:p>
            <w:pPr>
              <w:spacing w:after="0"/>
            </w:pPr>
            <w:r>
              <w:rPr>
                <w:sz w:val="19"/>
              </w:rPr>
              <w:t>Get Metadata → ForEach → Copy binär mit „Dateien nach Abschluss löschen“</w:t>
            </w:r>
          </w:p>
        </w:tc>
        <w:tc>
          <w:tcPr>
            <w:tcW w:type="dxa" w:w="2804"/>
          </w:tcPr>
          <w:p>
            <w:pPr>
              <w:spacing w:after="0"/>
            </w:pPr>
            <w:r>
              <w:rPr>
                <w:sz w:val="19"/>
              </w:rPr>
              <w:t xml:space="preserve">Ordner: </w:t>
            </w:r>
            <w:r>
              <w:rPr>
                <w:rFonts w:ascii="Courier New" w:hAnsi="Courier New"/>
                <w:sz w:val="17"/>
              </w:rPr>
              <w:t>@concat(replace(item().name, '.csv', ''), '_raw')</w:t>
            </w:r>
            <w:r>
              <w:rPr>
                <w:sz w:val="19"/>
              </w:rPr>
              <w:t xml:space="preserve"> · Datei mit UTC-Zeitstempel </w:t>
            </w:r>
            <w:r>
              <w:rPr>
                <w:rFonts w:ascii="Courier New" w:hAnsi="Courier New"/>
                <w:sz w:val="17"/>
              </w:rPr>
              <w:t>HHmmss</w:t>
            </w:r>
            <w:r>
              <w:rPr>
                <w:sz w:val="19"/>
              </w:rPr>
              <w:t xml:space="preserve"> und Endung </w:t>
            </w:r>
            <w:r>
              <w:rPr>
                <w:rFonts w:ascii="Courier New" w:hAnsi="Courier New"/>
                <w:sz w:val="17"/>
              </w:rPr>
              <w:t>_UTC.csv</w:t>
            </w:r>
          </w:p>
        </w:tc>
        <w:tc>
          <w:tcPr>
            <w:tcW w:type="dxa" w:w="1114"/>
          </w:tcPr>
          <w:p>
            <w:pPr>
              <w:spacing w:after="0"/>
            </w:pPr>
            <w:r>
              <w:rPr>
                <w:sz w:val="19"/>
              </w:rPr>
              <w:t>1.9</w:t>
            </w:r>
          </w:p>
        </w:tc>
      </w:tr>
      <w:tr>
        <w:trPr/>
        <w:tc>
          <w:tcPr>
            <w:tcW w:type="dxa" w:w="2477"/>
          </w:tcPr>
          <w:p>
            <w:pPr>
              <w:spacing w:after="0"/>
            </w:pPr>
            <w:r>
              <w:rPr>
                <w:rFonts w:ascii="Courier New" w:hAnsi="Courier New"/>
                <w:sz w:val="17"/>
              </w:rPr>
              <w:t>pl_daily_processing</w:t>
            </w:r>
          </w:p>
        </w:tc>
        <w:tc>
          <w:tcPr>
            <w:tcW w:type="dxa" w:w="3016"/>
          </w:tcPr>
          <w:p>
            <w:pPr>
              <w:spacing w:after="0"/>
            </w:pPr>
            <w:r>
              <w:rPr>
                <w:sz w:val="19"/>
              </w:rPr>
              <w:t xml:space="preserve">Execute Pipeline × 4, „bei Erfolg“, „Auf Abschluss warten“; Nebenläufigkeit 1; Trigger </w:t>
            </w:r>
            <w:r>
              <w:rPr>
                <w:rFonts w:ascii="Courier New" w:hAnsi="Courier New"/>
                <w:sz w:val="17"/>
              </w:rPr>
              <w:t>tr_taeglich_0000_utc</w:t>
            </w:r>
            <w:r>
              <w:rPr>
                <w:sz w:val="19"/>
              </w:rPr>
              <w:t xml:space="preserve"> (gestoppt)</w:t>
            </w:r>
          </w:p>
        </w:tc>
        <w:tc>
          <w:tcPr>
            <w:tcW w:type="dxa" w:w="2804"/>
          </w:tcPr>
          <w:p>
            <w:pPr>
              <w:spacing w:after="0"/>
            </w:pPr>
            <w:r>
              <w:rPr>
                <w:rFonts w:ascii="Courier New" w:hAnsi="Courier New"/>
                <w:sz w:val="17"/>
              </w:rPr>
              <w:t>rohdaten_nach_bronze</w:t>
            </w:r>
            <w:r>
              <w:rPr>
                <w:sz w:val="19"/>
              </w:rPr>
              <w:t xml:space="preserve"> → </w:t>
            </w:r>
            <w:r>
              <w:rPr>
                <w:rFonts w:ascii="Courier New" w:hAnsi="Courier New"/>
                <w:sz w:val="17"/>
              </w:rPr>
              <w:t>bronze_nach_silver</w:t>
            </w:r>
            <w:r>
              <w:rPr>
                <w:sz w:val="19"/>
              </w:rPr>
              <w:t xml:space="preserve"> → </w:t>
            </w:r>
            <w:r>
              <w:rPr>
                <w:rFonts w:ascii="Courier New" w:hAnsi="Courier New"/>
                <w:sz w:val="17"/>
              </w:rPr>
              <w:t>silver_nach_gold</w:t>
            </w:r>
            <w:r>
              <w:rPr>
                <w:sz w:val="19"/>
              </w:rPr>
              <w:t xml:space="preserve"> → </w:t>
            </w:r>
            <w:r>
              <w:rPr>
                <w:rFonts w:ascii="Courier New" w:hAnsi="Courier New"/>
                <w:sz w:val="17"/>
              </w:rPr>
              <w:t>bronze_archivieren</w:t>
            </w:r>
          </w:p>
        </w:tc>
        <w:tc>
          <w:tcPr>
            <w:tcW w:type="dxa" w:w="1114"/>
          </w:tcPr>
          <w:p>
            <w:pPr>
              <w:spacing w:after="0"/>
            </w:pPr>
            <w:r>
              <w:rPr>
                <w:sz w:val="19"/>
              </w:rPr>
              <w:t>3.8, 4.1, 5.9</w:t>
            </w:r>
          </w:p>
        </w:tc>
      </w:tr>
      <w:tr>
        <w:trPr/>
        <w:tc>
          <w:tcPr>
            <w:tcW w:type="dxa" w:w="2477"/>
          </w:tcPr>
          <w:p>
            <w:pPr>
              <w:spacing w:after="0"/>
            </w:pPr>
            <w:r>
              <w:rPr>
                <w:rFonts w:ascii="Courier New" w:hAnsi="Courier New"/>
                <w:sz w:val="17"/>
              </w:rPr>
              <w:t>pl_silver_to_gold</w:t>
            </w:r>
          </w:p>
        </w:tc>
        <w:tc>
          <w:tcPr>
            <w:tcW w:type="dxa" w:w="3016"/>
          </w:tcPr>
          <w:p>
            <w:pPr>
              <w:spacing w:after="0"/>
            </w:pPr>
            <w:r>
              <w:rPr>
                <w:sz w:val="19"/>
              </w:rPr>
              <w:t xml:space="preserve">Lookup </w:t>
            </w:r>
            <w:r>
              <w:rPr>
                <w:rFonts w:ascii="Courier New" w:hAnsi="Courier New"/>
                <w:sz w:val="17"/>
              </w:rPr>
              <w:t>standorte_lesen</w:t>
            </w:r>
            <w:r>
              <w:rPr>
                <w:sz w:val="19"/>
              </w:rPr>
              <w:t xml:space="preserve"> (alle Zeilen) → ForEach </w:t>
            </w:r>
            <w:r>
              <w:rPr>
                <w:rFonts w:ascii="Courier New" w:hAnsi="Courier New"/>
                <w:sz w:val="17"/>
              </w:rPr>
              <w:t>foreach_stadt</w:t>
            </w:r>
            <w:r>
              <w:rPr>
                <w:sz w:val="19"/>
              </w:rPr>
              <w:t xml:space="preserve"> (sequenziell) → Notebook </w:t>
            </w:r>
            <w:r>
              <w:rPr>
                <w:rFonts w:ascii="Courier New" w:hAnsi="Courier New"/>
                <w:sz w:val="17"/>
              </w:rPr>
              <w:t>n4_gold</w:t>
            </w:r>
            <w:r>
              <w:rPr>
                <w:sz w:val="19"/>
              </w:rPr>
              <w:t xml:space="preserve"> (</w:t>
            </w:r>
            <w:r>
              <w:rPr>
                <w:rFonts w:ascii="Courier New" w:hAnsi="Courier New"/>
                <w:sz w:val="17"/>
              </w:rPr>
              <w:t>04_gold_synapse</w:t>
            </w:r>
            <w:r>
              <w:rPr>
                <w:sz w:val="19"/>
              </w:rPr>
              <w:t>)</w:t>
            </w:r>
          </w:p>
        </w:tc>
        <w:tc>
          <w:tcPr>
            <w:tcW w:type="dxa" w:w="2804"/>
          </w:tcPr>
          <w:p>
            <w:pPr>
              <w:spacing w:after="0"/>
            </w:pPr>
            <w:r>
              <w:rPr>
                <w:sz w:val="19"/>
              </w:rPr>
              <w:t xml:space="preserve">Elemente </w:t>
            </w:r>
            <w:r>
              <w:rPr>
                <w:rFonts w:ascii="Courier New" w:hAnsi="Courier New"/>
                <w:sz w:val="17"/>
              </w:rPr>
              <w:t>@activity('standorte_lesen').output.value</w:t>
            </w:r>
            <w:r>
              <w:rPr>
                <w:sz w:val="19"/>
              </w:rPr>
              <w:t xml:space="preserve"> · Basisparameter </w:t>
            </w:r>
            <w:r>
              <w:rPr>
                <w:rFonts w:ascii="Courier New" w:hAnsi="Courier New"/>
                <w:sz w:val="17"/>
              </w:rPr>
              <w:t>STADT = @item().stadt</w:t>
            </w:r>
          </w:p>
        </w:tc>
        <w:tc>
          <w:tcPr>
            <w:tcW w:type="dxa" w:w="1114"/>
          </w:tcPr>
          <w:p>
            <w:pPr>
              <w:spacing w:after="0"/>
            </w:pPr>
            <w:r>
              <w:rPr>
                <w:sz w:val="19"/>
              </w:rPr>
              <w:t>5.9</w:t>
            </w:r>
          </w:p>
        </w:tc>
      </w:tr>
    </w:tbl>
    <w:p>
      <w:pPr>
        <w:spacing w:after="0" w:line="20" w:lineRule="exact"/>
      </w:pPr>
    </w:p>
    <w:p>
      <w:r>
        <w:t xml:space="preserve">Regeln: Im Dataset nur </w:t>
      </w:r>
      <w:r>
        <w:rPr>
          <w:rFonts w:ascii="Courier New" w:hAnsi="Courier New"/>
          <w:sz w:val="19"/>
        </w:rPr>
        <w:t>@dataset().…</w:t>
      </w:r>
      <w:r>
        <w:t xml:space="preserve">, </w:t>
      </w:r>
      <w:r>
        <w:rPr>
          <w:rFonts w:ascii="Courier New" w:hAnsi="Courier New"/>
          <w:sz w:val="19"/>
        </w:rPr>
        <w:t>@item()</w:t>
      </w:r>
      <w:r>
        <w:t xml:space="preserve"> nur in der Aktivität · nach jeder Änderung „Publish all“ und ↻ · jede Aktivität im Feld Description (Beschreibung) kommentieren.</w:t>
      </w:r>
    </w:p>
    <w:p>
      <w:r>
        <w:rPr>
          <w:b/>
        </w:rPr>
        <w:t>Was ein Betrieb zusätzlich braucht (Ausblick aus AN-ITS-001)</w:t>
      </w:r>
    </w:p>
    <w:tbl>
      <w:tblPr>
        <w:tblStyle w:val="TableGrid"/>
        <w:tblW w:type="auto" w:w="0"/>
        <w:jc w:val="center"/>
        <w:tblLayout w:type="fixed"/>
        <w:tblLook w:firstColumn="1" w:firstRow="1" w:lastColumn="0" w:lastRow="0" w:noHBand="0" w:noVBand="1" w:val="04A0"/>
      </w:tblPr>
      <w:tblGrid>
        <w:gridCol w:w="3411"/>
        <w:gridCol w:w="2284"/>
        <w:gridCol w:w="3716"/>
      </w:tblGrid>
      <w:tr>
        <w:trPr>
          <w:tblHeader/>
        </w:trPr>
        <w:tc>
          <w:tcPr>
            <w:tcW w:type="dxa" w:w="3411"/>
            <w:shd w:val="clear" w:color="auto" w:fill="D9E2F3"/>
          </w:tcPr>
          <w:p>
            <w:pPr>
              <w:spacing w:after="0"/>
            </w:pPr>
            <w:r>
              <w:rPr>
                <w:b/>
                <w:sz w:val="19"/>
              </w:rPr>
              <w:t>Baustein</w:t>
            </w:r>
          </w:p>
        </w:tc>
        <w:tc>
          <w:tcPr>
            <w:tcW w:type="dxa" w:w="2284"/>
            <w:shd w:val="clear" w:color="auto" w:fill="D9E2F3"/>
          </w:tcPr>
          <w:p>
            <w:pPr>
              <w:spacing w:after="0"/>
            </w:pPr>
            <w:r>
              <w:rPr>
                <w:b/>
                <w:sz w:val="19"/>
              </w:rPr>
              <w:t>Warum</w:t>
            </w:r>
          </w:p>
        </w:tc>
        <w:tc>
          <w:tcPr>
            <w:tcW w:type="dxa" w:w="3716"/>
            <w:shd w:val="clear" w:color="auto" w:fill="D9E2F3"/>
          </w:tcPr>
          <w:p>
            <w:pPr>
              <w:spacing w:after="0"/>
            </w:pPr>
            <w:r>
              <w:rPr>
                <w:b/>
                <w:sz w:val="19"/>
              </w:rPr>
              <w:t>Stand</w:t>
            </w:r>
          </w:p>
        </w:tc>
      </w:tr>
      <w:tr>
        <w:trPr/>
        <w:tc>
          <w:tcPr>
            <w:tcW w:type="dxa" w:w="3411"/>
          </w:tcPr>
          <w:p>
            <w:pPr>
              <w:spacing w:after="0"/>
            </w:pPr>
            <w:r>
              <w:rPr>
                <w:sz w:val="19"/>
              </w:rPr>
              <w:t>Gold mit Tageskennzahlen und Dashboard</w:t>
            </w:r>
          </w:p>
        </w:tc>
        <w:tc>
          <w:tcPr>
            <w:tcW w:type="dxa" w:w="2284"/>
          </w:tcPr>
          <w:p>
            <w:pPr>
              <w:spacing w:after="0"/>
            </w:pPr>
            <w:r>
              <w:rPr>
                <w:sz w:val="19"/>
              </w:rPr>
              <w:t>eigentlicher Nutzen</w:t>
            </w:r>
          </w:p>
        </w:tc>
        <w:tc>
          <w:tcPr>
            <w:tcW w:type="dxa" w:w="3716"/>
          </w:tcPr>
          <w:p>
            <w:pPr>
              <w:spacing w:after="0"/>
            </w:pPr>
            <w:r>
              <w:rPr>
                <w:sz w:val="19"/>
              </w:rPr>
              <w:t>Gold in Azure erledigt (5.9); Dashboard → FP-2 (5.11)</w:t>
            </w:r>
          </w:p>
        </w:tc>
      </w:tr>
      <w:tr>
        <w:trPr/>
        <w:tc>
          <w:tcPr>
            <w:tcW w:type="dxa" w:w="3411"/>
          </w:tcPr>
          <w:p>
            <w:pPr>
              <w:spacing w:after="0"/>
            </w:pPr>
            <w:r>
              <w:rPr>
                <w:sz w:val="19"/>
              </w:rPr>
              <w:t>Master-Pipeline</w:t>
            </w:r>
          </w:p>
        </w:tc>
        <w:tc>
          <w:tcPr>
            <w:tcW w:type="dxa" w:w="2284"/>
          </w:tcPr>
          <w:p>
            <w:pPr>
              <w:spacing w:after="0"/>
            </w:pPr>
            <w:r>
              <w:rPr>
                <w:sz w:val="19"/>
              </w:rPr>
              <w:t>richtige Reihenfolge, ein Start</w:t>
            </w:r>
          </w:p>
        </w:tc>
        <w:tc>
          <w:tcPr>
            <w:tcW w:type="dxa" w:w="3716"/>
          </w:tcPr>
          <w:p>
            <w:pPr>
              <w:spacing w:after="0"/>
            </w:pPr>
            <w:r>
              <w:rPr>
                <w:sz w:val="19"/>
              </w:rPr>
              <w:t>erledigt, 4 Stufen (3.8, 5.9)</w:t>
            </w:r>
          </w:p>
        </w:tc>
      </w:tr>
      <w:tr>
        <w:trPr/>
        <w:tc>
          <w:tcPr>
            <w:tcW w:type="dxa" w:w="3411"/>
          </w:tcPr>
          <w:p>
            <w:pPr>
              <w:spacing w:after="0"/>
            </w:pPr>
            <w:r>
              <w:rPr>
                <w:sz w:val="19"/>
              </w:rPr>
              <w:t>Trigger (Zeitplan, täglich nachts)</w:t>
            </w:r>
          </w:p>
        </w:tc>
        <w:tc>
          <w:tcPr>
            <w:tcW w:type="dxa" w:w="2284"/>
          </w:tcPr>
          <w:p>
            <w:pPr>
              <w:spacing w:after="0"/>
            </w:pPr>
            <w:r>
              <w:rPr>
                <w:sz w:val="19"/>
              </w:rPr>
              <w:t>läuft ohne Handarbeit</w:t>
            </w:r>
          </w:p>
        </w:tc>
        <w:tc>
          <w:tcPr>
            <w:tcW w:type="dxa" w:w="3716"/>
          </w:tcPr>
          <w:p>
            <w:pPr>
              <w:spacing w:after="0"/>
            </w:pPr>
            <w:r>
              <w:rPr>
                <w:sz w:val="19"/>
              </w:rPr>
              <w:t>angelegt, gestoppt (5.10)</w:t>
            </w:r>
          </w:p>
        </w:tc>
      </w:tr>
      <w:tr>
        <w:trPr/>
        <w:tc>
          <w:tcPr>
            <w:tcW w:type="dxa" w:w="3411"/>
          </w:tcPr>
          <w:p>
            <w:pPr>
              <w:spacing w:after="0"/>
            </w:pPr>
            <w:r>
              <w:rPr>
                <w:sz w:val="19"/>
              </w:rPr>
              <w:t>Fehlerbenachrichtigung (Azure Monitor Alert bei fehlgeschlagener Pipeline)</w:t>
            </w:r>
          </w:p>
        </w:tc>
        <w:tc>
          <w:tcPr>
            <w:tcW w:type="dxa" w:w="2284"/>
          </w:tcPr>
          <w:p>
            <w:pPr>
              <w:spacing w:after="0"/>
            </w:pPr>
            <w:r>
              <w:rPr>
                <w:sz w:val="19"/>
              </w:rPr>
              <w:t>Fehler sofort bemerken</w:t>
            </w:r>
          </w:p>
        </w:tc>
        <w:tc>
          <w:tcPr>
            <w:tcW w:type="dxa" w:w="3716"/>
          </w:tcPr>
          <w:p>
            <w:pPr>
              <w:spacing w:after="0"/>
            </w:pPr>
            <w:r>
              <w:rPr>
                <w:sz w:val="19"/>
              </w:rPr>
              <w:t>erledigt: 2 Warnregeln (5.10)</w:t>
            </w:r>
          </w:p>
        </w:tc>
      </w:tr>
      <w:tr>
        <w:trPr/>
        <w:tc>
          <w:tcPr>
            <w:tcW w:type="dxa" w:w="3411"/>
          </w:tcPr>
          <w:p>
            <w:pPr>
              <w:spacing w:after="0"/>
            </w:pPr>
            <w:r>
              <w:rPr>
                <w:sz w:val="19"/>
              </w:rPr>
              <w:t>Laufprotokoll (was, wann, wie viele Dateien)</w:t>
            </w:r>
          </w:p>
        </w:tc>
        <w:tc>
          <w:tcPr>
            <w:tcW w:type="dxa" w:w="2284"/>
          </w:tcPr>
          <w:p>
            <w:pPr>
              <w:spacing w:after="0"/>
            </w:pPr>
            <w:r>
              <w:rPr>
                <w:sz w:val="19"/>
              </w:rPr>
              <w:t>Nachweis</w:t>
            </w:r>
          </w:p>
        </w:tc>
        <w:tc>
          <w:tcPr>
            <w:tcW w:type="dxa" w:w="3716"/>
          </w:tcPr>
          <w:p>
            <w:pPr>
              <w:spacing w:after="0"/>
            </w:pPr>
            <w:r>
              <w:rPr>
                <w:sz w:val="19"/>
              </w:rPr>
              <w:t>Protokolle PR-ITS-006; Laufverlauf im Data-Factory-Monitor; Rückgabewert des Steuer-Notebooks → FP-1</w:t>
            </w:r>
          </w:p>
        </w:tc>
      </w:tr>
      <w:tr>
        <w:trPr/>
        <w:tc>
          <w:tcPr>
            <w:tcW w:type="dxa" w:w="3411"/>
          </w:tcPr>
          <w:p>
            <w:pPr>
              <w:spacing w:after="0"/>
            </w:pPr>
            <w:r>
              <w:rPr>
                <w:sz w:val="19"/>
              </w:rPr>
              <w:t>Budget-Warnung</w:t>
            </w:r>
          </w:p>
        </w:tc>
        <w:tc>
          <w:tcPr>
            <w:tcW w:type="dxa" w:w="2284"/>
          </w:tcPr>
          <w:p>
            <w:pPr>
              <w:spacing w:after="0"/>
            </w:pPr>
            <w:r>
              <w:rPr>
                <w:sz w:val="19"/>
              </w:rPr>
              <w:t>Kostenkontrolle</w:t>
            </w:r>
          </w:p>
        </w:tc>
        <w:tc>
          <w:tcPr>
            <w:tcW w:type="dxa" w:w="3716"/>
          </w:tcPr>
          <w:p>
            <w:pPr>
              <w:spacing w:after="0"/>
            </w:pPr>
            <w:r>
              <w:rPr>
                <w:sz w:val="19"/>
              </w:rPr>
              <w:t>erledigt 30.09.2026 (5.7)</w:t>
            </w:r>
          </w:p>
        </w:tc>
      </w:tr>
      <w:tr>
        <w:trPr/>
        <w:tc>
          <w:tcPr>
            <w:tcW w:type="dxa" w:w="3411"/>
          </w:tcPr>
          <w:p>
            <w:pPr>
              <w:spacing w:after="0"/>
            </w:pPr>
            <w:r>
              <w:rPr>
                <w:sz w:val="19"/>
              </w:rPr>
              <w:t>Git für die Data Factory, Entra-Anmeldung statt Zugriffsschlüssel am Speicherkonto</w:t>
            </w:r>
          </w:p>
        </w:tc>
        <w:tc>
          <w:tcPr>
            <w:tcW w:type="dxa" w:w="2284"/>
          </w:tcPr>
          <w:p>
            <w:pPr>
              <w:spacing w:after="0"/>
            </w:pPr>
            <w:r>
              <w:rPr>
                <w:sz w:val="19"/>
              </w:rPr>
              <w:t>Sicherheit, Nachvollziehbarkeit</w:t>
            </w:r>
          </w:p>
        </w:tc>
        <w:tc>
          <w:tcPr>
            <w:tcW w:type="dxa" w:w="3716"/>
          </w:tcPr>
          <w:p>
            <w:pPr>
              <w:spacing w:after="0"/>
            </w:pPr>
            <w:r>
              <w:rPr>
                <w:sz w:val="19"/>
              </w:rPr>
              <w:t>Empfehlung Betrieb → FP-1, FP-5</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3342"/>
        <w:gridCol w:w="2482"/>
        <w:gridCol w:w="3587"/>
      </w:tblGrid>
      <w:tr>
        <w:trPr>
          <w:tblHeader/>
          <w:cantSplit/>
        </w:trPr>
        <w:tc>
          <w:tcPr>
            <w:tcW w:type="dxa" w:w="9411"/>
            <w:gridSpan w:val="3"/>
            <w:tcBorders>
              <w:top w:val="nil"/>
              <w:left w:val="nil"/>
              <w:right w:val="nil"/>
            </w:tcBorders>
          </w:tcPr>
          <w:p>
            <w:pPr>
              <w:pStyle w:val="Heading2"/>
              <w:spacing w:before="200" w:after="60"/>
            </w:pPr>
            <w:r>
              <w:t>8.7 Technische Durchgangsordner (Kennzeichnung nach Archiv-Regel, Regel-Änderungslog Nr. 38)</w:t>
            </w:r>
          </w:p>
          <w:p>
            <w:pPr>
              <w:spacing w:after="60"/>
            </w:pPr>
            <w:r>
              <w:rPr>
                <w:sz w:val="20"/>
              </w:rPr>
              <w:t xml:space="preserve">In diesen Ordnern des Data Lake liegen weder </w:t>
            </w:r>
            <w:r>
              <w:rPr>
                <w:rFonts w:ascii="Courier New" w:hAnsi="Courier New"/>
                <w:sz w:val="20"/>
              </w:rPr>
              <w:t>_archiv</w:t>
            </w:r>
            <w:r>
              <w:rPr>
                <w:sz w:val="20"/>
              </w:rPr>
              <w:t xml:space="preserve"> noch README, weil Pipelines sie vollständig lesen oder leeren. Die Kennzeichnung steht hier und eine Ebene darüber.</w:t>
            </w:r>
          </w:p>
        </w:tc>
      </w:tr>
      <w:tr>
        <w:trPr>
          <w:tblHeader/>
        </w:trPr>
        <w:tc>
          <w:tcPr>
            <w:tcW w:type="dxa" w:w="3342"/>
            <w:shd w:val="clear" w:color="auto" w:fill="D9E2F3"/>
          </w:tcPr>
          <w:p>
            <w:pPr>
              <w:spacing w:after="0"/>
            </w:pPr>
            <w:r>
              <w:rPr>
                <w:b/>
                <w:sz w:val="19"/>
              </w:rPr>
              <w:t>Ordner</w:t>
            </w:r>
          </w:p>
        </w:tc>
        <w:tc>
          <w:tcPr>
            <w:tcW w:type="dxa" w:w="2482"/>
            <w:shd w:val="clear" w:color="auto" w:fill="D9E2F3"/>
          </w:tcPr>
          <w:p>
            <w:pPr>
              <w:spacing w:after="0"/>
            </w:pPr>
            <w:r>
              <w:rPr>
                <w:b/>
                <w:sz w:val="19"/>
              </w:rPr>
              <w:t>Rolle</w:t>
            </w:r>
          </w:p>
        </w:tc>
        <w:tc>
          <w:tcPr>
            <w:tcW w:type="dxa" w:w="3587"/>
            <w:shd w:val="clear" w:color="auto" w:fill="D9E2F3"/>
          </w:tcPr>
          <w:p>
            <w:pPr>
              <w:spacing w:after="0"/>
            </w:pPr>
            <w:r>
              <w:rPr>
                <w:b/>
                <w:sz w:val="19"/>
              </w:rPr>
              <w:t>Grund</w:t>
            </w:r>
          </w:p>
        </w:tc>
      </w:tr>
      <w:tr>
        <w:trPr/>
        <w:tc>
          <w:tcPr>
            <w:tcW w:type="dxa" w:w="3342"/>
          </w:tcPr>
          <w:p>
            <w:pPr>
              <w:spacing w:after="0"/>
            </w:pPr>
            <w:r>
              <w:rPr>
                <w:rFonts w:ascii="Courier New" w:hAnsi="Courier New"/>
                <w:sz w:val="17"/>
              </w:rPr>
              <w:t>bronze/new</w:t>
            </w:r>
          </w:p>
        </w:tc>
        <w:tc>
          <w:tcPr>
            <w:tcW w:type="dxa" w:w="2482"/>
          </w:tcPr>
          <w:p>
            <w:pPr>
              <w:spacing w:after="0"/>
            </w:pPr>
            <w:r>
              <w:rPr>
                <w:sz w:val="19"/>
              </w:rPr>
              <w:t>Eingang neuer Rohdateien</w:t>
            </w:r>
          </w:p>
        </w:tc>
        <w:tc>
          <w:tcPr>
            <w:tcW w:type="dxa" w:w="3587"/>
          </w:tcPr>
          <w:p>
            <w:pPr>
              <w:spacing w:after="0"/>
            </w:pPr>
            <w:r>
              <w:rPr>
                <w:sz w:val="19"/>
              </w:rPr>
              <w:t xml:space="preserve">wird von </w:t>
            </w:r>
            <w:r>
              <w:rPr>
                <w:rFonts w:ascii="Courier New" w:hAnsi="Courier New"/>
                <w:sz w:val="17"/>
              </w:rPr>
              <w:t>get_files_bronze_new</w:t>
            </w:r>
            <w:r>
              <w:rPr>
                <w:sz w:val="19"/>
              </w:rPr>
              <w:t xml:space="preserve"> vollständig gelesen; jede weitere Datei würde kopiert</w:t>
            </w:r>
          </w:p>
        </w:tc>
      </w:tr>
      <w:tr>
        <w:trPr/>
        <w:tc>
          <w:tcPr>
            <w:tcW w:type="dxa" w:w="3342"/>
          </w:tcPr>
          <w:p>
            <w:pPr>
              <w:spacing w:after="0"/>
            </w:pPr>
            <w:r>
              <w:rPr>
                <w:rFonts w:ascii="Courier New" w:hAnsi="Courier New"/>
                <w:sz w:val="17"/>
              </w:rPr>
              <w:t>bronze/archive/&lt;name&gt;_raw</w:t>
            </w:r>
          </w:p>
        </w:tc>
        <w:tc>
          <w:tcPr>
            <w:tcW w:type="dxa" w:w="2482"/>
          </w:tcPr>
          <w:p>
            <w:pPr>
              <w:spacing w:after="0"/>
            </w:pPr>
            <w:r>
              <w:rPr>
                <w:sz w:val="19"/>
              </w:rPr>
              <w:t>Archiv der Rohdaten mit UTC-Stempel</w:t>
            </w:r>
          </w:p>
        </w:tc>
        <w:tc>
          <w:tcPr>
            <w:tcW w:type="dxa" w:w="3587"/>
          </w:tcPr>
          <w:p>
            <w:pPr>
              <w:spacing w:after="0"/>
            </w:pPr>
            <w:r>
              <w:rPr>
                <w:sz w:val="19"/>
              </w:rPr>
              <w:t>ist selbst das Archiv</w:t>
            </w:r>
          </w:p>
        </w:tc>
      </w:tr>
      <w:tr>
        <w:trPr/>
        <w:tc>
          <w:tcPr>
            <w:tcW w:type="dxa" w:w="3342"/>
          </w:tcPr>
          <w:p>
            <w:pPr>
              <w:spacing w:after="0"/>
            </w:pPr>
            <w:r>
              <w:rPr>
                <w:rFonts w:ascii="Courier New" w:hAnsi="Courier New"/>
                <w:sz w:val="17"/>
              </w:rPr>
              <w:t>silver/processing/&lt;stadt&gt;/&lt;sensor&gt;</w:t>
            </w:r>
          </w:p>
        </w:tc>
        <w:tc>
          <w:tcPr>
            <w:tcW w:type="dxa" w:w="2482"/>
          </w:tcPr>
          <w:p>
            <w:pPr>
              <w:spacing w:after="0"/>
            </w:pPr>
            <w:r>
              <w:rPr>
                <w:sz w:val="19"/>
              </w:rPr>
              <w:t>Arbeitskorb</w:t>
            </w:r>
          </w:p>
        </w:tc>
        <w:tc>
          <w:tcPr>
            <w:tcW w:type="dxa" w:w="3587"/>
          </w:tcPr>
          <w:p>
            <w:pPr>
              <w:spacing w:after="0"/>
            </w:pPr>
            <w:r>
              <w:rPr>
                <w:sz w:val="19"/>
              </w:rPr>
              <w:t xml:space="preserve">wird nach Erfolg von </w:t>
            </w:r>
            <w:r>
              <w:rPr>
                <w:rFonts w:ascii="Courier New" w:hAnsi="Courier New"/>
                <w:sz w:val="17"/>
              </w:rPr>
              <w:t>processing_leeren</w:t>
            </w:r>
            <w:r>
              <w:rPr>
                <w:sz w:val="19"/>
              </w:rPr>
              <w:t xml:space="preserve"> rekursiv geleert</w:t>
            </w:r>
          </w:p>
        </w:tc>
      </w:tr>
      <w:tr>
        <w:trPr/>
        <w:tc>
          <w:tcPr>
            <w:tcW w:type="dxa" w:w="3342"/>
          </w:tcPr>
          <w:p>
            <w:pPr>
              <w:spacing w:after="0"/>
            </w:pPr>
            <w:r>
              <w:rPr>
                <w:rFonts w:ascii="Courier New" w:hAnsi="Courier New"/>
                <w:sz w:val="17"/>
              </w:rPr>
              <w:t>silver/zwischenstand/&lt;stadt&gt;</w:t>
            </w:r>
            <w:r>
              <w:rPr>
                <w:sz w:val="19"/>
              </w:rPr>
              <w:t xml:space="preserve"> (lokal </w:t>
            </w:r>
            <w:r>
              <w:rPr>
                <w:rFonts w:ascii="Courier New" w:hAnsi="Courier New"/>
                <w:sz w:val="17"/>
              </w:rPr>
              <w:t>02_daten_ITS-Data/zwischenstand</w:t>
            </w:r>
            <w:r>
              <w:rPr>
                <w:sz w:val="19"/>
              </w:rPr>
              <w:t>)</w:t>
            </w:r>
          </w:p>
        </w:tc>
        <w:tc>
          <w:tcPr>
            <w:tcW w:type="dxa" w:w="2482"/>
          </w:tcPr>
          <w:p>
            <w:pPr>
              <w:spacing w:after="0"/>
            </w:pPr>
            <w:r>
              <w:rPr>
                <w:sz w:val="19"/>
              </w:rPr>
              <w:t>Übergabe N1 → N2/N3</w:t>
            </w:r>
          </w:p>
        </w:tc>
        <w:tc>
          <w:tcPr>
            <w:tcW w:type="dxa" w:w="3587"/>
          </w:tcPr>
          <w:p>
            <w:pPr>
              <w:spacing w:after="0"/>
            </w:pPr>
            <w:r>
              <w:rPr>
                <w:sz w:val="19"/>
              </w:rPr>
              <w:t>wird bei jedem Lauf überschrieben</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4958"/>
        <w:gridCol w:w="4453"/>
      </w:tblGrid>
      <w:tr>
        <w:trPr>
          <w:tblHeader/>
          <w:cantSplit/>
        </w:trPr>
        <w:tc>
          <w:tcPr>
            <w:tcW w:type="dxa" w:w="9411"/>
            <w:gridSpan w:val="2"/>
            <w:tcBorders>
              <w:top w:val="nil"/>
              <w:left w:val="nil"/>
              <w:right w:val="nil"/>
            </w:tcBorders>
          </w:tcPr>
          <w:p>
            <w:pPr>
              <w:pStyle w:val="Heading2"/>
              <w:spacing w:before="200" w:after="60"/>
            </w:pPr>
            <w:r>
              <w:t>8.8 Kosten (Ist, abgelesen 02.10.2026)</w:t>
            </w:r>
          </w:p>
        </w:tc>
      </w:tr>
      <w:tr>
        <w:trPr>
          <w:tblHeader/>
        </w:trPr>
        <w:tc>
          <w:tcPr>
            <w:tcW w:type="dxa" w:w="4958"/>
            <w:shd w:val="clear" w:color="auto" w:fill="D9E2F3"/>
          </w:tcPr>
          <w:p>
            <w:pPr>
              <w:spacing w:after="0"/>
            </w:pPr>
            <w:r>
              <w:rPr>
                <w:b/>
                <w:sz w:val="19"/>
              </w:rPr>
              <w:t>Ressource</w:t>
            </w:r>
          </w:p>
        </w:tc>
        <w:tc>
          <w:tcPr>
            <w:tcW w:type="dxa" w:w="4453"/>
            <w:shd w:val="clear" w:color="auto" w:fill="D9E2F3"/>
          </w:tcPr>
          <w:p>
            <w:pPr>
              <w:spacing w:after="0"/>
            </w:pPr>
            <w:r>
              <w:rPr>
                <w:b/>
                <w:sz w:val="19"/>
              </w:rPr>
              <w:t>Kosten</w:t>
            </w:r>
          </w:p>
        </w:tc>
      </w:tr>
      <w:tr>
        <w:trPr/>
        <w:tc>
          <w:tcPr>
            <w:tcW w:type="dxa" w:w="4958"/>
          </w:tcPr>
          <w:p>
            <w:pPr>
              <w:spacing w:after="0"/>
            </w:pPr>
            <w:r>
              <w:rPr>
                <w:sz w:val="19"/>
              </w:rPr>
              <w:t xml:space="preserve">Spark-Pool </w:t>
            </w:r>
            <w:r>
              <w:rPr>
                <w:rFonts w:ascii="Courier New" w:hAnsi="Courier New"/>
                <w:sz w:val="17"/>
              </w:rPr>
              <w:t>sparkbeehaven</w:t>
            </w:r>
            <w:r>
              <w:rPr>
                <w:sz w:val="19"/>
              </w:rPr>
              <w:t xml:space="preserve"> (alle Synapse-Tests und Läufe 30.09.–02.10.)</w:t>
            </w:r>
          </w:p>
        </w:tc>
        <w:tc>
          <w:tcPr>
            <w:tcW w:type="dxa" w:w="4453"/>
          </w:tcPr>
          <w:p>
            <w:pPr>
              <w:spacing w:after="0"/>
            </w:pPr>
            <w:r>
              <w:rPr>
                <w:sz w:val="19"/>
              </w:rPr>
              <w:t>0,85 €</w:t>
            </w:r>
          </w:p>
        </w:tc>
      </w:tr>
      <w:tr>
        <w:trPr/>
        <w:tc>
          <w:tcPr>
            <w:tcW w:type="dxa" w:w="4958"/>
          </w:tcPr>
          <w:p>
            <w:pPr>
              <w:spacing w:after="0"/>
            </w:pPr>
            <w:r>
              <w:rPr>
                <w:sz w:val="19"/>
              </w:rPr>
              <w:t xml:space="preserve">Data Factory </w:t>
            </w:r>
            <w:r>
              <w:rPr>
                <w:rFonts w:ascii="Courier New" w:hAnsi="Courier New"/>
                <w:sz w:val="17"/>
              </w:rPr>
              <w:t>adf-beehaven-dev-gwc</w:t>
            </w:r>
          </w:p>
        </w:tc>
        <w:tc>
          <w:tcPr>
            <w:tcW w:type="dxa" w:w="4453"/>
          </w:tcPr>
          <w:p>
            <w:pPr>
              <w:spacing w:after="0"/>
            </w:pPr>
            <w:r>
              <w:rPr>
                <w:sz w:val="19"/>
              </w:rPr>
              <w:t>0,17 €</w:t>
            </w:r>
          </w:p>
        </w:tc>
      </w:tr>
      <w:tr>
        <w:trPr/>
        <w:tc>
          <w:tcPr>
            <w:tcW w:type="dxa" w:w="4958"/>
          </w:tcPr>
          <w:p>
            <w:pPr>
              <w:spacing w:after="0"/>
            </w:pPr>
            <w:r>
              <w:rPr>
                <w:sz w:val="19"/>
              </w:rPr>
              <w:t>Speicher (</w:t>
            </w:r>
            <w:r>
              <w:rPr>
                <w:rFonts w:ascii="Courier New" w:hAnsi="Courier New"/>
                <w:sz w:val="17"/>
              </w:rPr>
              <w:t>mabeehavenlakehouse</w:t>
            </w:r>
            <w:r>
              <w:rPr>
                <w:sz w:val="19"/>
              </w:rPr>
              <w:t xml:space="preserve">, </w:t>
            </w:r>
            <w:r>
              <w:rPr>
                <w:rFonts w:ascii="Courier New" w:hAnsi="Courier New"/>
                <w:sz w:val="17"/>
              </w:rPr>
              <w:t>mabeehavenraw</w:t>
            </w:r>
            <w:r>
              <w:rPr>
                <w:sz w:val="19"/>
              </w:rPr>
              <w:t>)</w:t>
            </w:r>
          </w:p>
        </w:tc>
        <w:tc>
          <w:tcPr>
            <w:tcW w:type="dxa" w:w="4453"/>
          </w:tcPr>
          <w:p>
            <w:pPr>
              <w:spacing w:after="0"/>
            </w:pPr>
            <w:r>
              <w:rPr>
                <w:sz w:val="19"/>
              </w:rPr>
              <w:t>0,00 €</w:t>
            </w:r>
          </w:p>
        </w:tc>
      </w:tr>
      <w:tr>
        <w:trPr/>
        <w:tc>
          <w:tcPr>
            <w:tcW w:type="dxa" w:w="4958"/>
          </w:tcPr>
          <w:p>
            <w:pPr>
              <w:spacing w:after="0"/>
            </w:pPr>
            <w:r>
              <w:rPr>
                <w:b/>
                <w:sz w:val="19"/>
              </w:rPr>
              <w:t>Summe</w:t>
            </w:r>
          </w:p>
        </w:tc>
        <w:tc>
          <w:tcPr>
            <w:tcW w:type="dxa" w:w="4453"/>
          </w:tcPr>
          <w:p>
            <w:pPr>
              <w:spacing w:after="0"/>
            </w:pPr>
            <w:r>
              <w:rPr>
                <w:b/>
                <w:sz w:val="19"/>
              </w:rPr>
              <w:t>1,02 €</w:t>
            </w:r>
            <w:r>
              <w:rPr>
                <w:sz w:val="19"/>
              </w:rPr>
              <w:t xml:space="preserve"> (Kursrahmen ≤ 10 €; Restguthaben 195,88 USD)</w:t>
            </w:r>
          </w:p>
        </w:tc>
      </w:tr>
    </w:tbl>
    <w:p>
      <w:pPr>
        <w:spacing w:after="0" w:line="20" w:lineRule="exact"/>
      </w:pPr>
    </w:p>
    <w:p>
      <w:r>
        <w:t>Laufend: 2 Warnregeln ca. 0,20 USD je Monat; Trigger gestoppt (0 €). Ein Gesamtlauf mit zwei Städten kostet ca. 0,50 €.</w:t>
      </w:r>
    </w:p>
    <w:tbl>
      <w:tblPr>
        <w:tblStyle w:val="TableGrid"/>
        <w:tblW w:type="auto" w:w="0"/>
        <w:jc w:val="center"/>
        <w:tblLayout w:type="fixed"/>
        <w:tblLook w:firstColumn="1" w:firstRow="1" w:lastColumn="0" w:lastRow="0" w:noHBand="0" w:noVBand="1" w:val="04A0"/>
      </w:tblPr>
      <w:tblGrid>
        <w:gridCol w:w="1703"/>
        <w:gridCol w:w="3413"/>
        <w:gridCol w:w="4296"/>
      </w:tblGrid>
      <w:tr>
        <w:trPr>
          <w:tblHeader/>
          <w:cantSplit/>
        </w:trPr>
        <w:tc>
          <w:tcPr>
            <w:tcW w:type="dxa" w:w="9411"/>
            <w:gridSpan w:val="3"/>
            <w:tcBorders>
              <w:top w:val="nil"/>
              <w:left w:val="nil"/>
              <w:right w:val="nil"/>
            </w:tcBorders>
          </w:tcPr>
          <w:p>
            <w:pPr>
              <w:pStyle w:val="Heading2"/>
              <w:spacing w:before="200" w:after="60"/>
            </w:pPr>
            <w:r>
              <w:t>8.9 Datenminimierung Gold (Idee I73, Prüfung 01.10.2026)</w:t>
            </w:r>
          </w:p>
        </w:tc>
      </w:tr>
      <w:tr>
        <w:trPr>
          <w:tblHeader/>
        </w:trPr>
        <w:tc>
          <w:tcPr>
            <w:tcW w:type="dxa" w:w="1703"/>
            <w:shd w:val="clear" w:color="auto" w:fill="D9E2F3"/>
          </w:tcPr>
          <w:p>
            <w:pPr>
              <w:spacing w:after="0"/>
            </w:pPr>
            <w:r>
              <w:rPr>
                <w:b/>
                <w:sz w:val="19"/>
              </w:rPr>
              <w:t>Stufe</w:t>
            </w:r>
          </w:p>
        </w:tc>
        <w:tc>
          <w:tcPr>
            <w:tcW w:type="dxa" w:w="3413"/>
            <w:shd w:val="clear" w:color="auto" w:fill="D9E2F3"/>
          </w:tcPr>
          <w:p>
            <w:pPr>
              <w:spacing w:after="0"/>
            </w:pPr>
            <w:r>
              <w:rPr>
                <w:b/>
                <w:sz w:val="19"/>
              </w:rPr>
              <w:t>Wetterspalten</w:t>
            </w:r>
          </w:p>
        </w:tc>
        <w:tc>
          <w:tcPr>
            <w:tcW w:type="dxa" w:w="4296"/>
            <w:shd w:val="clear" w:color="auto" w:fill="D9E2F3"/>
          </w:tcPr>
          <w:p>
            <w:pPr>
              <w:spacing w:after="0"/>
            </w:pPr>
            <w:r>
              <w:rPr>
                <w:b/>
                <w:sz w:val="19"/>
              </w:rPr>
              <w:t>Begründung</w:t>
            </w:r>
          </w:p>
        </w:tc>
      </w:tr>
      <w:tr>
        <w:trPr/>
        <w:tc>
          <w:tcPr>
            <w:tcW w:type="dxa" w:w="1703"/>
          </w:tcPr>
          <w:p>
            <w:pPr>
              <w:spacing w:after="0"/>
            </w:pPr>
            <w:r>
              <w:rPr>
                <w:sz w:val="19"/>
              </w:rPr>
              <w:t>Rohantwort Bright Sky (Bronze)</w:t>
            </w:r>
          </w:p>
        </w:tc>
        <w:tc>
          <w:tcPr>
            <w:tcW w:type="dxa" w:w="3413"/>
          </w:tcPr>
          <w:p>
            <w:pPr>
              <w:spacing w:after="0"/>
            </w:pPr>
            <w:r>
              <w:rPr>
                <w:sz w:val="19"/>
              </w:rPr>
              <w:t>32 (Würzburg 27)</w:t>
            </w:r>
          </w:p>
        </w:tc>
        <w:tc>
          <w:tcPr>
            <w:tcW w:type="dxa" w:w="4296"/>
          </w:tcPr>
          <w:p>
            <w:pPr>
              <w:spacing w:after="0"/>
            </w:pPr>
            <w:r>
              <w:rPr>
                <w:sz w:val="19"/>
              </w:rPr>
              <w:t>unverändert archiviert, damit die Aufbereitung ohne neuen Abruf wiederholt werden kann</w:t>
            </w:r>
          </w:p>
        </w:tc>
      </w:tr>
      <w:tr>
        <w:trPr/>
        <w:tc>
          <w:tcPr>
            <w:tcW w:type="dxa" w:w="1703"/>
          </w:tcPr>
          <w:p>
            <w:pPr>
              <w:spacing w:after="0"/>
            </w:pPr>
            <w:r>
              <w:rPr>
                <w:sz w:val="19"/>
              </w:rPr>
              <w:t xml:space="preserve">Silver </w:t>
            </w:r>
            <w:r>
              <w:rPr>
                <w:rFonts w:ascii="Courier New" w:hAnsi="Courier New"/>
                <w:sz w:val="17"/>
              </w:rPr>
              <w:t>wetter</w:t>
            </w:r>
          </w:p>
        </w:tc>
        <w:tc>
          <w:tcPr>
            <w:tcW w:type="dxa" w:w="3413"/>
          </w:tcPr>
          <w:p>
            <w:pPr>
              <w:spacing w:after="0"/>
            </w:pPr>
            <w:r>
              <w:rPr>
                <w:sz w:val="19"/>
              </w:rPr>
              <w:t>20</w:t>
            </w:r>
          </w:p>
        </w:tc>
        <w:tc>
          <w:tcPr>
            <w:tcW w:type="dxa" w:w="4296"/>
          </w:tcPr>
          <w:p>
            <w:pPr>
              <w:spacing w:after="0"/>
            </w:pPr>
            <w:r>
              <w:rPr>
                <w:sz w:val="19"/>
              </w:rPr>
              <w:t>Messgrößen mit verständlichem Namen und Einheit, Stationen je Messgröße, Sonnenhöhe, Tageszeit</w:t>
            </w:r>
          </w:p>
        </w:tc>
      </w:tr>
      <w:tr>
        <w:trPr/>
        <w:tc>
          <w:tcPr>
            <w:tcW w:type="dxa" w:w="1703"/>
          </w:tcPr>
          <w:p>
            <w:pPr>
              <w:spacing w:after="0"/>
            </w:pPr>
            <w:r>
              <w:rPr>
                <w:sz w:val="19"/>
              </w:rPr>
              <w:t>Gold Stundentabelle</w:t>
            </w:r>
          </w:p>
        </w:tc>
        <w:tc>
          <w:tcPr>
            <w:tcW w:type="dxa" w:w="3413"/>
          </w:tcPr>
          <w:p>
            <w:pPr>
              <w:spacing w:after="0"/>
            </w:pPr>
            <w:r>
              <w:rPr>
                <w:sz w:val="19"/>
              </w:rPr>
              <w:t>11</w:t>
            </w:r>
          </w:p>
        </w:tc>
        <w:tc>
          <w:tcPr>
            <w:tcW w:type="dxa" w:w="4296"/>
          </w:tcPr>
          <w:p>
            <w:pPr>
              <w:spacing w:after="0"/>
            </w:pPr>
            <w:r>
              <w:rPr>
                <w:sz w:val="19"/>
              </w:rPr>
              <w:t>nur Größen, die Analyse, Dashboard oder Modell nutzen (Außentemperatur, Niederschlag, Sonnenschein, Wind, Böen, Luftdruck, Taupunkt, Sonnenstrahlung, Wetterlage, Sonnenhöhe, Tageszeit); weggelassen u. a. relative Luftfeuchte, Bewölkung, Windrichtungen, Stationsnamen</w:t>
            </w:r>
          </w:p>
        </w:tc>
      </w:tr>
      <w:tr>
        <w:trPr/>
        <w:tc>
          <w:tcPr>
            <w:tcW w:type="dxa" w:w="1703"/>
          </w:tcPr>
          <w:p>
            <w:pPr>
              <w:spacing w:after="0"/>
            </w:pPr>
            <w:r>
              <w:rPr>
                <w:sz w:val="19"/>
              </w:rPr>
              <w:t>Einfach erklärt</w:t>
            </w:r>
          </w:p>
        </w:tc>
        <w:tc>
          <w:tcPr>
            <w:tcW w:type="dxa" w:w="3413"/>
          </w:tcPr>
          <w:p>
            <w:pPr>
              <w:spacing w:after="0"/>
            </w:pPr>
            <w:r>
              <w:rPr>
                <w:sz w:val="19"/>
              </w:rPr>
              <w:t>Am Ende wird aufgeräumt: Ergebnisse sichern, Kosten melden, nicht mehr benötigte Azure-Ressourcen nach Freigabe löschen, damit keine laufenden Kosten entstehen.</w:t>
            </w:r>
          </w:p>
        </w:tc>
        <w:tc>
          <w:tcPr>
            <w:tcW w:type="dxa" w:w="4296"/>
          </w:tcPr>
          <w:p>
            <w:pPr>
              <w:spacing w:after="0"/>
            </w:pPr>
          </w:p>
        </w:tc>
      </w:tr>
    </w:tbl>
    <w:p>
      <w:pPr>
        <w:spacing w:after="0" w:line="20" w:lineRule="exact"/>
      </w:pPr>
    </w:p>
    <w:p>
      <w:r>
        <w:t xml:space="preserve">Die Luftfeuchte draußen wird in der Analyse über den </w:t>
      </w:r>
      <w:r>
        <w:rPr>
          <w:b/>
        </w:rPr>
        <w:t>Abstand Temperatur − Taupunkt</w:t>
      </w:r>
      <w:r>
        <w:t xml:space="preserve"> bewertet statt über die relative Luftfeuchte – der Abstand trennt „feucht“ besser von „warm“ (A7). Weniger Spalten heißt: kleinere Dateien, schnellere Läufe, weniger Verwechslungsgefahr (Grundsatz Datenminimierung, DSGVO Art. 5 sinngemäß für betriebliche Daten).</w:t>
      </w:r>
    </w:p>
    <w:tbl>
      <w:tblPr>
        <w:tblStyle w:val="TableGrid"/>
        <w:tblW w:type="auto" w:w="0"/>
        <w:jc w:val="center"/>
        <w:tblLayout w:type="fixed"/>
        <w:tblLook w:firstColumn="1" w:firstRow="1" w:lastColumn="0" w:lastRow="0" w:noHBand="0" w:noVBand="1" w:val="04A0"/>
      </w:tblPr>
      <w:tblGrid>
        <w:gridCol w:w="3992"/>
        <w:gridCol w:w="5419"/>
      </w:tblGrid>
      <w:tr>
        <w:trPr>
          <w:tblHeader/>
          <w:cantSplit/>
        </w:trPr>
        <w:tc>
          <w:tcPr>
            <w:tcW w:type="dxa" w:w="9411"/>
            <w:gridSpan w:val="2"/>
            <w:tcBorders>
              <w:top w:val="nil"/>
              <w:left w:val="nil"/>
              <w:right w:val="nil"/>
            </w:tcBorders>
          </w:tcPr>
          <w:p>
            <w:pPr>
              <w:pStyle w:val="Heading2"/>
              <w:spacing w:before="200" w:after="60"/>
            </w:pPr>
            <w:r>
              <w:t>8.10 Glossar (Fachbegriffe einfach erklärt)</w:t>
            </w:r>
          </w:p>
        </w:tc>
      </w:tr>
      <w:tr>
        <w:trPr>
          <w:tblHeader/>
        </w:trPr>
        <w:tc>
          <w:tcPr>
            <w:tcW w:type="dxa" w:w="3992"/>
            <w:shd w:val="clear" w:color="auto" w:fill="D9E2F3"/>
          </w:tcPr>
          <w:p>
            <w:pPr>
              <w:spacing w:after="0"/>
            </w:pPr>
            <w:r>
              <w:rPr>
                <w:b/>
                <w:sz w:val="19"/>
              </w:rPr>
              <w:t>Begriff</w:t>
            </w:r>
          </w:p>
        </w:tc>
        <w:tc>
          <w:tcPr>
            <w:tcW w:type="dxa" w:w="5419"/>
            <w:shd w:val="clear" w:color="auto" w:fill="D9E2F3"/>
          </w:tcPr>
          <w:p>
            <w:pPr>
              <w:spacing w:after="0"/>
            </w:pPr>
            <w:r>
              <w:rPr>
                <w:b/>
                <w:sz w:val="19"/>
              </w:rPr>
              <w:t>Bedeutung</w:t>
            </w:r>
          </w:p>
        </w:tc>
      </w:tr>
      <w:tr>
        <w:trPr/>
        <w:tc>
          <w:tcPr>
            <w:tcW w:type="dxa" w:w="3992"/>
          </w:tcPr>
          <w:p>
            <w:pPr>
              <w:spacing w:after="0"/>
            </w:pPr>
            <w:r>
              <w:rPr>
                <w:sz w:val="19"/>
              </w:rPr>
              <w:t>Azure</w:t>
            </w:r>
          </w:p>
        </w:tc>
        <w:tc>
          <w:tcPr>
            <w:tcW w:type="dxa" w:w="5419"/>
          </w:tcPr>
          <w:p>
            <w:pPr>
              <w:spacing w:after="0"/>
            </w:pPr>
            <w:r>
              <w:rPr>
                <w:sz w:val="19"/>
              </w:rPr>
              <w:t>Cloud-Angebot von Microsoft: Rechner und Speicher zur Miete, Abrechnung nach Nutzung</w:t>
            </w:r>
          </w:p>
        </w:tc>
      </w:tr>
      <w:tr>
        <w:trPr/>
        <w:tc>
          <w:tcPr>
            <w:tcW w:type="dxa" w:w="3992"/>
          </w:tcPr>
          <w:p>
            <w:pPr>
              <w:spacing w:after="0"/>
            </w:pPr>
            <w:r>
              <w:rPr>
                <w:sz w:val="19"/>
              </w:rPr>
              <w:t>Ressourcengruppe</w:t>
            </w:r>
          </w:p>
        </w:tc>
        <w:tc>
          <w:tcPr>
            <w:tcW w:type="dxa" w:w="5419"/>
          </w:tcPr>
          <w:p>
            <w:pPr>
              <w:spacing w:after="0"/>
            </w:pPr>
            <w:r>
              <w:rPr>
                <w:sz w:val="19"/>
              </w:rPr>
              <w:t>Ordner in Azure, der alle Teile eines Projekts zusammenhält</w:t>
            </w:r>
          </w:p>
        </w:tc>
      </w:tr>
      <w:tr>
        <w:trPr/>
        <w:tc>
          <w:tcPr>
            <w:tcW w:type="dxa" w:w="3992"/>
          </w:tcPr>
          <w:p>
            <w:pPr>
              <w:spacing w:after="0"/>
            </w:pPr>
            <w:r>
              <w:rPr>
                <w:sz w:val="19"/>
              </w:rPr>
              <w:t>Speicherkonto, Data Lake</w:t>
            </w:r>
          </w:p>
        </w:tc>
        <w:tc>
          <w:tcPr>
            <w:tcW w:type="dxa" w:w="5419"/>
          </w:tcPr>
          <w:p>
            <w:pPr>
              <w:spacing w:after="0"/>
            </w:pPr>
            <w:r>
              <w:rPr>
                <w:sz w:val="19"/>
              </w:rPr>
              <w:t>Online-Speicher; der Data Lake ist ein großes, geordnetes Datenlager mit Ordnern</w:t>
            </w:r>
          </w:p>
        </w:tc>
      </w:tr>
      <w:tr>
        <w:trPr/>
        <w:tc>
          <w:tcPr>
            <w:tcW w:type="dxa" w:w="3992"/>
          </w:tcPr>
          <w:p>
            <w:pPr>
              <w:spacing w:after="0"/>
            </w:pPr>
            <w:r>
              <w:rPr>
                <w:sz w:val="19"/>
              </w:rPr>
              <w:t>Medallion-Architektur (Bronze, Silver, Gold)</w:t>
            </w:r>
          </w:p>
        </w:tc>
        <w:tc>
          <w:tcPr>
            <w:tcW w:type="dxa" w:w="5419"/>
          </w:tcPr>
          <w:p>
            <w:pPr>
              <w:spacing w:after="0"/>
            </w:pPr>
            <w:r>
              <w:rPr>
                <w:sz w:val="19"/>
              </w:rPr>
              <w:t>Drei Stufen: Rohdaten unverändert · bereinigt · fertig für Auswertungen</w:t>
            </w:r>
          </w:p>
        </w:tc>
      </w:tr>
      <w:tr>
        <w:trPr/>
        <w:tc>
          <w:tcPr>
            <w:tcW w:type="dxa" w:w="3992"/>
          </w:tcPr>
          <w:p>
            <w:pPr>
              <w:spacing w:after="0"/>
            </w:pPr>
            <w:r>
              <w:rPr>
                <w:sz w:val="19"/>
              </w:rPr>
              <w:t>Pipeline</w:t>
            </w:r>
          </w:p>
        </w:tc>
        <w:tc>
          <w:tcPr>
            <w:tcW w:type="dxa" w:w="5419"/>
          </w:tcPr>
          <w:p>
            <w:pPr>
              <w:spacing w:after="0"/>
            </w:pPr>
            <w:r>
              <w:rPr>
                <w:sz w:val="19"/>
              </w:rPr>
              <w:t>Automatischer Ablauf, der Daten kopiert, verschiebt oder verarbeitet</w:t>
            </w:r>
          </w:p>
        </w:tc>
      </w:tr>
      <w:tr>
        <w:trPr/>
        <w:tc>
          <w:tcPr>
            <w:tcW w:type="dxa" w:w="3992"/>
          </w:tcPr>
          <w:p>
            <w:pPr>
              <w:spacing w:after="0"/>
            </w:pPr>
            <w:r>
              <w:rPr>
                <w:sz w:val="19"/>
              </w:rPr>
              <w:t>Data Factory</w:t>
            </w:r>
          </w:p>
        </w:tc>
        <w:tc>
          <w:tcPr>
            <w:tcW w:type="dxa" w:w="5419"/>
          </w:tcPr>
          <w:p>
            <w:pPr>
              <w:spacing w:after="0"/>
            </w:pPr>
            <w:r>
              <w:rPr>
                <w:sz w:val="19"/>
              </w:rPr>
              <w:t>Azure-Dienst, der Pipelines steuert – der „Dirigent“</w:t>
            </w:r>
          </w:p>
        </w:tc>
      </w:tr>
      <w:tr>
        <w:trPr/>
        <w:tc>
          <w:tcPr>
            <w:tcW w:type="dxa" w:w="3992"/>
          </w:tcPr>
          <w:p>
            <w:pPr>
              <w:spacing w:after="0"/>
            </w:pPr>
            <w:r>
              <w:rPr>
                <w:sz w:val="19"/>
              </w:rPr>
              <w:t>Synapse, Spark-Pool</w:t>
            </w:r>
          </w:p>
        </w:tc>
        <w:tc>
          <w:tcPr>
            <w:tcW w:type="dxa" w:w="5419"/>
          </w:tcPr>
          <w:p>
            <w:pPr>
              <w:spacing w:after="0"/>
            </w:pPr>
            <w:r>
              <w:rPr>
                <w:sz w:val="19"/>
              </w:rPr>
              <w:t>Azure-Dienst mit Rechnern, auf denen die Notebooks laufen; kostet nur während der Arbeit</w:t>
            </w:r>
          </w:p>
        </w:tc>
      </w:tr>
      <w:tr>
        <w:trPr/>
        <w:tc>
          <w:tcPr>
            <w:tcW w:type="dxa" w:w="3992"/>
          </w:tcPr>
          <w:p>
            <w:pPr>
              <w:spacing w:after="0"/>
            </w:pPr>
            <w:r>
              <w:rPr>
                <w:sz w:val="19"/>
              </w:rPr>
              <w:t>Notebook</w:t>
            </w:r>
          </w:p>
        </w:tc>
        <w:tc>
          <w:tcPr>
            <w:tcW w:type="dxa" w:w="5419"/>
          </w:tcPr>
          <w:p>
            <w:pPr>
              <w:spacing w:after="0"/>
            </w:pPr>
            <w:r>
              <w:rPr>
                <w:sz w:val="19"/>
              </w:rPr>
              <w:t>Programmdatei mit Code, Erklärungen und Ergebnissen in einem Dokument</w:t>
            </w:r>
          </w:p>
        </w:tc>
      </w:tr>
      <w:tr>
        <w:trPr/>
        <w:tc>
          <w:tcPr>
            <w:tcW w:type="dxa" w:w="3992"/>
          </w:tcPr>
          <w:p>
            <w:pPr>
              <w:spacing w:after="0"/>
            </w:pPr>
            <w:r>
              <w:rPr>
                <w:sz w:val="19"/>
              </w:rPr>
              <w:t>Trigger</w:t>
            </w:r>
          </w:p>
        </w:tc>
        <w:tc>
          <w:tcPr>
            <w:tcW w:type="dxa" w:w="5419"/>
          </w:tcPr>
          <w:p>
            <w:pPr>
              <w:spacing w:after="0"/>
            </w:pPr>
            <w:r>
              <w:rPr>
                <w:sz w:val="19"/>
              </w:rPr>
              <w:t>Zeitplan, der eine Pipeline automatisch startet</w:t>
            </w:r>
          </w:p>
        </w:tc>
      </w:tr>
      <w:tr>
        <w:trPr/>
        <w:tc>
          <w:tcPr>
            <w:tcW w:type="dxa" w:w="3992"/>
          </w:tcPr>
          <w:p>
            <w:pPr>
              <w:spacing w:after="0"/>
            </w:pPr>
            <w:r>
              <w:rPr>
                <w:sz w:val="19"/>
              </w:rPr>
              <w:t>UTC</w:t>
            </w:r>
          </w:p>
        </w:tc>
        <w:tc>
          <w:tcPr>
            <w:tcW w:type="dxa" w:w="5419"/>
          </w:tcPr>
          <w:p>
            <w:pPr>
              <w:spacing w:after="0"/>
            </w:pPr>
            <w:r>
              <w:rPr>
                <w:sz w:val="19"/>
              </w:rPr>
              <w:t>Weltzeit ohne Sommerzeit – jede Uhrzeit gibt es genau einmal</w:t>
            </w:r>
          </w:p>
        </w:tc>
      </w:tr>
      <w:tr>
        <w:trPr/>
        <w:tc>
          <w:tcPr>
            <w:tcW w:type="dxa" w:w="3992"/>
          </w:tcPr>
          <w:p>
            <w:pPr>
              <w:spacing w:after="0"/>
            </w:pPr>
            <w:r>
              <w:rPr>
                <w:sz w:val="19"/>
              </w:rPr>
              <w:t>CSV, Parquet</w:t>
            </w:r>
          </w:p>
        </w:tc>
        <w:tc>
          <w:tcPr>
            <w:tcW w:type="dxa" w:w="5419"/>
          </w:tcPr>
          <w:p>
            <w:pPr>
              <w:spacing w:after="0"/>
            </w:pPr>
            <w:r>
              <w:rPr>
                <w:sz w:val="19"/>
              </w:rPr>
              <w:t>Dateiformate für Tabellen; Parquet ist kleiner und behält Datentypen</w:t>
            </w:r>
          </w:p>
        </w:tc>
      </w:tr>
      <w:tr>
        <w:trPr/>
        <w:tc>
          <w:tcPr>
            <w:tcW w:type="dxa" w:w="3992"/>
          </w:tcPr>
          <w:p>
            <w:pPr>
              <w:spacing w:after="0"/>
            </w:pPr>
            <w:r>
              <w:rPr>
                <w:sz w:val="19"/>
              </w:rPr>
              <w:t>Verwaltete Identität</w:t>
            </w:r>
          </w:p>
        </w:tc>
        <w:tc>
          <w:tcPr>
            <w:tcW w:type="dxa" w:w="5419"/>
          </w:tcPr>
          <w:p>
            <w:pPr>
              <w:spacing w:after="0"/>
            </w:pPr>
            <w:r>
              <w:rPr>
                <w:sz w:val="19"/>
              </w:rPr>
              <w:t>„Dienstausweis“ eines Azure-Dienstes statt Passwort</w:t>
            </w:r>
          </w:p>
        </w:tc>
      </w:tr>
      <w:tr>
        <w:trPr/>
        <w:tc>
          <w:tcPr>
            <w:tcW w:type="dxa" w:w="3992"/>
          </w:tcPr>
          <w:p>
            <w:pPr>
              <w:spacing w:after="0"/>
            </w:pPr>
            <w:r>
              <w:rPr>
                <w:sz w:val="19"/>
              </w:rPr>
              <w:t>RBAC, IAM</w:t>
            </w:r>
          </w:p>
        </w:tc>
        <w:tc>
          <w:tcPr>
            <w:tcW w:type="dxa" w:w="5419"/>
          </w:tcPr>
          <w:p>
            <w:pPr>
              <w:spacing w:after="0"/>
            </w:pPr>
            <w:r>
              <w:rPr>
                <w:sz w:val="19"/>
              </w:rPr>
              <w:t>Rechte nach Rollen vergeben (wer darf lesen, wer schreiben) und Zugänge verwalten</w:t>
            </w:r>
          </w:p>
        </w:tc>
      </w:tr>
      <w:tr>
        <w:trPr/>
        <w:tc>
          <w:tcPr>
            <w:tcW w:type="dxa" w:w="3992"/>
          </w:tcPr>
          <w:p>
            <w:pPr>
              <w:spacing w:after="0"/>
            </w:pPr>
            <w:r>
              <w:rPr>
                <w:sz w:val="19"/>
              </w:rPr>
              <w:t>Human Loop</w:t>
            </w:r>
          </w:p>
        </w:tc>
        <w:tc>
          <w:tcPr>
            <w:tcW w:type="dxa" w:w="5419"/>
          </w:tcPr>
          <w:p>
            <w:pPr>
              <w:spacing w:after="0"/>
            </w:pPr>
            <w:r>
              <w:rPr>
                <w:sz w:val="19"/>
              </w:rPr>
              <w:t>Ein Mensch gibt frei, bevor es weitergeht</w:t>
            </w:r>
          </w:p>
        </w:tc>
      </w:tr>
      <w:tr>
        <w:trPr/>
        <w:tc>
          <w:tcPr>
            <w:tcW w:type="dxa" w:w="3992"/>
          </w:tcPr>
          <w:p>
            <w:pPr>
              <w:spacing w:after="0"/>
            </w:pPr>
            <w:r>
              <w:rPr>
                <w:sz w:val="19"/>
              </w:rPr>
              <w:t>Gegenprobe</w:t>
            </w:r>
          </w:p>
        </w:tc>
        <w:tc>
          <w:tcPr>
            <w:tcW w:type="dxa" w:w="5419"/>
          </w:tcPr>
          <w:p>
            <w:pPr>
              <w:spacing w:after="0"/>
            </w:pPr>
            <w:r>
              <w:rPr>
                <w:sz w:val="19"/>
              </w:rPr>
              <w:t>Nachkontrolle, ob das Ergebnis wirklich stimmt – „Erfolgreich“ heißt nur „kein Abbruch“</w:t>
            </w:r>
          </w:p>
        </w:tc>
      </w:tr>
      <w:tr>
        <w:trPr/>
        <w:tc>
          <w:tcPr>
            <w:tcW w:type="dxa" w:w="3992"/>
          </w:tcPr>
          <w:p>
            <w:pPr>
              <w:spacing w:after="0"/>
            </w:pPr>
            <w:r>
              <w:rPr>
                <w:sz w:val="19"/>
              </w:rPr>
              <w:t>z-Score</w:t>
            </w:r>
          </w:p>
        </w:tc>
        <w:tc>
          <w:tcPr>
            <w:tcW w:type="dxa" w:w="5419"/>
          </w:tcPr>
          <w:p>
            <w:pPr>
              <w:spacing w:after="0"/>
            </w:pPr>
            <w:r>
              <w:rPr>
                <w:sz w:val="19"/>
              </w:rPr>
              <w:t>Maß, wie stark ein Wert von seinen Nachbarn abweicht</w:t>
            </w:r>
          </w:p>
        </w:tc>
      </w:tr>
      <w:tr>
        <w:trPr/>
        <w:tc>
          <w:tcPr>
            <w:tcW w:type="dxa" w:w="3992"/>
          </w:tcPr>
          <w:p>
            <w:pPr>
              <w:spacing w:after="0"/>
            </w:pPr>
            <w:r>
              <w:rPr>
                <w:sz w:val="19"/>
              </w:rPr>
              <w:t>Folgeprojekt (FP)</w:t>
            </w:r>
          </w:p>
        </w:tc>
        <w:tc>
          <w:tcPr>
            <w:tcW w:type="dxa" w:w="5419"/>
          </w:tcPr>
          <w:p>
            <w:pPr>
              <w:spacing w:after="0"/>
            </w:pPr>
            <w:r>
              <w:rPr>
                <w:sz w:val="19"/>
              </w:rPr>
              <w:t>Aufgabe, die über dieses Projekt hinausgeht und an eine zuständige Abteilung übergeben wird</w:t>
            </w:r>
          </w:p>
        </w:tc>
      </w:tr>
    </w:tbl>
    <w:p>
      <w:pPr>
        <w:spacing w:after="0" w:line="20" w:lineRule="exact"/>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PH-ITS-002_Pflichtenheft_Azure-Datenplattform_v1.10  ·  Seite </w:t>
    </w:r>
    <w:r>
      <w:rPr>
        <w:color w:val="595959"/>
        <w:sz w:val="16"/>
      </w:rPr>
      <w:fldChar w:fldCharType="begin"/>
      <w:instrText xml:space="preserve">PAGE</w:instrText>
      <w:fldChar w:fldCharType="end"/>
    </w:r>
    <w:r>
      <w:rPr>
        <w:color w:val="595959"/>
        <w:sz w:val="16"/>
      </w:rPr>
      <w:t xml:space="preserve"> von </w:t>
    </w:r>
    <w:r>
      <w:rPr>
        <w:color w:val="595959"/>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04_images/p2_pipeline_endstand.png" TargetMode="External"/><Relationship Id="rId11" Type="http://schemas.openxmlformats.org/officeDocument/2006/relationships/hyperlink" Target="../04_images/v1_honig_saison.png" TargetMode="External"/><Relationship Id="rId12" Type="http://schemas.openxmlformats.org/officeDocument/2006/relationships/hyperlink" Target="../04_images/schwartau/a4_a6_flug_regen_sonne_stunde.png" TargetMode="External"/><Relationship Id="rId13" Type="http://schemas.openxmlformats.org/officeDocument/2006/relationships/hyperlink" Target="../04_images/schwartau/h1_honig_produktion.png" TargetMode="External"/><Relationship Id="rId14" Type="http://schemas.openxmlformats.org/officeDocument/2006/relationships/hyperlink" Target="../04_images/schwartau/f1_gewicht_verlauf.png" TargetMode="External"/><Relationship Id="rId15" Type="http://schemas.openxmlformats.org/officeDocument/2006/relationships/hyperlink" Target="../04_images/schwartau/f2_flugaktivitaet_monat.png" TargetMode="External"/><Relationship Id="rId16" Type="http://schemas.openxmlformats.org/officeDocument/2006/relationships/hyperlink" Target="../04_images/schwartau/f3_temperatur_einflug.png" TargetMode="External"/><Relationship Id="rId17" Type="http://schemas.openxmlformats.org/officeDocument/2006/relationships/hyperlink" Target="../04_images/schwartau/d2_sensitivitaet_temperatur.png" TargetMode="External"/><Relationship Id="rId18" Type="http://schemas.openxmlformats.org/officeDocument/2006/relationships/hyperlink" Target="../04_images/schwartau/n3_wetter_sonne.png" TargetMode="External"/><Relationship Id="rId19" Type="http://schemas.openxmlformats.org/officeDocument/2006/relationships/hyperlink" Target="../04_images/schwartau/a2_flug_tageszeit.png" TargetMode="External"/><Relationship Id="rId20" Type="http://schemas.openxmlformats.org/officeDocument/2006/relationships/hyperlink" Target="../04_images/schwartau/a3_a5_flug_temperatur.png" TargetMode="External"/><Relationship Id="rId21" Type="http://schemas.openxmlformats.org/officeDocument/2006/relationships/hyperlink" Target="../04_images/p1_pipeline_ist_soll.png" TargetMode="External"/><Relationship Id="rId22" Type="http://schemas.openxmlformats.org/officeDocument/2006/relationships/hyperlink" Target="../04_images/schwartau/a7_flug_feuchte.png" TargetMode="External"/><Relationship Id="rId23" Type="http://schemas.openxmlformats.org/officeDocument/2006/relationships/hyperlink" Target="../04_images/schwartau/a8_flug_strahlung_hitze.png" TargetMode="External"/><Relationship Id="rId24" Type="http://schemas.openxmlformats.org/officeDocument/2006/relationships/hyperlink" Target="../04_images/schwartau/a9_a10_flug_wind_luftdruck.png" TargetMode="External"/><Relationship Id="rId25" Type="http://schemas.openxmlformats.org/officeDocument/2006/relationships/hyperlink" Target="../04_images/z1_speicherformate.png" TargetMode="External"/><Relationship Id="rId26" Type="http://schemas.openxmlformats.org/officeDocument/2006/relationships/hyperlink" Target="../04_images/gesamtgrafik_beehaven.png" TargetMode="External"/><Relationship Id="rId27" Type="http://schemas.openxmlformats.org/officeDocument/2006/relationships/hyperlink" Target="../04_images/wurzburg/f1_gewicht_verlauf.png" TargetMode="External"/><Relationship Id="rId28" Type="http://schemas.openxmlformats.org/officeDocument/2006/relationships/hyperlink" Target="../04_images/wurzburg/f2_flugaktivitaet_monat.png" TargetMode="External"/><Relationship Id="rId29" Type="http://schemas.openxmlformats.org/officeDocument/2006/relationships/hyperlink" Target="../04_images/wurzburg/f3_temperatur_einflug.png" TargetMode="External"/><Relationship Id="rId30" Type="http://schemas.openxmlformats.org/officeDocument/2006/relationships/hyperlink" Target="../04_images/wurzburg/d2_sensitivitaet_temperatur.png" TargetMode="External"/><Relationship Id="rId31" Type="http://schemas.openxmlformats.org/officeDocument/2006/relationships/hyperlink" Target="../04_images/wurzburg/n3_wetter_sonne.png" TargetMode="External"/><Relationship Id="rId32" Type="http://schemas.openxmlformats.org/officeDocument/2006/relationships/hyperlink" Target="../04_images/wurzburg/a2_flug_tageszeit.png" TargetMode="External"/><Relationship Id="rId33" Type="http://schemas.openxmlformats.org/officeDocument/2006/relationships/hyperlink" Target="../04_images/wurzburg/a3_a5_flug_temperatur.png" TargetMode="External"/><Relationship Id="rId34" Type="http://schemas.openxmlformats.org/officeDocument/2006/relationships/hyperlink" Target="../04_images/wurzburg/a4_a6_flug_regen_sonne_stunde.png" TargetMode="External"/><Relationship Id="rId35" Type="http://schemas.openxmlformats.org/officeDocument/2006/relationships/hyperlink" Target="../04_images/wurzburg/a7_flug_feuchte.png" TargetMode="External"/><Relationship Id="rId36" Type="http://schemas.openxmlformats.org/officeDocument/2006/relationships/hyperlink" Target="../04_images/wurzburg/a8_flug_strahlung_hitze.png" TargetMode="External"/><Relationship Id="rId37" Type="http://schemas.openxmlformats.org/officeDocument/2006/relationships/hyperlink" Target="../04_images/wurzburg/a9_a10_flug_wind_luftdruck.png" TargetMode="External"/><Relationship Id="rId38" Type="http://schemas.openxmlformats.org/officeDocument/2006/relationships/hyperlink" Target="../04_images/wurzburg/h1_honig_produktion.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