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PROJEKTPLAN</w:t>
      </w:r>
    </w:p>
    <w:p>
      <w:r>
        <w:rPr>
          <w:color w:val="595959"/>
          <w:sz w:val="24"/>
        </w:rPr>
        <w:t>Leitfaden für Datenplattform-Projekte – angewendet auf die Azure-Datenplattform (Anwendungsfall Bee Haven)</w:t>
      </w:r>
    </w:p>
    <w:tbl>
      <w:tblPr>
        <w:tblStyle w:val="TableGrid"/>
        <w:tblW w:type="auto" w:w="0"/>
        <w:jc w:val="center"/>
        <w:tblLayout w:type="fixed"/>
        <w:tblLook w:firstColumn="1" w:firstRow="1" w:lastColumn="0" w:lastRow="0" w:noHBand="0" w:noVBand="1" w:val="04A0"/>
      </w:tblPr>
      <w:tblGrid>
        <w:gridCol w:w="2009"/>
        <w:gridCol w:w="7402"/>
      </w:tblGrid>
      <w:tr>
        <w:trPr>
          <w:tblHeader/>
        </w:trPr>
        <w:tc>
          <w:tcPr>
            <w:tcW w:type="dxa" w:w="2009"/>
            <w:shd w:val="clear" w:color="auto" w:fill="D9E2F3"/>
          </w:tcPr>
          <w:p>
            <w:pPr>
              <w:spacing w:after="0"/>
            </w:pPr>
            <w:r>
              <w:rPr>
                <w:b/>
                <w:sz w:val="19"/>
              </w:rPr>
              <w:t>Feld</w:t>
            </w:r>
          </w:p>
        </w:tc>
        <w:tc>
          <w:tcPr>
            <w:tcW w:type="dxa" w:w="7402"/>
            <w:shd w:val="clear" w:color="auto" w:fill="D9E2F3"/>
          </w:tcPr>
          <w:p>
            <w:pPr>
              <w:spacing w:after="0"/>
            </w:pPr>
            <w:r>
              <w:rPr>
                <w:b/>
                <w:sz w:val="19"/>
              </w:rPr>
              <w:t>Inhalt</w:t>
            </w:r>
          </w:p>
        </w:tc>
      </w:tr>
      <w:tr>
        <w:trPr/>
        <w:tc>
          <w:tcPr>
            <w:tcW w:type="dxa" w:w="2009"/>
          </w:tcPr>
          <w:p>
            <w:pPr>
              <w:spacing w:after="0"/>
            </w:pPr>
            <w:r>
              <w:rPr>
                <w:sz w:val="19"/>
              </w:rPr>
              <w:t>Dokument</w:t>
            </w:r>
          </w:p>
        </w:tc>
        <w:tc>
          <w:tcPr>
            <w:tcW w:type="dxa" w:w="7402"/>
          </w:tcPr>
          <w:p>
            <w:pPr>
              <w:spacing w:after="0"/>
            </w:pPr>
            <w:r>
              <w:rPr>
                <w:sz w:val="19"/>
              </w:rPr>
              <w:t>PP-ITS-002 · Projektplan</w:t>
            </w:r>
          </w:p>
        </w:tc>
      </w:tr>
      <w:tr>
        <w:trPr/>
        <w:tc>
          <w:tcPr>
            <w:tcW w:type="dxa" w:w="2009"/>
          </w:tcPr>
          <w:p>
            <w:pPr>
              <w:spacing w:after="0"/>
            </w:pPr>
            <w:r>
              <w:rPr>
                <w:sz w:val="19"/>
              </w:rPr>
              <w:t>Projekt</w:t>
            </w:r>
          </w:p>
        </w:tc>
        <w:tc>
          <w:tcPr>
            <w:tcW w:type="dxa" w:w="7402"/>
          </w:tcPr>
          <w:p>
            <w:pPr>
              <w:spacing w:after="0"/>
            </w:pPr>
            <w:r>
              <w:rPr>
                <w:sz w:val="19"/>
              </w:rPr>
              <w:t>Azure-Datenplattform – automatisierte Datenverarbeitung mit Pipelines</w:t>
            </w:r>
          </w:p>
        </w:tc>
      </w:tr>
      <w:tr>
        <w:trPr/>
        <w:tc>
          <w:tcPr>
            <w:tcW w:type="dxa" w:w="2009"/>
          </w:tcPr>
          <w:p>
            <w:pPr>
              <w:spacing w:after="0"/>
            </w:pPr>
            <w:r>
              <w:rPr>
                <w:sz w:val="19"/>
              </w:rPr>
              <w:t>Anwendungsfall</w:t>
            </w:r>
          </w:p>
        </w:tc>
        <w:tc>
          <w:tcPr>
            <w:tcW w:type="dxa" w:w="7402"/>
          </w:tcPr>
          <w:p>
            <w:pPr>
              <w:spacing w:after="0"/>
            </w:pPr>
            <w:r>
              <w:rPr>
                <w:sz w:val="19"/>
              </w:rPr>
              <w:t>Sensordaten von Bienenstöcken (Bee Haven, Standorte Schwartau und Würzburg, 2017–2019)</w:t>
            </w:r>
          </w:p>
        </w:tc>
      </w:tr>
      <w:tr>
        <w:trPr/>
        <w:tc>
          <w:tcPr>
            <w:tcW w:type="dxa" w:w="2009"/>
          </w:tcPr>
          <w:p>
            <w:pPr>
              <w:spacing w:after="0"/>
            </w:pPr>
            <w:r>
              <w:rPr>
                <w:sz w:val="19"/>
              </w:rPr>
              <w:t>Projektträger</w:t>
            </w:r>
          </w:p>
        </w:tc>
        <w:tc>
          <w:tcPr>
            <w:tcW w:type="dxa" w:w="7402"/>
          </w:tcPr>
          <w:p>
            <w:pPr>
              <w:spacing w:after="0"/>
            </w:pPr>
            <w:r>
              <w:rPr>
                <w:sz w:val="19"/>
              </w:rPr>
              <w:t>WBS Coding School – Data Science &amp; AI, Kapitel 9 Cloud Computing Azure (DP-900)</w:t>
            </w:r>
          </w:p>
        </w:tc>
      </w:tr>
      <w:tr>
        <w:trPr/>
        <w:tc>
          <w:tcPr>
            <w:tcW w:type="dxa" w:w="2009"/>
          </w:tcPr>
          <w:p>
            <w:pPr>
              <w:spacing w:after="0"/>
            </w:pPr>
            <w:r>
              <w:rPr>
                <w:sz w:val="19"/>
              </w:rPr>
              <w:t>Rolle</w:t>
            </w:r>
          </w:p>
        </w:tc>
        <w:tc>
          <w:tcPr>
            <w:tcW w:type="dxa" w:w="7402"/>
          </w:tcPr>
          <w:p>
            <w:pPr>
              <w:spacing w:after="0"/>
            </w:pPr>
            <w:r>
              <w:rPr>
                <w:sz w:val="19"/>
              </w:rPr>
              <w:t>Projektleitung (Data Specialist in Personalunion)</w:t>
            </w:r>
          </w:p>
        </w:tc>
      </w:tr>
      <w:tr>
        <w:trPr/>
        <w:tc>
          <w:tcPr>
            <w:tcW w:type="dxa" w:w="2009"/>
          </w:tcPr>
          <w:p>
            <w:pPr>
              <w:spacing w:after="0"/>
            </w:pPr>
            <w:r>
              <w:rPr>
                <w:sz w:val="19"/>
              </w:rPr>
              <w:t>Zeitraum</w:t>
            </w:r>
          </w:p>
        </w:tc>
        <w:tc>
          <w:tcPr>
            <w:tcW w:type="dxa" w:w="7402"/>
          </w:tcPr>
          <w:p>
            <w:pPr>
              <w:spacing w:after="0"/>
            </w:pPr>
            <w:r>
              <w:rPr>
                <w:sz w:val="19"/>
              </w:rPr>
              <w:t>23.09.2026 bis Kursende (voraussichtlich Mitte Oktober 2026)</w:t>
            </w:r>
          </w:p>
        </w:tc>
      </w:tr>
      <w:tr>
        <w:trPr/>
        <w:tc>
          <w:tcPr>
            <w:tcW w:type="dxa" w:w="2009"/>
          </w:tcPr>
          <w:p>
            <w:pPr>
              <w:spacing w:after="0"/>
            </w:pPr>
            <w:r>
              <w:rPr>
                <w:sz w:val="19"/>
              </w:rPr>
              <w:t>Version</w:t>
            </w:r>
          </w:p>
        </w:tc>
        <w:tc>
          <w:tcPr>
            <w:tcW w:type="dxa" w:w="7402"/>
          </w:tcPr>
          <w:p>
            <w:pPr>
              <w:spacing w:after="0"/>
            </w:pPr>
            <w:r>
              <w:rPr>
                <w:sz w:val="19"/>
              </w:rPr>
              <w:t xml:space="preserve">1.11 · Stand 05.10.2026 · Status: </w:t>
            </w:r>
            <w:r>
              <w:rPr>
                <w:b/>
                <w:sz w:val="19"/>
              </w:rPr>
              <w:t>freigegeben 05.10.2026 (Projektleitung)</w:t>
            </w:r>
            <w:r>
              <w:rPr>
                <w:sz w:val="19"/>
              </w:rPr>
              <w:t xml:space="preserve"> (Änderung zu 1.10: Kap. 8 Folgeprojekt FP-4 entfällt – Rohdaten werden nicht veröffentlicht, Entscheidung Geschäftsführung 05.10.2026; fachliche Bestätigung der Warnregeln in FP-2 übernommen; Kap. 9 Handlungsempfehlungen HE-1–HE-6 an die Präsentation PS-ITS-001 angeglichen)</w:t>
            </w:r>
          </w:p>
        </w:tc>
      </w:tr>
      <w:tr>
        <w:trPr/>
        <w:tc>
          <w:tcPr>
            <w:tcW w:type="dxa" w:w="2009"/>
          </w:tcPr>
          <w:p>
            <w:pPr>
              <w:spacing w:after="0"/>
            </w:pPr>
            <w:r>
              <w:rPr>
                <w:sz w:val="19"/>
              </w:rPr>
              <w:t>KI-Unterstützung</w:t>
            </w:r>
          </w:p>
        </w:tc>
        <w:tc>
          <w:tcPr>
            <w:tcW w:type="dxa" w:w="7402"/>
          </w:tcPr>
          <w:p>
            <w:pPr>
              <w:spacing w:after="0"/>
            </w:pPr>
            <w:r>
              <w:rPr>
                <w:sz w:val="19"/>
              </w:rPr>
              <w:t>Entwurf mit KI-Unterstützung erstellt, geprüft und verantwortet von der Projektleitung (RL-RC-004 Abschnitt 0)</w:t>
            </w:r>
          </w:p>
        </w:tc>
      </w:tr>
      <w:tr>
        <w:trPr/>
        <w:tc>
          <w:tcPr>
            <w:tcW w:type="dxa" w:w="2009"/>
          </w:tcPr>
          <w:p>
            <w:pPr>
              <w:spacing w:after="0"/>
            </w:pPr>
            <w:r>
              <w:rPr>
                <w:sz w:val="19"/>
              </w:rPr>
              <w:t>Grundlage</w:t>
            </w:r>
          </w:p>
        </w:tc>
        <w:tc>
          <w:tcPr>
            <w:tcW w:type="dxa" w:w="7402"/>
          </w:tcPr>
          <w:p>
            <w:pPr>
              <w:spacing w:after="0"/>
            </w:pPr>
            <w:r>
              <w:rPr>
                <w:sz w:val="19"/>
              </w:rPr>
              <w:t>BS-ITS-002 Brainstorming v1.9 (Ideen I1–I82, Konzeptgedanken K1–K8, Folgeprojekte FP-1–FP-7; FP-4 entfällt)</w:t>
            </w:r>
          </w:p>
        </w:tc>
      </w:tr>
      <w:tr>
        <w:trPr/>
        <w:tc>
          <w:tcPr>
            <w:tcW w:type="dxa" w:w="2009"/>
          </w:tcPr>
          <w:p>
            <w:pPr>
              <w:spacing w:after="0"/>
            </w:pPr>
            <w:r>
              <w:rPr>
                <w:sz w:val="19"/>
              </w:rPr>
              <w:t>Folgedokumente</w:t>
            </w:r>
          </w:p>
        </w:tc>
        <w:tc>
          <w:tcPr>
            <w:tcW w:type="dxa" w:w="7402"/>
          </w:tcPr>
          <w:p>
            <w:pPr>
              <w:spacing w:after="0"/>
            </w:pPr>
            <w:r>
              <w:rPr>
                <w:sz w:val="19"/>
              </w:rPr>
              <w:t>PH-ITS-002 Pflichtenheft · AN-ITS-001 Anleitung Azure-Datenplattform (Gesamt-Anleitung Phase 1–3)</w:t>
            </w:r>
          </w:p>
        </w:tc>
      </w:tr>
    </w:tbl>
    <w:p>
      <w:pPr>
        <w:spacing w:after="0" w:line="20" w:lineRule="exact"/>
      </w:pPr>
    </w:p>
    <w:p>
      <w:pPr>
        <w:pStyle w:val="Heading1"/>
      </w:pPr>
      <w:r>
        <w:t>1. Zweck des Dokuments</w:t>
      </w:r>
    </w:p>
    <w:p>
      <w:pPr>
        <w:spacing w:after="0" w:line="20" w:lineRule="exact"/>
      </w:pPr>
    </w:p>
    <w:p>
      <w:r>
        <w:t>Der Projektplan legt fest, in welcher Reihenfolge das Projekt abläuft, wer welche Aufgabe übernimmt und woran ein Meilenstein als erreicht gilt. Kapitel 2–3 sind ein wiederverwendbarer Leitfaden für Datenplattform-Projekte; Kapitel 4 beschreibt das Soll-Konzept der Datenpipeline als Endergebnis (so, wie es von Anfang an geplant würde), Kapitel 5 wendet den Leitfaden auf dieses Projekt an (Anwendungsfall Bee Haven), Kapitel 8 und 9 übergeben Folgeprojekte und Handlungsempfehlungen. Für ein neues Projekt wird das Dokument kopiert und nur Kapitel 4 bis 9 ausgetauscht.</w:t>
      </w:r>
    </w:p>
    <w:p>
      <w:r>
        <w:t>Betriebsweite Regeln gelten ohne Wiederholung hier: Freigaben (Human Loop) nach RL-RC-003 Human-Loop-Matrix, Dokumente, Versionen, Archiv und Protokolle nach ST-QM-001, Leitplanken für Agenten und KI nach RL-RC-004.</w:t>
      </w:r>
    </w:p>
    <w:p>
      <w:r>
        <w:t>Jeder Meilenstein in Kapitel 5 entspricht einem Kapitel im Pflichtenheft (Ergebnisse) und einem Teil der Anleitungen (Umsetzung) – in derselben zeitlichen Reihenfolge.</w:t>
      </w:r>
    </w:p>
    <w:p>
      <w:pPr>
        <w:pStyle w:val="Heading1"/>
      </w:pPr>
      <w:r>
        <w:t>2. Phasenplan für Datenplattform-Projekte</w:t>
      </w:r>
    </w:p>
    <w:p>
      <w:pPr>
        <w:spacing w:after="0" w:line="20" w:lineRule="exact"/>
      </w:pPr>
    </w:p>
    <w:p>
      <w:r>
        <w:t>Logische Reihenfolge unabhängig vom Betrieb. Je Phase: Kerninhalt, Umsetzung im Schulprojekt, übliche Zuständigkeit in der Praxis (Rollen nach Organigramm) und Übergabe an die nächste Phase.</w:t>
      </w:r>
    </w:p>
    <w:tbl>
      <w:tblPr>
        <w:tblStyle w:val="TableGrid"/>
        <w:tblW w:type="auto" w:w="0"/>
        <w:jc w:val="center"/>
        <w:tblLayout w:type="fixed"/>
        <w:tblLook w:firstColumn="1" w:firstRow="1" w:lastColumn="0" w:lastRow="0" w:noHBand="0" w:noVBand="1" w:val="04A0"/>
      </w:tblPr>
      <w:tblGrid>
        <w:gridCol w:w="707"/>
        <w:gridCol w:w="2621"/>
        <w:gridCol w:w="1996"/>
        <w:gridCol w:w="2379"/>
        <w:gridCol w:w="1708"/>
      </w:tblGrid>
      <w:tr>
        <w:trPr>
          <w:tblHeader/>
        </w:trPr>
        <w:tc>
          <w:tcPr>
            <w:tcW w:type="dxa" w:w="707"/>
            <w:shd w:val="clear" w:color="auto" w:fill="D9E2F3"/>
          </w:tcPr>
          <w:p>
            <w:pPr>
              <w:spacing w:after="0"/>
            </w:pPr>
            <w:r>
              <w:rPr>
                <w:b/>
                <w:sz w:val="19"/>
              </w:rPr>
              <w:t>Nr.</w:t>
            </w:r>
          </w:p>
        </w:tc>
        <w:tc>
          <w:tcPr>
            <w:tcW w:type="dxa" w:w="2621"/>
            <w:shd w:val="clear" w:color="auto" w:fill="D9E2F3"/>
          </w:tcPr>
          <w:p>
            <w:pPr>
              <w:spacing w:after="0"/>
            </w:pPr>
            <w:r>
              <w:rPr>
                <w:b/>
                <w:sz w:val="19"/>
              </w:rPr>
              <w:t>Phase / Inhalt</w:t>
            </w:r>
          </w:p>
        </w:tc>
        <w:tc>
          <w:tcPr>
            <w:tcW w:type="dxa" w:w="1996"/>
            <w:shd w:val="clear" w:color="auto" w:fill="D9E2F3"/>
          </w:tcPr>
          <w:p>
            <w:pPr>
              <w:spacing w:after="0"/>
            </w:pPr>
            <w:r>
              <w:rPr>
                <w:b/>
                <w:sz w:val="19"/>
              </w:rPr>
              <w:t>Im Schulprojekt</w:t>
            </w:r>
          </w:p>
        </w:tc>
        <w:tc>
          <w:tcPr>
            <w:tcW w:type="dxa" w:w="2379"/>
            <w:shd w:val="clear" w:color="auto" w:fill="D9E2F3"/>
          </w:tcPr>
          <w:p>
            <w:pPr>
              <w:spacing w:after="0"/>
            </w:pPr>
            <w:r>
              <w:rPr>
                <w:b/>
                <w:sz w:val="19"/>
              </w:rPr>
              <w:t>In der Praxis zuständig</w:t>
            </w:r>
          </w:p>
        </w:tc>
        <w:tc>
          <w:tcPr>
            <w:tcW w:type="dxa" w:w="1708"/>
            <w:shd w:val="clear" w:color="auto" w:fill="D9E2F3"/>
          </w:tcPr>
          <w:p>
            <w:pPr>
              <w:spacing w:after="0"/>
            </w:pPr>
            <w:r>
              <w:rPr>
                <w:b/>
                <w:sz w:val="19"/>
              </w:rPr>
              <w:t>Übergabe an</w:t>
            </w:r>
          </w:p>
        </w:tc>
      </w:tr>
      <w:tr>
        <w:trPr/>
        <w:tc>
          <w:tcPr>
            <w:tcW w:type="dxa" w:w="707"/>
          </w:tcPr>
          <w:p>
            <w:pPr>
              <w:spacing w:after="0"/>
            </w:pPr>
            <w:r>
              <w:rPr>
                <w:sz w:val="19"/>
              </w:rPr>
              <w:t>0</w:t>
            </w:r>
          </w:p>
        </w:tc>
        <w:tc>
          <w:tcPr>
            <w:tcW w:type="dxa" w:w="2621"/>
          </w:tcPr>
          <w:p>
            <w:pPr>
              <w:spacing w:after="0"/>
            </w:pPr>
            <w:r>
              <w:rPr>
                <w:b/>
                <w:sz w:val="19"/>
              </w:rPr>
              <w:t>Initiierung und Kostenrahmen:</w:t>
            </w:r>
            <w:r>
              <w:rPr>
                <w:sz w:val="19"/>
              </w:rPr>
              <w:t xml:space="preserve"> Ziel, Auftraggeber, Budget, Region, Datenschutz-Einordnung</w:t>
            </w:r>
          </w:p>
        </w:tc>
        <w:tc>
          <w:tcPr>
            <w:tcW w:type="dxa" w:w="1996"/>
          </w:tcPr>
          <w:p>
            <w:pPr>
              <w:spacing w:after="0"/>
            </w:pPr>
            <w:r>
              <w:rPr>
                <w:sz w:val="19"/>
              </w:rPr>
              <w:t>ja</w:t>
            </w:r>
          </w:p>
        </w:tc>
        <w:tc>
          <w:tcPr>
            <w:tcW w:type="dxa" w:w="2379"/>
          </w:tcPr>
          <w:p>
            <w:pPr>
              <w:spacing w:after="0"/>
            </w:pPr>
            <w:r>
              <w:rPr>
                <w:sz w:val="19"/>
              </w:rPr>
              <w:t>Geschäftsführung, Projektleitung, Abteilung Finanzen</w:t>
            </w:r>
          </w:p>
        </w:tc>
        <w:tc>
          <w:tcPr>
            <w:tcW w:type="dxa" w:w="1708"/>
          </w:tcPr>
          <w:p>
            <w:pPr>
              <w:spacing w:after="0"/>
            </w:pPr>
            <w:r>
              <w:rPr>
                <w:sz w:val="19"/>
              </w:rPr>
              <w:t>Anforderungen</w:t>
            </w:r>
          </w:p>
        </w:tc>
      </w:tr>
      <w:tr>
        <w:trPr/>
        <w:tc>
          <w:tcPr>
            <w:tcW w:type="dxa" w:w="707"/>
          </w:tcPr>
          <w:p>
            <w:pPr>
              <w:spacing w:after="0"/>
            </w:pPr>
            <w:r>
              <w:rPr>
                <w:sz w:val="19"/>
              </w:rPr>
              <w:t>1</w:t>
            </w:r>
          </w:p>
        </w:tc>
        <w:tc>
          <w:tcPr>
            <w:tcW w:type="dxa" w:w="2621"/>
          </w:tcPr>
          <w:p>
            <w:pPr>
              <w:spacing w:after="0"/>
            </w:pPr>
            <w:r>
              <w:rPr>
                <w:b/>
                <w:sz w:val="19"/>
              </w:rPr>
              <w:t>Anforderungen und Leitfragen:</w:t>
            </w:r>
            <w:r>
              <w:rPr>
                <w:sz w:val="19"/>
              </w:rPr>
              <w:t xml:space="preserve"> W-Fragen, Fragen der Nutzenden, Erfolgskriterien</w:t>
            </w:r>
          </w:p>
        </w:tc>
        <w:tc>
          <w:tcPr>
            <w:tcW w:type="dxa" w:w="1996"/>
          </w:tcPr>
          <w:p>
            <w:pPr>
              <w:spacing w:after="0"/>
            </w:pPr>
            <w:r>
              <w:rPr>
                <w:sz w:val="19"/>
              </w:rPr>
              <w:t>ja</w:t>
            </w:r>
          </w:p>
        </w:tc>
        <w:tc>
          <w:tcPr>
            <w:tcW w:type="dxa" w:w="2379"/>
          </w:tcPr>
          <w:p>
            <w:pPr>
              <w:spacing w:after="0"/>
            </w:pPr>
            <w:r>
              <w:rPr>
                <w:sz w:val="19"/>
              </w:rPr>
              <w:t>Projektleitung mit Fachbereich</w:t>
            </w:r>
          </w:p>
        </w:tc>
        <w:tc>
          <w:tcPr>
            <w:tcW w:type="dxa" w:w="1708"/>
          </w:tcPr>
          <w:p>
            <w:pPr>
              <w:spacing w:after="0"/>
            </w:pPr>
            <w:r>
              <w:rPr>
                <w:sz w:val="19"/>
              </w:rPr>
              <w:t>Plattform einrichten</w:t>
            </w:r>
          </w:p>
        </w:tc>
      </w:tr>
      <w:tr>
        <w:trPr/>
        <w:tc>
          <w:tcPr>
            <w:tcW w:type="dxa" w:w="707"/>
          </w:tcPr>
          <w:p>
            <w:pPr>
              <w:spacing w:after="0"/>
            </w:pPr>
            <w:r>
              <w:rPr>
                <w:sz w:val="19"/>
              </w:rPr>
              <w:t>2</w:t>
            </w:r>
          </w:p>
        </w:tc>
        <w:tc>
          <w:tcPr>
            <w:tcW w:type="dxa" w:w="2621"/>
          </w:tcPr>
          <w:p>
            <w:pPr>
              <w:spacing w:after="0"/>
            </w:pPr>
            <w:r>
              <w:rPr>
                <w:b/>
                <w:sz w:val="19"/>
              </w:rPr>
              <w:t>Plattform einrichten:</w:t>
            </w:r>
            <w:r>
              <w:rPr>
                <w:sz w:val="19"/>
              </w:rPr>
              <w:t xml:space="preserve"> Ressourcengruppe, Speicher, Data Factory, Rechte (minimale Rechte), Namenskonvention</w:t>
            </w:r>
          </w:p>
        </w:tc>
        <w:tc>
          <w:tcPr>
            <w:tcW w:type="dxa" w:w="1996"/>
          </w:tcPr>
          <w:p>
            <w:pPr>
              <w:spacing w:after="0"/>
            </w:pPr>
            <w:r>
              <w:rPr>
                <w:sz w:val="19"/>
              </w:rPr>
              <w:t>ja</w:t>
            </w:r>
          </w:p>
        </w:tc>
        <w:tc>
          <w:tcPr>
            <w:tcW w:type="dxa" w:w="2379"/>
          </w:tcPr>
          <w:p>
            <w:pPr>
              <w:spacing w:after="0"/>
            </w:pPr>
            <w:r>
              <w:rPr>
                <w:sz w:val="19"/>
              </w:rPr>
              <w:t>IT-Systemadministrator (IT &amp; Security)</w:t>
            </w:r>
          </w:p>
        </w:tc>
        <w:tc>
          <w:tcPr>
            <w:tcW w:type="dxa" w:w="1708"/>
          </w:tcPr>
          <w:p>
            <w:pPr>
              <w:spacing w:after="0"/>
            </w:pPr>
            <w:r>
              <w:rPr>
                <w:sz w:val="19"/>
              </w:rPr>
              <w:t>Datenaufnahme</w:t>
            </w:r>
          </w:p>
        </w:tc>
      </w:tr>
      <w:tr>
        <w:trPr/>
        <w:tc>
          <w:tcPr>
            <w:tcW w:type="dxa" w:w="707"/>
          </w:tcPr>
          <w:p>
            <w:pPr>
              <w:spacing w:after="0"/>
            </w:pPr>
            <w:r>
              <w:rPr>
                <w:sz w:val="19"/>
              </w:rPr>
              <w:t>3</w:t>
            </w:r>
          </w:p>
        </w:tc>
        <w:tc>
          <w:tcPr>
            <w:tcW w:type="dxa" w:w="2621"/>
          </w:tcPr>
          <w:p>
            <w:pPr>
              <w:spacing w:after="0"/>
            </w:pPr>
            <w:r>
              <w:rPr>
                <w:b/>
                <w:sz w:val="19"/>
              </w:rPr>
              <w:t>Datenaufnahme und Archiv:</w:t>
            </w:r>
            <w:r>
              <w:rPr>
                <w:sz w:val="19"/>
              </w:rPr>
              <w:t xml:space="preserve"> Rohdaten automatisiert nach Bronze, jede Lieferung mit Zeitstempel archiviert</w:t>
            </w:r>
          </w:p>
        </w:tc>
        <w:tc>
          <w:tcPr>
            <w:tcW w:type="dxa" w:w="1996"/>
          </w:tcPr>
          <w:p>
            <w:pPr>
              <w:spacing w:after="0"/>
            </w:pPr>
            <w:r>
              <w:rPr>
                <w:sz w:val="19"/>
              </w:rPr>
              <w:t>ja</w:t>
            </w:r>
          </w:p>
        </w:tc>
        <w:tc>
          <w:tcPr>
            <w:tcW w:type="dxa" w:w="2379"/>
          </w:tcPr>
          <w:p>
            <w:pPr>
              <w:spacing w:after="0"/>
            </w:pPr>
            <w:r>
              <w:rPr>
                <w:sz w:val="19"/>
              </w:rPr>
              <w:t>Data Engineer (IT &amp; Security)</w:t>
            </w:r>
          </w:p>
        </w:tc>
        <w:tc>
          <w:tcPr>
            <w:tcW w:type="dxa" w:w="1708"/>
          </w:tcPr>
          <w:p>
            <w:pPr>
              <w:spacing w:after="0"/>
            </w:pPr>
            <w:r>
              <w:rPr>
                <w:sz w:val="19"/>
              </w:rPr>
              <w:t>Datenverständnis</w:t>
            </w:r>
          </w:p>
        </w:tc>
      </w:tr>
      <w:tr>
        <w:trPr/>
        <w:tc>
          <w:tcPr>
            <w:tcW w:type="dxa" w:w="707"/>
          </w:tcPr>
          <w:p>
            <w:pPr>
              <w:spacing w:after="0"/>
            </w:pPr>
            <w:r>
              <w:rPr>
                <w:sz w:val="19"/>
              </w:rPr>
              <w:t>4</w:t>
            </w:r>
          </w:p>
        </w:tc>
        <w:tc>
          <w:tcPr>
            <w:tcW w:type="dxa" w:w="2621"/>
          </w:tcPr>
          <w:p>
            <w:pPr>
              <w:spacing w:after="0"/>
            </w:pPr>
            <w:r>
              <w:rPr>
                <w:b/>
                <w:sz w:val="19"/>
              </w:rPr>
              <w:t>Datenverständnis:</w:t>
            </w:r>
            <w:r>
              <w:rPr>
                <w:sz w:val="19"/>
              </w:rPr>
              <w:t xml:space="preserve"> Datenprofil, Auffälligkeiten, offene Fragen</w:t>
            </w:r>
          </w:p>
        </w:tc>
        <w:tc>
          <w:tcPr>
            <w:tcW w:type="dxa" w:w="1996"/>
          </w:tcPr>
          <w:p>
            <w:pPr>
              <w:spacing w:after="0"/>
            </w:pPr>
            <w:r>
              <w:rPr>
                <w:sz w:val="19"/>
              </w:rPr>
              <w:t>ja</w:t>
            </w:r>
          </w:p>
        </w:tc>
        <w:tc>
          <w:tcPr>
            <w:tcW w:type="dxa" w:w="2379"/>
          </w:tcPr>
          <w:p>
            <w:pPr>
              <w:spacing w:after="0"/>
            </w:pPr>
            <w:r>
              <w:rPr>
                <w:sz w:val="19"/>
              </w:rPr>
              <w:t>Data Analyst</w:t>
            </w:r>
          </w:p>
        </w:tc>
        <w:tc>
          <w:tcPr>
            <w:tcW w:type="dxa" w:w="1708"/>
          </w:tcPr>
          <w:p>
            <w:pPr>
              <w:spacing w:after="0"/>
            </w:pPr>
            <w:r>
              <w:rPr>
                <w:sz w:val="19"/>
              </w:rPr>
              <w:t>Bereinigung</w:t>
            </w:r>
          </w:p>
        </w:tc>
      </w:tr>
      <w:tr>
        <w:trPr/>
        <w:tc>
          <w:tcPr>
            <w:tcW w:type="dxa" w:w="707"/>
          </w:tcPr>
          <w:p>
            <w:pPr>
              <w:spacing w:after="0"/>
            </w:pPr>
            <w:r>
              <w:rPr>
                <w:sz w:val="19"/>
              </w:rPr>
              <w:t>5</w:t>
            </w:r>
          </w:p>
        </w:tc>
        <w:tc>
          <w:tcPr>
            <w:tcW w:type="dxa" w:w="2621"/>
          </w:tcPr>
          <w:p>
            <w:pPr>
              <w:spacing w:after="0"/>
            </w:pPr>
            <w:r>
              <w:rPr>
                <w:b/>
                <w:sz w:val="19"/>
              </w:rPr>
              <w:t>Bereinigung und Datenqualität (Silver):</w:t>
            </w:r>
            <w:r>
              <w:rPr>
                <w:sz w:val="19"/>
              </w:rPr>
              <w:t xml:space="preserve"> Regeln mit Begründung, markieren statt löschen</w:t>
            </w:r>
          </w:p>
        </w:tc>
        <w:tc>
          <w:tcPr>
            <w:tcW w:type="dxa" w:w="1996"/>
          </w:tcPr>
          <w:p>
            <w:pPr>
              <w:spacing w:after="0"/>
            </w:pPr>
            <w:r>
              <w:rPr>
                <w:sz w:val="19"/>
              </w:rPr>
              <w:t>ja</w:t>
            </w:r>
          </w:p>
        </w:tc>
        <w:tc>
          <w:tcPr>
            <w:tcW w:type="dxa" w:w="2379"/>
          </w:tcPr>
          <w:p>
            <w:pPr>
              <w:spacing w:after="0"/>
            </w:pPr>
            <w:r>
              <w:rPr>
                <w:sz w:val="19"/>
              </w:rPr>
              <w:t>Data Analyst / Data Engineer</w:t>
            </w:r>
          </w:p>
        </w:tc>
        <w:tc>
          <w:tcPr>
            <w:tcW w:type="dxa" w:w="1708"/>
          </w:tcPr>
          <w:p>
            <w:pPr>
              <w:spacing w:after="0"/>
            </w:pPr>
            <w:r>
              <w:rPr>
                <w:sz w:val="19"/>
              </w:rPr>
              <w:t>Anreicherung</w:t>
            </w:r>
          </w:p>
        </w:tc>
      </w:tr>
      <w:tr>
        <w:trPr/>
        <w:tc>
          <w:tcPr>
            <w:tcW w:type="dxa" w:w="707"/>
          </w:tcPr>
          <w:p>
            <w:pPr>
              <w:spacing w:after="0"/>
            </w:pPr>
            <w:r>
              <w:rPr>
                <w:sz w:val="19"/>
              </w:rPr>
              <w:t>6</w:t>
            </w:r>
          </w:p>
        </w:tc>
        <w:tc>
          <w:tcPr>
            <w:tcW w:type="dxa" w:w="2621"/>
          </w:tcPr>
          <w:p>
            <w:pPr>
              <w:spacing w:after="0"/>
            </w:pPr>
            <w:r>
              <w:rPr>
                <w:b/>
                <w:sz w:val="19"/>
              </w:rPr>
              <w:t>Anreicherung:</w:t>
            </w:r>
            <w:r>
              <w:rPr>
                <w:sz w:val="19"/>
              </w:rPr>
              <w:t xml:space="preserve"> externe Daten (z. B. Wetter über API), Quellenangaben</w:t>
            </w:r>
          </w:p>
        </w:tc>
        <w:tc>
          <w:tcPr>
            <w:tcW w:type="dxa" w:w="1996"/>
          </w:tcPr>
          <w:p>
            <w:pPr>
              <w:spacing w:after="0"/>
            </w:pPr>
            <w:r>
              <w:rPr>
                <w:sz w:val="19"/>
              </w:rPr>
              <w:t>ja</w:t>
            </w:r>
          </w:p>
        </w:tc>
        <w:tc>
          <w:tcPr>
            <w:tcW w:type="dxa" w:w="2379"/>
          </w:tcPr>
          <w:p>
            <w:pPr>
              <w:spacing w:after="0"/>
            </w:pPr>
            <w:r>
              <w:rPr>
                <w:sz w:val="19"/>
              </w:rPr>
              <w:t>Data Engineer</w:t>
            </w:r>
          </w:p>
        </w:tc>
        <w:tc>
          <w:tcPr>
            <w:tcW w:type="dxa" w:w="1708"/>
          </w:tcPr>
          <w:p>
            <w:pPr>
              <w:spacing w:after="0"/>
            </w:pPr>
            <w:r>
              <w:rPr>
                <w:sz w:val="19"/>
              </w:rPr>
              <w:t>Analyse</w:t>
            </w:r>
          </w:p>
        </w:tc>
      </w:tr>
      <w:tr>
        <w:trPr/>
        <w:tc>
          <w:tcPr>
            <w:tcW w:type="dxa" w:w="707"/>
          </w:tcPr>
          <w:p>
            <w:pPr>
              <w:spacing w:after="0"/>
            </w:pPr>
            <w:r>
              <w:rPr>
                <w:sz w:val="19"/>
              </w:rPr>
              <w:t>7</w:t>
            </w:r>
          </w:p>
        </w:tc>
        <w:tc>
          <w:tcPr>
            <w:tcW w:type="dxa" w:w="2621"/>
          </w:tcPr>
          <w:p>
            <w:pPr>
              <w:spacing w:after="0"/>
            </w:pPr>
            <w:r>
              <w:rPr>
                <w:b/>
                <w:sz w:val="19"/>
              </w:rPr>
              <w:t>Analyse und Gold:</w:t>
            </w:r>
            <w:r>
              <w:rPr>
                <w:sz w:val="19"/>
              </w:rPr>
              <w:t xml:space="preserve"> Fragen beantworten, Kennzahlen, analysebereite Tabellen</w:t>
            </w:r>
          </w:p>
        </w:tc>
        <w:tc>
          <w:tcPr>
            <w:tcW w:type="dxa" w:w="1996"/>
          </w:tcPr>
          <w:p>
            <w:pPr>
              <w:spacing w:after="0"/>
            </w:pPr>
            <w:r>
              <w:rPr>
                <w:sz w:val="19"/>
              </w:rPr>
              <w:t>ja</w:t>
            </w:r>
          </w:p>
        </w:tc>
        <w:tc>
          <w:tcPr>
            <w:tcW w:type="dxa" w:w="2379"/>
          </w:tcPr>
          <w:p>
            <w:pPr>
              <w:spacing w:after="0"/>
            </w:pPr>
            <w:r>
              <w:rPr>
                <w:sz w:val="19"/>
              </w:rPr>
              <w:t>Data Analyst / Data Scientist</w:t>
            </w:r>
          </w:p>
        </w:tc>
        <w:tc>
          <w:tcPr>
            <w:tcW w:type="dxa" w:w="1708"/>
          </w:tcPr>
          <w:p>
            <w:pPr>
              <w:spacing w:after="0"/>
            </w:pPr>
            <w:r>
              <w:rPr>
                <w:sz w:val="19"/>
              </w:rPr>
              <w:t>Automatisierung</w:t>
            </w:r>
          </w:p>
        </w:tc>
      </w:tr>
      <w:tr>
        <w:trPr/>
        <w:tc>
          <w:tcPr>
            <w:tcW w:type="dxa" w:w="707"/>
          </w:tcPr>
          <w:p>
            <w:pPr>
              <w:spacing w:after="0"/>
            </w:pPr>
            <w:r>
              <w:rPr>
                <w:sz w:val="19"/>
              </w:rPr>
              <w:t>8</w:t>
            </w:r>
          </w:p>
        </w:tc>
        <w:tc>
          <w:tcPr>
            <w:tcW w:type="dxa" w:w="2621"/>
          </w:tcPr>
          <w:p>
            <w:pPr>
              <w:spacing w:after="0"/>
            </w:pPr>
            <w:r>
              <w:rPr>
                <w:b/>
                <w:sz w:val="19"/>
              </w:rPr>
              <w:t>Automatisierung und Überwachung:</w:t>
            </w:r>
            <w:r>
              <w:rPr>
                <w:sz w:val="19"/>
              </w:rPr>
              <w:t xml:space="preserve"> Master-Pipeline, Trigger, Fehlerbehandlung, Protokoll</w:t>
            </w:r>
          </w:p>
        </w:tc>
        <w:tc>
          <w:tcPr>
            <w:tcW w:type="dxa" w:w="1996"/>
          </w:tcPr>
          <w:p>
            <w:pPr>
              <w:spacing w:after="0"/>
            </w:pPr>
            <w:r>
              <w:rPr>
                <w:sz w:val="19"/>
              </w:rPr>
              <w:t>ja (Trigger gestoppt, Kosten)</w:t>
            </w:r>
          </w:p>
        </w:tc>
        <w:tc>
          <w:tcPr>
            <w:tcW w:type="dxa" w:w="2379"/>
          </w:tcPr>
          <w:p>
            <w:pPr>
              <w:spacing w:after="0"/>
            </w:pPr>
            <w:r>
              <w:rPr>
                <w:sz w:val="19"/>
              </w:rPr>
              <w:t>Data Engineer, IT-Systemadministrator</w:t>
            </w:r>
          </w:p>
        </w:tc>
        <w:tc>
          <w:tcPr>
            <w:tcW w:type="dxa" w:w="1708"/>
          </w:tcPr>
          <w:p>
            <w:pPr>
              <w:spacing w:after="0"/>
            </w:pPr>
            <w:r>
              <w:rPr>
                <w:sz w:val="19"/>
              </w:rPr>
              <w:t>Visualisierung</w:t>
            </w:r>
          </w:p>
        </w:tc>
      </w:tr>
      <w:tr>
        <w:trPr/>
        <w:tc>
          <w:tcPr>
            <w:tcW w:type="dxa" w:w="707"/>
          </w:tcPr>
          <w:p>
            <w:pPr>
              <w:spacing w:after="0"/>
            </w:pPr>
            <w:r>
              <w:rPr>
                <w:sz w:val="19"/>
              </w:rPr>
              <w:t>9</w:t>
            </w:r>
          </w:p>
        </w:tc>
        <w:tc>
          <w:tcPr>
            <w:tcW w:type="dxa" w:w="2621"/>
          </w:tcPr>
          <w:p>
            <w:pPr>
              <w:spacing w:after="0"/>
            </w:pPr>
            <w:r>
              <w:rPr>
                <w:b/>
                <w:sz w:val="19"/>
              </w:rPr>
              <w:t>Visualisierung:</w:t>
            </w:r>
            <w:r>
              <w:rPr>
                <w:sz w:val="19"/>
              </w:rPr>
              <w:t xml:space="preserve"> Dashboard, Warnhinweise, 5-Sekunden-Regel</w:t>
            </w:r>
          </w:p>
        </w:tc>
        <w:tc>
          <w:tcPr>
            <w:tcW w:type="dxa" w:w="1996"/>
          </w:tcPr>
          <w:p>
            <w:pPr>
              <w:spacing w:after="0"/>
            </w:pPr>
            <w:r>
              <w:rPr>
                <w:sz w:val="19"/>
              </w:rPr>
              <w:t>Kennzahlen-Konzept; Umsetzung Folgeprojekt FP-2</w:t>
            </w:r>
          </w:p>
        </w:tc>
        <w:tc>
          <w:tcPr>
            <w:tcW w:type="dxa" w:w="2379"/>
          </w:tcPr>
          <w:p>
            <w:pPr>
              <w:spacing w:after="0"/>
            </w:pPr>
            <w:r>
              <w:rPr>
                <w:sz w:val="19"/>
              </w:rPr>
              <w:t>Data Analyst, UX Designer</w:t>
            </w:r>
          </w:p>
        </w:tc>
        <w:tc>
          <w:tcPr>
            <w:tcW w:type="dxa" w:w="1708"/>
          </w:tcPr>
          <w:p>
            <w:pPr>
              <w:spacing w:after="0"/>
            </w:pPr>
            <w:r>
              <w:rPr>
                <w:sz w:val="19"/>
              </w:rPr>
              <w:t>Test</w:t>
            </w:r>
          </w:p>
        </w:tc>
      </w:tr>
      <w:tr>
        <w:trPr/>
        <w:tc>
          <w:tcPr>
            <w:tcW w:type="dxa" w:w="707"/>
          </w:tcPr>
          <w:p>
            <w:pPr>
              <w:spacing w:after="0"/>
            </w:pPr>
            <w:r>
              <w:rPr>
                <w:sz w:val="19"/>
              </w:rPr>
              <w:t>10</w:t>
            </w:r>
          </w:p>
        </w:tc>
        <w:tc>
          <w:tcPr>
            <w:tcW w:type="dxa" w:w="2621"/>
          </w:tcPr>
          <w:p>
            <w:pPr>
              <w:spacing w:after="0"/>
            </w:pPr>
            <w:r>
              <w:rPr>
                <w:b/>
                <w:sz w:val="19"/>
              </w:rPr>
              <w:t>Test und Abnahme:</w:t>
            </w:r>
            <w:r>
              <w:rPr>
                <w:sz w:val="19"/>
              </w:rPr>
              <w:t xml:space="preserve"> neue Daten durchlaufen lassen, Ergebnisse prüfen, Freigabe</w:t>
            </w:r>
          </w:p>
        </w:tc>
        <w:tc>
          <w:tcPr>
            <w:tcW w:type="dxa" w:w="1996"/>
          </w:tcPr>
          <w:p>
            <w:pPr>
              <w:spacing w:after="0"/>
            </w:pPr>
            <w:r>
              <w:rPr>
                <w:sz w:val="19"/>
              </w:rPr>
              <w:t>ja (Gesamtlauf + Gegenprobe)</w:t>
            </w:r>
          </w:p>
        </w:tc>
        <w:tc>
          <w:tcPr>
            <w:tcW w:type="dxa" w:w="2379"/>
          </w:tcPr>
          <w:p>
            <w:pPr>
              <w:spacing w:after="0"/>
            </w:pPr>
            <w:r>
              <w:rPr>
                <w:sz w:val="19"/>
              </w:rPr>
              <w:t>QS-Agent (QM), Auftraggeber</w:t>
            </w:r>
          </w:p>
        </w:tc>
        <w:tc>
          <w:tcPr>
            <w:tcW w:type="dxa" w:w="1708"/>
          </w:tcPr>
          <w:p>
            <w:pPr>
              <w:spacing w:after="0"/>
            </w:pPr>
            <w:r>
              <w:rPr>
                <w:sz w:val="19"/>
              </w:rPr>
              <w:t>Übergabe</w:t>
            </w:r>
          </w:p>
        </w:tc>
      </w:tr>
      <w:tr>
        <w:trPr/>
        <w:tc>
          <w:tcPr>
            <w:tcW w:type="dxa" w:w="707"/>
          </w:tcPr>
          <w:p>
            <w:pPr>
              <w:spacing w:after="0"/>
            </w:pPr>
            <w:r>
              <w:rPr>
                <w:sz w:val="19"/>
              </w:rPr>
              <w:t>11</w:t>
            </w:r>
          </w:p>
        </w:tc>
        <w:tc>
          <w:tcPr>
            <w:tcW w:type="dxa" w:w="2621"/>
          </w:tcPr>
          <w:p>
            <w:pPr>
              <w:spacing w:after="0"/>
            </w:pPr>
            <w:r>
              <w:rPr>
                <w:b/>
                <w:sz w:val="19"/>
              </w:rPr>
              <w:t>Dokumentation und Übergabe:</w:t>
            </w:r>
            <w:r>
              <w:rPr>
                <w:sz w:val="19"/>
              </w:rPr>
              <w:t xml:space="preserve"> Anleitungen, Präsentation, Schulung</w:t>
            </w:r>
          </w:p>
        </w:tc>
        <w:tc>
          <w:tcPr>
            <w:tcW w:type="dxa" w:w="1996"/>
          </w:tcPr>
          <w:p>
            <w:pPr>
              <w:spacing w:after="0"/>
            </w:pPr>
            <w:r>
              <w:rPr>
                <w:sz w:val="19"/>
              </w:rPr>
              <w:t>ja (laufend)</w:t>
            </w:r>
          </w:p>
        </w:tc>
        <w:tc>
          <w:tcPr>
            <w:tcW w:type="dxa" w:w="2379"/>
          </w:tcPr>
          <w:p>
            <w:pPr>
              <w:spacing w:after="0"/>
            </w:pPr>
            <w:r>
              <w:rPr>
                <w:sz w:val="19"/>
              </w:rPr>
              <w:t>Projektleitung, QM</w:t>
            </w:r>
          </w:p>
        </w:tc>
        <w:tc>
          <w:tcPr>
            <w:tcW w:type="dxa" w:w="1708"/>
          </w:tcPr>
          <w:p>
            <w:pPr>
              <w:spacing w:after="0"/>
            </w:pPr>
            <w:r>
              <w:rPr>
                <w:sz w:val="19"/>
              </w:rPr>
              <w:t>Betrieb</w:t>
            </w:r>
          </w:p>
        </w:tc>
      </w:tr>
      <w:tr>
        <w:trPr/>
        <w:tc>
          <w:tcPr>
            <w:tcW w:type="dxa" w:w="707"/>
          </w:tcPr>
          <w:p>
            <w:pPr>
              <w:spacing w:after="0"/>
            </w:pPr>
            <w:r>
              <w:rPr>
                <w:sz w:val="19"/>
              </w:rPr>
              <w:t>12</w:t>
            </w:r>
          </w:p>
        </w:tc>
        <w:tc>
          <w:tcPr>
            <w:tcW w:type="dxa" w:w="2621"/>
          </w:tcPr>
          <w:p>
            <w:pPr>
              <w:spacing w:after="0"/>
            </w:pPr>
            <w:r>
              <w:rPr>
                <w:b/>
                <w:sz w:val="19"/>
              </w:rPr>
              <w:t>Betrieb und Abschluss:</w:t>
            </w:r>
            <w:r>
              <w:rPr>
                <w:sz w:val="19"/>
              </w:rPr>
              <w:t xml:space="preserve"> laufende Kosten, Sicherung, Rückbau nicht mehr benötigter Ressourcen</w:t>
            </w:r>
          </w:p>
        </w:tc>
        <w:tc>
          <w:tcPr>
            <w:tcW w:type="dxa" w:w="1996"/>
          </w:tcPr>
          <w:p>
            <w:pPr>
              <w:spacing w:after="0"/>
            </w:pPr>
            <w:r>
              <w:rPr>
                <w:sz w:val="19"/>
              </w:rPr>
              <w:t>nach Kursende (5.14)</w:t>
            </w:r>
          </w:p>
        </w:tc>
        <w:tc>
          <w:tcPr>
            <w:tcW w:type="dxa" w:w="2379"/>
          </w:tcPr>
          <w:p>
            <w:pPr>
              <w:spacing w:after="0"/>
            </w:pPr>
            <w:r>
              <w:rPr>
                <w:sz w:val="19"/>
              </w:rPr>
              <w:t>IT-Systemadministrator, Abteilung Finanzen</w:t>
            </w:r>
          </w:p>
        </w:tc>
        <w:tc>
          <w:tcPr>
            <w:tcW w:type="dxa" w:w="1708"/>
          </w:tcPr>
          <w:p>
            <w:pPr>
              <w:spacing w:after="0"/>
            </w:pPr>
            <w:r>
              <w:rPr>
                <w:sz w:val="19"/>
              </w:rPr>
              <w:t>–</w:t>
            </w:r>
          </w:p>
        </w:tc>
      </w:tr>
    </w:tbl>
    <w:p>
      <w:pPr>
        <w:spacing w:after="0" w:line="20" w:lineRule="exact"/>
      </w:pPr>
    </w:p>
    <w:p>
      <w:r>
        <w:rPr>
          <w:b/>
        </w:rPr>
        <w:t>Querschnittsaufgaben</w:t>
      </w:r>
      <w:r>
        <w:t xml:space="preserve"> in allen Phasen: Datenschutz- und Rechtsprüfung (Stabsstellen Recht &amp; Compliance, Datenschutz), sobald personenbezogene oder betriebliche Daten einfließen · Kostenkontrolle vor jeder kostenpflichtigen Ressource (Human Loop) · Dokumentation parallel zur Umsetzung.</w:t>
      </w:r>
    </w:p>
    <w:p>
      <w:pPr>
        <w:pStyle w:val="Heading1"/>
        <w:pageBreakBefore/>
      </w:pPr>
      <w:r>
        <w:t>3. Rollen im Gesamtprozess</w:t>
      </w:r>
    </w:p>
    <w:p>
      <w:pPr>
        <w:spacing w:after="0" w:line="20" w:lineRule="exact"/>
      </w:pPr>
    </w:p>
    <w:p>
      <w:r>
        <w:t>Im Schulprojekt übernimmt die Projektleitung alle Rollen in Personalunion.</w:t>
      </w:r>
    </w:p>
    <w:tbl>
      <w:tblPr>
        <w:tblStyle w:val="TableGrid"/>
        <w:tblW w:type="auto" w:w="0"/>
        <w:jc w:val="center"/>
        <w:tblLayout w:type="fixed"/>
        <w:tblLook w:firstColumn="1" w:firstRow="1" w:lastColumn="0" w:lastRow="0" w:noHBand="0" w:noVBand="1" w:val="04A0"/>
      </w:tblPr>
      <w:tblGrid>
        <w:gridCol w:w="2889"/>
        <w:gridCol w:w="3370"/>
        <w:gridCol w:w="3152"/>
      </w:tblGrid>
      <w:tr>
        <w:trPr>
          <w:tblHeader/>
        </w:trPr>
        <w:tc>
          <w:tcPr>
            <w:tcW w:type="dxa" w:w="2889"/>
            <w:shd w:val="clear" w:color="auto" w:fill="D9E2F3"/>
          </w:tcPr>
          <w:p>
            <w:pPr>
              <w:spacing w:after="0"/>
            </w:pPr>
            <w:r>
              <w:rPr>
                <w:b/>
                <w:sz w:val="19"/>
              </w:rPr>
              <w:t>Rolle</w:t>
            </w:r>
          </w:p>
        </w:tc>
        <w:tc>
          <w:tcPr>
            <w:tcW w:type="dxa" w:w="3370"/>
            <w:shd w:val="clear" w:color="auto" w:fill="D9E2F3"/>
          </w:tcPr>
          <w:p>
            <w:pPr>
              <w:spacing w:after="0"/>
            </w:pPr>
            <w:r>
              <w:rPr>
                <w:b/>
                <w:sz w:val="19"/>
              </w:rPr>
              <w:t>Typische Verantwortung</w:t>
            </w:r>
          </w:p>
        </w:tc>
        <w:tc>
          <w:tcPr>
            <w:tcW w:type="dxa" w:w="3152"/>
            <w:shd w:val="clear" w:color="auto" w:fill="D9E2F3"/>
          </w:tcPr>
          <w:p>
            <w:pPr>
              <w:spacing w:after="0"/>
            </w:pPr>
            <w:r>
              <w:rPr>
                <w:b/>
                <w:sz w:val="19"/>
              </w:rPr>
              <w:t>Warum diese Rolle</w:t>
            </w:r>
          </w:p>
        </w:tc>
      </w:tr>
      <w:tr>
        <w:trPr/>
        <w:tc>
          <w:tcPr>
            <w:tcW w:type="dxa" w:w="2889"/>
          </w:tcPr>
          <w:p>
            <w:pPr>
              <w:spacing w:after="0"/>
            </w:pPr>
            <w:r>
              <w:rPr>
                <w:sz w:val="19"/>
              </w:rPr>
              <w:t>Geschäftsführung / Auftraggeber</w:t>
            </w:r>
          </w:p>
        </w:tc>
        <w:tc>
          <w:tcPr>
            <w:tcW w:type="dxa" w:w="3370"/>
          </w:tcPr>
          <w:p>
            <w:pPr>
              <w:spacing w:after="0"/>
            </w:pPr>
            <w:r>
              <w:rPr>
                <w:sz w:val="19"/>
              </w:rPr>
              <w:t>Ziele und Budget freigeben, Prioritäten setzen, Abnahme</w:t>
            </w:r>
          </w:p>
        </w:tc>
        <w:tc>
          <w:tcPr>
            <w:tcW w:type="dxa" w:w="3152"/>
          </w:tcPr>
          <w:p>
            <w:pPr>
              <w:spacing w:after="0"/>
            </w:pPr>
            <w:r>
              <w:rPr>
                <w:sz w:val="19"/>
              </w:rPr>
              <w:t>trägt unternehmerische Verantwortung und Budgethoheit</w:t>
            </w:r>
          </w:p>
        </w:tc>
      </w:tr>
      <w:tr>
        <w:trPr/>
        <w:tc>
          <w:tcPr>
            <w:tcW w:type="dxa" w:w="2889"/>
          </w:tcPr>
          <w:p>
            <w:pPr>
              <w:spacing w:after="0"/>
            </w:pPr>
            <w:r>
              <w:rPr>
                <w:sz w:val="19"/>
              </w:rPr>
              <w:t>Projektleitung</w:t>
            </w:r>
          </w:p>
        </w:tc>
        <w:tc>
          <w:tcPr>
            <w:tcW w:type="dxa" w:w="3370"/>
          </w:tcPr>
          <w:p>
            <w:pPr>
              <w:spacing w:after="0"/>
            </w:pPr>
            <w:r>
              <w:rPr>
                <w:sz w:val="19"/>
              </w:rPr>
              <w:t>Plan, Meilensteine, Abstimmung, Dokumentation, Entscheidungsvorlagen</w:t>
            </w:r>
          </w:p>
        </w:tc>
        <w:tc>
          <w:tcPr>
            <w:tcW w:type="dxa" w:w="3152"/>
          </w:tcPr>
          <w:p>
            <w:pPr>
              <w:spacing w:after="0"/>
            </w:pPr>
            <w:r>
              <w:rPr>
                <w:sz w:val="19"/>
              </w:rPr>
              <w:t>hält Fach, Technik und Termine zusammen</w:t>
            </w:r>
          </w:p>
        </w:tc>
      </w:tr>
      <w:tr>
        <w:trPr/>
        <w:tc>
          <w:tcPr>
            <w:tcW w:type="dxa" w:w="2889"/>
          </w:tcPr>
          <w:p>
            <w:pPr>
              <w:spacing w:after="0"/>
            </w:pPr>
            <w:r>
              <w:rPr>
                <w:sz w:val="19"/>
              </w:rPr>
              <w:t>IT-Systemadministrator (IT &amp; Security)</w:t>
            </w:r>
          </w:p>
        </w:tc>
        <w:tc>
          <w:tcPr>
            <w:tcW w:type="dxa" w:w="3370"/>
          </w:tcPr>
          <w:p>
            <w:pPr>
              <w:spacing w:after="0"/>
            </w:pPr>
            <w:r>
              <w:rPr>
                <w:sz w:val="19"/>
              </w:rPr>
              <w:t>Ressourcen, Rechte, Sicherheit, Kostenwarnungen, Rückbau</w:t>
            </w:r>
          </w:p>
        </w:tc>
        <w:tc>
          <w:tcPr>
            <w:tcW w:type="dxa" w:w="3152"/>
          </w:tcPr>
          <w:p>
            <w:pPr>
              <w:spacing w:after="0"/>
            </w:pPr>
            <w:r>
              <w:rPr>
                <w:sz w:val="19"/>
              </w:rPr>
              <w:t>verantwortlich für sichere, verfügbare Systeme</w:t>
            </w:r>
          </w:p>
        </w:tc>
      </w:tr>
      <w:tr>
        <w:trPr/>
        <w:tc>
          <w:tcPr>
            <w:tcW w:type="dxa" w:w="2889"/>
          </w:tcPr>
          <w:p>
            <w:pPr>
              <w:spacing w:after="0"/>
            </w:pPr>
            <w:r>
              <w:rPr>
                <w:sz w:val="19"/>
              </w:rPr>
              <w:t>Data Engineer (IT &amp; Security)</w:t>
            </w:r>
          </w:p>
        </w:tc>
        <w:tc>
          <w:tcPr>
            <w:tcW w:type="dxa" w:w="3370"/>
          </w:tcPr>
          <w:p>
            <w:pPr>
              <w:spacing w:after="0"/>
            </w:pPr>
            <w:r>
              <w:rPr>
                <w:sz w:val="19"/>
              </w:rPr>
              <w:t>Pipelines, Datenaufnahme, Archiv, Automatisierung, Überwachung</w:t>
            </w:r>
          </w:p>
        </w:tc>
        <w:tc>
          <w:tcPr>
            <w:tcW w:type="dxa" w:w="3152"/>
          </w:tcPr>
          <w:p>
            <w:pPr>
              <w:spacing w:after="0"/>
            </w:pPr>
            <w:r>
              <w:rPr>
                <w:sz w:val="19"/>
              </w:rPr>
              <w:t>sorgt für zuverlässige, wiederholbare Datenflüsse</w:t>
            </w:r>
          </w:p>
        </w:tc>
      </w:tr>
      <w:tr>
        <w:trPr/>
        <w:tc>
          <w:tcPr>
            <w:tcW w:type="dxa" w:w="2889"/>
          </w:tcPr>
          <w:p>
            <w:pPr>
              <w:spacing w:after="0"/>
            </w:pPr>
            <w:r>
              <w:rPr>
                <w:sz w:val="19"/>
              </w:rPr>
              <w:t>Data Analyst (IT &amp; Security)</w:t>
            </w:r>
          </w:p>
        </w:tc>
        <w:tc>
          <w:tcPr>
            <w:tcW w:type="dxa" w:w="3370"/>
          </w:tcPr>
          <w:p>
            <w:pPr>
              <w:spacing w:after="0"/>
            </w:pPr>
            <w:r>
              <w:rPr>
                <w:sz w:val="19"/>
              </w:rPr>
              <w:t>Datenprofil, Bereinigungsregeln, Auswertungen, Grafiken</w:t>
            </w:r>
          </w:p>
        </w:tc>
        <w:tc>
          <w:tcPr>
            <w:tcW w:type="dxa" w:w="3152"/>
          </w:tcPr>
          <w:p>
            <w:pPr>
              <w:spacing w:after="0"/>
            </w:pPr>
            <w:r>
              <w:rPr>
                <w:sz w:val="19"/>
              </w:rPr>
              <w:t>verbindet Fachfragen mit Datenkompetenz</w:t>
            </w:r>
          </w:p>
        </w:tc>
      </w:tr>
      <w:tr>
        <w:trPr/>
        <w:tc>
          <w:tcPr>
            <w:tcW w:type="dxa" w:w="2889"/>
          </w:tcPr>
          <w:p>
            <w:pPr>
              <w:spacing w:after="0"/>
            </w:pPr>
            <w:r>
              <w:rPr>
                <w:sz w:val="19"/>
              </w:rPr>
              <w:t>Data Scientist (IT &amp; Security)</w:t>
            </w:r>
          </w:p>
        </w:tc>
        <w:tc>
          <w:tcPr>
            <w:tcW w:type="dxa" w:w="3370"/>
          </w:tcPr>
          <w:p>
            <w:pPr>
              <w:spacing w:after="0"/>
            </w:pPr>
            <w:r>
              <w:rPr>
                <w:sz w:val="19"/>
              </w:rPr>
              <w:t>Modelle (z. B. Einzelwirkungen trennen), Prognosen</w:t>
            </w:r>
          </w:p>
        </w:tc>
        <w:tc>
          <w:tcPr>
            <w:tcW w:type="dxa" w:w="3152"/>
          </w:tcPr>
          <w:p>
            <w:pPr>
              <w:spacing w:after="0"/>
            </w:pPr>
            <w:r>
              <w:rPr>
                <w:sz w:val="19"/>
              </w:rPr>
              <w:t>statistische Methoden über beschreibende Auswertung hinaus</w:t>
            </w:r>
          </w:p>
        </w:tc>
      </w:tr>
      <w:tr>
        <w:trPr/>
        <w:tc>
          <w:tcPr>
            <w:tcW w:type="dxa" w:w="2889"/>
          </w:tcPr>
          <w:p>
            <w:pPr>
              <w:spacing w:after="0"/>
            </w:pPr>
            <w:r>
              <w:rPr>
                <w:sz w:val="19"/>
              </w:rPr>
              <w:t>QS-Agent (Stabsstelle QM)</w:t>
            </w:r>
          </w:p>
        </w:tc>
        <w:tc>
          <w:tcPr>
            <w:tcW w:type="dxa" w:w="3370"/>
          </w:tcPr>
          <w:p>
            <w:pPr>
              <w:spacing w:after="0"/>
            </w:pPr>
            <w:r>
              <w:rPr>
                <w:sz w:val="19"/>
              </w:rPr>
              <w:t>Prüfung von Dokumenten und Ergebnissen, Versionen, Protokolle</w:t>
            </w:r>
          </w:p>
        </w:tc>
        <w:tc>
          <w:tcPr>
            <w:tcW w:type="dxa" w:w="3152"/>
          </w:tcPr>
          <w:p>
            <w:pPr>
              <w:spacing w:after="0"/>
            </w:pPr>
            <w:r>
              <w:rPr>
                <w:sz w:val="19"/>
              </w:rPr>
              <w:t>unabhängige Prüfung gegen Anforderungen und Standards</w:t>
            </w:r>
          </w:p>
        </w:tc>
      </w:tr>
      <w:tr>
        <w:trPr/>
        <w:tc>
          <w:tcPr>
            <w:tcW w:type="dxa" w:w="2889"/>
          </w:tcPr>
          <w:p>
            <w:pPr>
              <w:spacing w:after="0"/>
            </w:pPr>
            <w:r>
              <w:rPr>
                <w:sz w:val="19"/>
              </w:rPr>
              <w:t>Recht &amp; Compliance / Datenschutz (Stabsstellen)</w:t>
            </w:r>
          </w:p>
        </w:tc>
        <w:tc>
          <w:tcPr>
            <w:tcW w:type="dxa" w:w="3370"/>
          </w:tcPr>
          <w:p>
            <w:pPr>
              <w:spacing w:after="0"/>
            </w:pPr>
            <w:r>
              <w:rPr>
                <w:sz w:val="19"/>
              </w:rPr>
              <w:t>Lizenzen, Datenschutz, Veröffentlichung</w:t>
            </w:r>
          </w:p>
        </w:tc>
        <w:tc>
          <w:tcPr>
            <w:tcW w:type="dxa" w:w="3152"/>
          </w:tcPr>
          <w:p>
            <w:pPr>
              <w:spacing w:after="0"/>
            </w:pPr>
            <w:r>
              <w:rPr>
                <w:sz w:val="19"/>
              </w:rPr>
              <w:t>rechtliche Verantwortung</w:t>
            </w:r>
          </w:p>
        </w:tc>
      </w:tr>
      <w:tr>
        <w:trPr/>
        <w:tc>
          <w:tcPr>
            <w:tcW w:type="dxa" w:w="2889"/>
          </w:tcPr>
          <w:p>
            <w:pPr>
              <w:spacing w:after="0"/>
            </w:pPr>
            <w:r>
              <w:rPr>
                <w:sz w:val="19"/>
              </w:rPr>
              <w:t>Finanzen (interne Abteilung)</w:t>
            </w:r>
          </w:p>
        </w:tc>
        <w:tc>
          <w:tcPr>
            <w:tcW w:type="dxa" w:w="3370"/>
          </w:tcPr>
          <w:p>
            <w:pPr>
              <w:spacing w:after="0"/>
            </w:pPr>
            <w:r>
              <w:rPr>
                <w:sz w:val="19"/>
              </w:rPr>
              <w:t>interne Kostenmeldung je Stufe, Budgetüberwachung</w:t>
            </w:r>
          </w:p>
        </w:tc>
        <w:tc>
          <w:tcPr>
            <w:tcW w:type="dxa" w:w="3152"/>
          </w:tcPr>
          <w:p>
            <w:pPr>
              <w:spacing w:after="0"/>
            </w:pPr>
            <w:r>
              <w:rPr>
                <w:sz w:val="19"/>
              </w:rPr>
              <w:t>Budget- und Kostenplanung des Betriebs</w:t>
            </w:r>
          </w:p>
        </w:tc>
      </w:tr>
    </w:tbl>
    <w:p>
      <w:pPr>
        <w:spacing w:after="0" w:line="20" w:lineRule="exact"/>
      </w:pPr>
    </w:p>
    <w:p>
      <w:pPr>
        <w:pStyle w:val="Heading1"/>
        <w:pageBreakBefore/>
      </w:pPr>
      <w:r>
        <w:t>4. Konzept Datenpipeline (Soll-Konzept = Endergebnis)</w:t>
      </w:r>
    </w:p>
    <w:p>
      <w:pPr>
        <w:spacing w:after="0" w:line="20" w:lineRule="exact"/>
      </w:pPr>
    </w:p>
    <w:p>
      <w:r>
        <w:t>Das Kapitel beschreibt die Datenpipeline so, wie sie am Ende steht und wie sie bei einem neuen Projekt von Anfang an geplant wird. Wie das Projekt dorthin kam (Varianten, Umwege, Fehler), steht im Pflichtenheft (Schritt-Karten) und in den Protokollen; die Varianten stehen im Brainstorming (K1–K8).</w:t>
      </w:r>
    </w:p>
    <w:p>
      <w:r>
        <w:rPr>
          <w:b/>
        </w:rPr>
        <w:t>Zielbild:</w:t>
      </w:r>
      <w:r>
        <w:t xml:space="preserve"> Ein Zeitplan-Trigger startet täglich um 00:00 UTC die Master-Pipeline </w:t>
      </w:r>
      <w:r>
        <w:rPr>
          <w:rFonts w:ascii="Courier New" w:hAnsi="Courier New"/>
          <w:sz w:val="19"/>
        </w:rPr>
        <w:t>pl_daily_processing</w:t>
      </w:r>
      <w:r>
        <w:t>. Sie führt vier Stufen nacheinander aus, jede nur nach Erfolg der vorherigen. Neue Rohdaten landen unverändert in Bronze, werden je Standort bereinigt, geprüft und mit Wetterdaten angereichert (Silver), zu einer analysebereiten Tabelle je Standort zusammengeführt (Gold) und zum Schluss mit Zeitstempel archiviert. Fehler und zu lange Läufe melden sich per E-Mail. Ein neuer Standort braucht nur neue Zeilen in den Konfigurationstabellen – keinen Umbau.</w:t>
      </w:r>
    </w:p>
    <w:p>
      <w:r>
        <w:rPr>
          <w:b/>
        </w:rPr>
        <w:t>Bausteine in Azure</w:t>
      </w:r>
      <w:r>
        <w:t xml:space="preserve"> (Region Germany West Central, Ressourcengruppe </w:t>
      </w:r>
      <w:r>
        <w:rPr>
          <w:rFonts w:ascii="Courier New" w:hAnsi="Courier New"/>
          <w:sz w:val="19"/>
        </w:rPr>
        <w:t>rg-beehaven-dev-gwc</w:t>
      </w:r>
      <w:r>
        <w:t>, Tags projekt/umgebung/verantwortlich/zweck):</w:t>
      </w:r>
    </w:p>
    <w:tbl>
      <w:tblPr>
        <w:tblStyle w:val="TableGrid"/>
        <w:tblW w:type="auto" w:w="0"/>
        <w:jc w:val="center"/>
        <w:tblLayout w:type="fixed"/>
        <w:tblLook w:firstColumn="1" w:firstRow="1" w:lastColumn="0" w:lastRow="0" w:noHBand="0" w:noVBand="1" w:val="04A0"/>
      </w:tblPr>
      <w:tblGrid>
        <w:gridCol w:w="2524"/>
        <w:gridCol w:w="3403"/>
        <w:gridCol w:w="3484"/>
      </w:tblGrid>
      <w:tr>
        <w:trPr>
          <w:tblHeader/>
        </w:trPr>
        <w:tc>
          <w:tcPr>
            <w:tcW w:type="dxa" w:w="2524"/>
            <w:shd w:val="clear" w:color="auto" w:fill="D9E2F3"/>
          </w:tcPr>
          <w:p>
            <w:pPr>
              <w:spacing w:after="0"/>
            </w:pPr>
            <w:r>
              <w:rPr>
                <w:b/>
                <w:sz w:val="19"/>
              </w:rPr>
              <w:t>Baustein</w:t>
            </w:r>
          </w:p>
        </w:tc>
        <w:tc>
          <w:tcPr>
            <w:tcW w:type="dxa" w:w="3403"/>
            <w:shd w:val="clear" w:color="auto" w:fill="D9E2F3"/>
          </w:tcPr>
          <w:p>
            <w:pPr>
              <w:spacing w:after="0"/>
            </w:pPr>
            <w:r>
              <w:rPr>
                <w:b/>
                <w:sz w:val="19"/>
              </w:rPr>
              <w:t>Name</w:t>
            </w:r>
          </w:p>
        </w:tc>
        <w:tc>
          <w:tcPr>
            <w:tcW w:type="dxa" w:w="3484"/>
            <w:shd w:val="clear" w:color="auto" w:fill="D9E2F3"/>
          </w:tcPr>
          <w:p>
            <w:pPr>
              <w:spacing w:after="0"/>
            </w:pPr>
            <w:r>
              <w:rPr>
                <w:b/>
                <w:sz w:val="19"/>
              </w:rPr>
              <w:t>Aufgabe</w:t>
            </w:r>
          </w:p>
        </w:tc>
      </w:tr>
      <w:tr>
        <w:trPr/>
        <w:tc>
          <w:tcPr>
            <w:tcW w:type="dxa" w:w="2524"/>
          </w:tcPr>
          <w:p>
            <w:pPr>
              <w:spacing w:after="0"/>
            </w:pPr>
            <w:r>
              <w:rPr>
                <w:sz w:val="19"/>
              </w:rPr>
              <w:t>Speicherkonto Quelle (Blob Storage)</w:t>
            </w:r>
          </w:p>
        </w:tc>
        <w:tc>
          <w:tcPr>
            <w:tcW w:type="dxa" w:w="3403"/>
          </w:tcPr>
          <w:p>
            <w:pPr>
              <w:spacing w:after="0"/>
            </w:pPr>
            <w:r>
              <w:rPr>
                <w:rFonts w:ascii="Courier New" w:hAnsi="Courier New"/>
                <w:sz w:val="17"/>
              </w:rPr>
              <w:t>mabeehavenraw</w:t>
            </w:r>
            <w:r>
              <w:rPr>
                <w:sz w:val="19"/>
              </w:rPr>
              <w:t xml:space="preserve">, Container </w:t>
            </w:r>
            <w:r>
              <w:rPr>
                <w:rFonts w:ascii="Courier New" w:hAnsi="Courier New"/>
                <w:sz w:val="17"/>
              </w:rPr>
              <w:t>source-data</w:t>
            </w:r>
          </w:p>
        </w:tc>
        <w:tc>
          <w:tcPr>
            <w:tcW w:type="dxa" w:w="3484"/>
          </w:tcPr>
          <w:p>
            <w:pPr>
              <w:spacing w:after="0"/>
            </w:pPr>
            <w:r>
              <w:rPr>
                <w:sz w:val="19"/>
              </w:rPr>
              <w:t>Lieferungen der Sensoren (CSV je Sensor und Stadt)</w:t>
            </w:r>
          </w:p>
        </w:tc>
      </w:tr>
      <w:tr>
        <w:trPr/>
        <w:tc>
          <w:tcPr>
            <w:tcW w:type="dxa" w:w="2524"/>
          </w:tcPr>
          <w:p>
            <w:pPr>
              <w:spacing w:after="0"/>
            </w:pPr>
            <w:r>
              <w:rPr>
                <w:sz w:val="19"/>
              </w:rPr>
              <w:t>Data Lake Gen2</w:t>
            </w:r>
          </w:p>
        </w:tc>
        <w:tc>
          <w:tcPr>
            <w:tcW w:type="dxa" w:w="3403"/>
          </w:tcPr>
          <w:p>
            <w:pPr>
              <w:spacing w:after="0"/>
            </w:pPr>
            <w:r>
              <w:rPr>
                <w:rFonts w:ascii="Courier New" w:hAnsi="Courier New"/>
                <w:sz w:val="17"/>
              </w:rPr>
              <w:t>mabeehavenlakehouse</w:t>
            </w:r>
            <w:r>
              <w:rPr>
                <w:sz w:val="19"/>
              </w:rPr>
              <w:t xml:space="preserve">, Container </w:t>
            </w:r>
            <w:r>
              <w:rPr>
                <w:rFonts w:ascii="Courier New" w:hAnsi="Courier New"/>
                <w:sz w:val="17"/>
              </w:rPr>
              <w:t>lakehouse</w:t>
            </w:r>
          </w:p>
        </w:tc>
        <w:tc>
          <w:tcPr>
            <w:tcW w:type="dxa" w:w="3484"/>
          </w:tcPr>
          <w:p>
            <w:pPr>
              <w:spacing w:after="0"/>
            </w:pPr>
            <w:r>
              <w:rPr>
                <w:rFonts w:ascii="Courier New" w:hAnsi="Courier New"/>
                <w:sz w:val="17"/>
              </w:rPr>
              <w:t>bronze/new</w:t>
            </w:r>
            <w:r>
              <w:rPr>
                <w:sz w:val="19"/>
              </w:rPr>
              <w:t xml:space="preserve">, </w:t>
            </w:r>
            <w:r>
              <w:rPr>
                <w:rFonts w:ascii="Courier New" w:hAnsi="Courier New"/>
                <w:sz w:val="17"/>
              </w:rPr>
              <w:t>bronze/archive</w:t>
            </w:r>
            <w:r>
              <w:rPr>
                <w:sz w:val="19"/>
              </w:rPr>
              <w:t xml:space="preserve">, </w:t>
            </w:r>
            <w:r>
              <w:rPr>
                <w:rFonts w:ascii="Courier New" w:hAnsi="Courier New"/>
                <w:sz w:val="17"/>
              </w:rPr>
              <w:t>silver/processing</w:t>
            </w:r>
            <w:r>
              <w:rPr>
                <w:sz w:val="19"/>
              </w:rPr>
              <w:t xml:space="preserve">, </w:t>
            </w:r>
            <w:r>
              <w:rPr>
                <w:rFonts w:ascii="Courier New" w:hAnsi="Courier New"/>
                <w:sz w:val="17"/>
              </w:rPr>
              <w:t>silver/cleaned</w:t>
            </w:r>
            <w:r>
              <w:rPr>
                <w:sz w:val="19"/>
              </w:rPr>
              <w:t xml:space="preserve">, </w:t>
            </w:r>
            <w:r>
              <w:rPr>
                <w:rFonts w:ascii="Courier New" w:hAnsi="Courier New"/>
                <w:sz w:val="17"/>
              </w:rPr>
              <w:t>gold</w:t>
            </w:r>
            <w:r>
              <w:rPr>
                <w:sz w:val="19"/>
              </w:rPr>
              <w:t xml:space="preserve">, </w:t>
            </w:r>
            <w:r>
              <w:rPr>
                <w:rFonts w:ascii="Courier New" w:hAnsi="Courier New"/>
                <w:sz w:val="17"/>
              </w:rPr>
              <w:t>konfiguration</w:t>
            </w:r>
          </w:p>
        </w:tc>
      </w:tr>
      <w:tr>
        <w:trPr/>
        <w:tc>
          <w:tcPr>
            <w:tcW w:type="dxa" w:w="2524"/>
          </w:tcPr>
          <w:p>
            <w:pPr>
              <w:spacing w:after="0"/>
            </w:pPr>
            <w:r>
              <w:rPr>
                <w:sz w:val="19"/>
              </w:rPr>
              <w:t>Azure Data Factory</w:t>
            </w:r>
          </w:p>
        </w:tc>
        <w:tc>
          <w:tcPr>
            <w:tcW w:type="dxa" w:w="3403"/>
          </w:tcPr>
          <w:p>
            <w:pPr>
              <w:spacing w:after="0"/>
            </w:pPr>
            <w:r>
              <w:rPr>
                <w:rFonts w:ascii="Courier New" w:hAnsi="Courier New"/>
                <w:sz w:val="17"/>
              </w:rPr>
              <w:t>adf-beehaven-dev-gwc</w:t>
            </w:r>
          </w:p>
        </w:tc>
        <w:tc>
          <w:tcPr>
            <w:tcW w:type="dxa" w:w="3484"/>
          </w:tcPr>
          <w:p>
            <w:pPr>
              <w:spacing w:after="0"/>
            </w:pPr>
            <w:r>
              <w:rPr>
                <w:sz w:val="19"/>
              </w:rPr>
              <w:t>Steuerung: Pipelines, Trigger, Überwachung</w:t>
            </w:r>
          </w:p>
        </w:tc>
      </w:tr>
      <w:tr>
        <w:trPr/>
        <w:tc>
          <w:tcPr>
            <w:tcW w:type="dxa" w:w="2524"/>
          </w:tcPr>
          <w:p>
            <w:pPr>
              <w:spacing w:after="0"/>
            </w:pPr>
            <w:r>
              <w:rPr>
                <w:sz w:val="19"/>
              </w:rPr>
              <w:t>Synapse-Arbeitsbereich mit Spark-Pool</w:t>
            </w:r>
          </w:p>
        </w:tc>
        <w:tc>
          <w:tcPr>
            <w:tcW w:type="dxa" w:w="3403"/>
          </w:tcPr>
          <w:p>
            <w:pPr>
              <w:spacing w:after="0"/>
            </w:pPr>
            <w:r>
              <w:rPr>
                <w:rFonts w:ascii="Courier New" w:hAnsi="Courier New"/>
                <w:sz w:val="17"/>
              </w:rPr>
              <w:t>syn-beehaven-dev-gwc</w:t>
            </w:r>
            <w:r>
              <w:rPr>
                <w:sz w:val="19"/>
              </w:rPr>
              <w:t xml:space="preserve">, </w:t>
            </w:r>
            <w:r>
              <w:rPr>
                <w:rFonts w:ascii="Courier New" w:hAnsi="Courier New"/>
                <w:sz w:val="17"/>
              </w:rPr>
              <w:t>sparkbeehaven</w:t>
            </w:r>
            <w:r>
              <w:rPr>
                <w:sz w:val="19"/>
              </w:rPr>
              <w:t xml:space="preserve"> (Small, 3 Knoten, Auto-pause 5 Min.)</w:t>
            </w:r>
          </w:p>
        </w:tc>
        <w:tc>
          <w:tcPr>
            <w:tcW w:type="dxa" w:w="3484"/>
          </w:tcPr>
          <w:p>
            <w:pPr>
              <w:spacing w:after="0"/>
            </w:pPr>
            <w:r>
              <w:rPr>
                <w:sz w:val="19"/>
              </w:rPr>
              <w:t>führt die Notebooks aus</w:t>
            </w:r>
          </w:p>
        </w:tc>
      </w:tr>
      <w:tr>
        <w:trPr/>
        <w:tc>
          <w:tcPr>
            <w:tcW w:type="dxa" w:w="2524"/>
          </w:tcPr>
          <w:p>
            <w:pPr>
              <w:spacing w:after="0"/>
            </w:pPr>
            <w:r>
              <w:rPr>
                <w:sz w:val="19"/>
              </w:rPr>
              <w:t>Azure Monitor</w:t>
            </w:r>
          </w:p>
        </w:tc>
        <w:tc>
          <w:tcPr>
            <w:tcW w:type="dxa" w:w="3403"/>
          </w:tcPr>
          <w:p>
            <w:pPr>
              <w:spacing w:after="0"/>
            </w:pPr>
            <w:r>
              <w:rPr>
                <w:sz w:val="19"/>
              </w:rPr>
              <w:t xml:space="preserve">Aktionsgruppe </w:t>
            </w:r>
            <w:r>
              <w:rPr>
                <w:rFonts w:ascii="Courier New" w:hAnsi="Courier New"/>
                <w:sz w:val="17"/>
              </w:rPr>
              <w:t>ag_beehaven_mail</w:t>
            </w:r>
            <w:r>
              <w:rPr>
                <w:sz w:val="19"/>
              </w:rPr>
              <w:t xml:space="preserve">, Warnregeln </w:t>
            </w:r>
            <w:r>
              <w:rPr>
                <w:rFonts w:ascii="Courier New" w:hAnsi="Courier New"/>
                <w:sz w:val="17"/>
              </w:rPr>
              <w:t>al_pipeline_fehler</w:t>
            </w:r>
            <w:r>
              <w:rPr>
                <w:sz w:val="19"/>
              </w:rPr>
              <w:t xml:space="preserve">, </w:t>
            </w:r>
            <w:r>
              <w:rPr>
                <w:rFonts w:ascii="Courier New" w:hAnsi="Courier New"/>
                <w:sz w:val="17"/>
              </w:rPr>
              <w:t>al_pipeline_laufzeit</w:t>
            </w:r>
          </w:p>
        </w:tc>
        <w:tc>
          <w:tcPr>
            <w:tcW w:type="dxa" w:w="3484"/>
          </w:tcPr>
          <w:p>
            <w:pPr>
              <w:spacing w:after="0"/>
            </w:pPr>
            <w:r>
              <w:rPr>
                <w:sz w:val="19"/>
              </w:rPr>
              <w:t>E-Mail bei Fehler oder Laufzeit über 30 Minuten</w:t>
            </w:r>
          </w:p>
        </w:tc>
      </w:tr>
      <w:tr>
        <w:trPr/>
        <w:tc>
          <w:tcPr>
            <w:tcW w:type="dxa" w:w="2524"/>
          </w:tcPr>
          <w:p>
            <w:pPr>
              <w:spacing w:after="0"/>
            </w:pPr>
            <w:r>
              <w:rPr>
                <w:sz w:val="19"/>
              </w:rPr>
              <w:t>Kostenmanagement</w:t>
            </w:r>
          </w:p>
        </w:tc>
        <w:tc>
          <w:tcPr>
            <w:tcW w:type="dxa" w:w="3403"/>
          </w:tcPr>
          <w:p>
            <w:pPr>
              <w:spacing w:after="0"/>
            </w:pPr>
            <w:r>
              <w:rPr>
                <w:sz w:val="19"/>
              </w:rPr>
              <w:t xml:space="preserve">Budget </w:t>
            </w:r>
            <w:r>
              <w:rPr>
                <w:rFonts w:ascii="Courier New" w:hAnsi="Courier New"/>
                <w:sz w:val="17"/>
              </w:rPr>
              <w:t>budget-beehaven-dev</w:t>
            </w:r>
            <w:r>
              <w:rPr>
                <w:sz w:val="19"/>
              </w:rPr>
              <w:t xml:space="preserve"> (10 € je Monat, Warnung 50/80/100 % und Prognose)</w:t>
            </w:r>
          </w:p>
        </w:tc>
        <w:tc>
          <w:tcPr>
            <w:tcW w:type="dxa" w:w="3484"/>
          </w:tcPr>
          <w:p>
            <w:pPr>
              <w:spacing w:after="0"/>
            </w:pPr>
            <w:r>
              <w:rPr>
                <w:sz w:val="19"/>
              </w:rPr>
              <w:t>Kostenkontrolle</w:t>
            </w:r>
          </w:p>
        </w:tc>
      </w:tr>
    </w:tbl>
    <w:p>
      <w:pPr>
        <w:spacing w:after="0" w:line="20" w:lineRule="exact"/>
      </w:pPr>
    </w:p>
    <w:p>
      <w:r>
        <w:rPr>
          <w:b/>
        </w:rPr>
        <w:t>Ablauf der Master-Pipeline `pl_daily_processing`:</w:t>
      </w:r>
    </w:p>
    <w:tbl>
      <w:tblPr>
        <w:tblStyle w:val="TableGrid"/>
        <w:tblW w:type="auto" w:w="0"/>
        <w:jc w:val="center"/>
        <w:tblLayout w:type="fixed"/>
        <w:tblLook w:firstColumn="1" w:firstRow="1" w:lastColumn="0" w:lastRow="0" w:noHBand="0" w:noVBand="1" w:val="04A0"/>
      </w:tblPr>
      <w:tblGrid>
        <w:gridCol w:w="587"/>
        <w:gridCol w:w="1741"/>
        <w:gridCol w:w="2060"/>
        <w:gridCol w:w="2923"/>
        <w:gridCol w:w="2098"/>
      </w:tblGrid>
      <w:tr>
        <w:trPr>
          <w:tblHeader/>
        </w:trPr>
        <w:tc>
          <w:tcPr>
            <w:tcW w:type="dxa" w:w="587"/>
            <w:shd w:val="clear" w:color="auto" w:fill="D9E2F3"/>
          </w:tcPr>
          <w:p>
            <w:pPr>
              <w:spacing w:after="0"/>
            </w:pPr>
            <w:r>
              <w:rPr>
                <w:b/>
                <w:sz w:val="19"/>
              </w:rPr>
              <w:t>Nr.</w:t>
            </w:r>
          </w:p>
        </w:tc>
        <w:tc>
          <w:tcPr>
            <w:tcW w:type="dxa" w:w="1741"/>
            <w:shd w:val="clear" w:color="auto" w:fill="D9E2F3"/>
          </w:tcPr>
          <w:p>
            <w:pPr>
              <w:spacing w:after="0"/>
            </w:pPr>
            <w:r>
              <w:rPr>
                <w:b/>
                <w:sz w:val="19"/>
              </w:rPr>
              <w:t>Aktivität</w:t>
            </w:r>
          </w:p>
        </w:tc>
        <w:tc>
          <w:tcPr>
            <w:tcW w:type="dxa" w:w="2060"/>
            <w:shd w:val="clear" w:color="auto" w:fill="D9E2F3"/>
          </w:tcPr>
          <w:p>
            <w:pPr>
              <w:spacing w:after="0"/>
            </w:pPr>
            <w:r>
              <w:rPr>
                <w:b/>
                <w:sz w:val="19"/>
              </w:rPr>
              <w:t>Aufgerufene Pipeline</w:t>
            </w:r>
          </w:p>
        </w:tc>
        <w:tc>
          <w:tcPr>
            <w:tcW w:type="dxa" w:w="2923"/>
            <w:shd w:val="clear" w:color="auto" w:fill="D9E2F3"/>
          </w:tcPr>
          <w:p>
            <w:pPr>
              <w:spacing w:after="0"/>
            </w:pPr>
            <w:r>
              <w:rPr>
                <w:b/>
                <w:sz w:val="19"/>
              </w:rPr>
              <w:t>Inhalt</w:t>
            </w:r>
          </w:p>
        </w:tc>
        <w:tc>
          <w:tcPr>
            <w:tcW w:type="dxa" w:w="2098"/>
            <w:shd w:val="clear" w:color="auto" w:fill="D9E2F3"/>
          </w:tcPr>
          <w:p>
            <w:pPr>
              <w:spacing w:after="0"/>
            </w:pPr>
            <w:r>
              <w:rPr>
                <w:b/>
                <w:sz w:val="19"/>
              </w:rPr>
              <w:t>Ergebnis</w:t>
            </w:r>
          </w:p>
        </w:tc>
      </w:tr>
      <w:tr>
        <w:trPr/>
        <w:tc>
          <w:tcPr>
            <w:tcW w:type="dxa" w:w="587"/>
          </w:tcPr>
          <w:p>
            <w:pPr>
              <w:spacing w:after="0"/>
            </w:pPr>
            <w:r>
              <w:rPr>
                <w:sz w:val="19"/>
              </w:rPr>
              <w:t>1</w:t>
            </w:r>
          </w:p>
        </w:tc>
        <w:tc>
          <w:tcPr>
            <w:tcW w:type="dxa" w:w="1741"/>
          </w:tcPr>
          <w:p>
            <w:pPr>
              <w:spacing w:after="0"/>
            </w:pPr>
            <w:r>
              <w:rPr>
                <w:rFonts w:ascii="Courier New" w:hAnsi="Courier New"/>
                <w:sz w:val="17"/>
              </w:rPr>
              <w:t>rohdaten_nach_bronze</w:t>
            </w:r>
          </w:p>
        </w:tc>
        <w:tc>
          <w:tcPr>
            <w:tcW w:type="dxa" w:w="2060"/>
          </w:tcPr>
          <w:p>
            <w:pPr>
              <w:spacing w:after="0"/>
            </w:pPr>
            <w:r>
              <w:rPr>
                <w:rFonts w:ascii="Courier New" w:hAnsi="Courier New"/>
                <w:sz w:val="17"/>
              </w:rPr>
              <w:t>pl_ingest_raw_to_bronze</w:t>
            </w:r>
          </w:p>
        </w:tc>
        <w:tc>
          <w:tcPr>
            <w:tcW w:type="dxa" w:w="2923"/>
          </w:tcPr>
          <w:p>
            <w:pPr>
              <w:spacing w:after="0"/>
            </w:pPr>
            <w:r>
              <w:rPr>
                <w:sz w:val="19"/>
              </w:rPr>
              <w:t>alle CSV aus der Quelle kopieren (Get Metadata + ForEach)</w:t>
            </w:r>
          </w:p>
        </w:tc>
        <w:tc>
          <w:tcPr>
            <w:tcW w:type="dxa" w:w="2098"/>
          </w:tcPr>
          <w:p>
            <w:pPr>
              <w:spacing w:after="0"/>
            </w:pPr>
            <w:r>
              <w:rPr>
                <w:rFonts w:ascii="Courier New" w:hAnsi="Courier New"/>
                <w:sz w:val="17"/>
              </w:rPr>
              <w:t>bronze/new</w:t>
            </w:r>
          </w:p>
        </w:tc>
      </w:tr>
      <w:tr>
        <w:trPr/>
        <w:tc>
          <w:tcPr>
            <w:tcW w:type="dxa" w:w="587"/>
          </w:tcPr>
          <w:p>
            <w:pPr>
              <w:spacing w:after="0"/>
            </w:pPr>
            <w:r>
              <w:rPr>
                <w:sz w:val="19"/>
              </w:rPr>
              <w:t>2</w:t>
            </w:r>
          </w:p>
        </w:tc>
        <w:tc>
          <w:tcPr>
            <w:tcW w:type="dxa" w:w="1741"/>
          </w:tcPr>
          <w:p>
            <w:pPr>
              <w:spacing w:after="0"/>
            </w:pPr>
            <w:r>
              <w:rPr>
                <w:rFonts w:ascii="Courier New" w:hAnsi="Courier New"/>
                <w:sz w:val="17"/>
              </w:rPr>
              <w:t>bronze_nach_silver</w:t>
            </w:r>
          </w:p>
        </w:tc>
        <w:tc>
          <w:tcPr>
            <w:tcW w:type="dxa" w:w="2060"/>
          </w:tcPr>
          <w:p>
            <w:pPr>
              <w:spacing w:after="0"/>
            </w:pPr>
            <w:r>
              <w:rPr>
                <w:rFonts w:ascii="Courier New" w:hAnsi="Courier New"/>
                <w:sz w:val="17"/>
              </w:rPr>
              <w:t>pl_bronze_to_silver</w:t>
            </w:r>
          </w:p>
        </w:tc>
        <w:tc>
          <w:tcPr>
            <w:tcW w:type="dxa" w:w="2923"/>
          </w:tcPr>
          <w:p>
            <w:pPr>
              <w:spacing w:after="0"/>
            </w:pPr>
            <w:r>
              <w:rPr>
                <w:sz w:val="19"/>
              </w:rPr>
              <w:t xml:space="preserve">Kopie je Stadt/Sensor nach </w:t>
            </w:r>
            <w:r>
              <w:rPr>
                <w:rFonts w:ascii="Courier New" w:hAnsi="Courier New"/>
                <w:sz w:val="17"/>
              </w:rPr>
              <w:t>silver/processing</w:t>
            </w:r>
            <w:r>
              <w:rPr>
                <w:sz w:val="19"/>
              </w:rPr>
              <w:t xml:space="preserve"> → Notebook-Aktivität </w:t>
            </w:r>
            <w:r>
              <w:rPr>
                <w:rFonts w:ascii="Courier New" w:hAnsi="Courier New"/>
                <w:sz w:val="17"/>
              </w:rPr>
              <w:t>silver_automatisierung</w:t>
            </w:r>
            <w:r>
              <w:rPr>
                <w:sz w:val="19"/>
              </w:rPr>
              <w:t xml:space="preserve"> (Steuer-Notebook </w:t>
            </w:r>
            <w:r>
              <w:rPr>
                <w:rFonts w:ascii="Courier New" w:hAnsi="Courier New"/>
                <w:sz w:val="17"/>
              </w:rPr>
              <w:t>00_steuerung_silver</w:t>
            </w:r>
            <w:r>
              <w:rPr>
                <w:sz w:val="19"/>
              </w:rPr>
              <w:t xml:space="preserve">: N1 → N2 → N3 je Stadt in </w:t>
            </w:r>
            <w:r>
              <w:rPr>
                <w:b/>
                <w:sz w:val="19"/>
              </w:rPr>
              <w:t>einer</w:t>
            </w:r>
            <w:r>
              <w:rPr>
                <w:sz w:val="19"/>
              </w:rPr>
              <w:t xml:space="preserve"> Spark-Sitzung mit </w:t>
            </w:r>
            <w:r>
              <w:rPr>
                <w:rFonts w:ascii="Courier New" w:hAnsi="Courier New"/>
                <w:sz w:val="17"/>
              </w:rPr>
              <w:t>mssparkutils.notebook.runMultiple</w:t>
            </w:r>
            <w:r>
              <w:rPr>
                <w:sz w:val="19"/>
              </w:rPr>
              <w:t xml:space="preserve">) → bei Erfolg </w:t>
            </w:r>
            <w:r>
              <w:rPr>
                <w:rFonts w:ascii="Courier New" w:hAnsi="Courier New"/>
                <w:sz w:val="17"/>
              </w:rPr>
              <w:t>processing_leeren</w:t>
            </w:r>
          </w:p>
        </w:tc>
        <w:tc>
          <w:tcPr>
            <w:tcW w:type="dxa" w:w="2098"/>
          </w:tcPr>
          <w:p>
            <w:pPr>
              <w:spacing w:after="0"/>
            </w:pPr>
            <w:r>
              <w:rPr>
                <w:rFonts w:ascii="Courier New" w:hAnsi="Courier New"/>
                <w:sz w:val="17"/>
              </w:rPr>
              <w:t>silver/cleaned/&lt;stadt&gt;/&lt;sensor&gt;/</w:t>
            </w:r>
            <w:r>
              <w:rPr>
                <w:sz w:val="19"/>
              </w:rPr>
              <w:t xml:space="preserve"> (Parquet)</w:t>
            </w:r>
          </w:p>
        </w:tc>
      </w:tr>
      <w:tr>
        <w:trPr/>
        <w:tc>
          <w:tcPr>
            <w:tcW w:type="dxa" w:w="587"/>
          </w:tcPr>
          <w:p>
            <w:pPr>
              <w:spacing w:after="0"/>
            </w:pPr>
            <w:r>
              <w:rPr>
                <w:sz w:val="19"/>
              </w:rPr>
              <w:t>3</w:t>
            </w:r>
          </w:p>
        </w:tc>
        <w:tc>
          <w:tcPr>
            <w:tcW w:type="dxa" w:w="1741"/>
          </w:tcPr>
          <w:p>
            <w:pPr>
              <w:spacing w:after="0"/>
            </w:pPr>
            <w:r>
              <w:rPr>
                <w:rFonts w:ascii="Courier New" w:hAnsi="Courier New"/>
                <w:sz w:val="17"/>
              </w:rPr>
              <w:t>silver_nach_gold</w:t>
            </w:r>
          </w:p>
        </w:tc>
        <w:tc>
          <w:tcPr>
            <w:tcW w:type="dxa" w:w="2060"/>
          </w:tcPr>
          <w:p>
            <w:pPr>
              <w:spacing w:after="0"/>
            </w:pPr>
            <w:r>
              <w:rPr>
                <w:rFonts w:ascii="Courier New" w:hAnsi="Courier New"/>
                <w:sz w:val="17"/>
              </w:rPr>
              <w:t>pl_silver_to_gold</w:t>
            </w:r>
          </w:p>
        </w:tc>
        <w:tc>
          <w:tcPr>
            <w:tcW w:type="dxa" w:w="2923"/>
          </w:tcPr>
          <w:p>
            <w:pPr>
              <w:spacing w:after="0"/>
            </w:pPr>
            <w:r>
              <w:rPr>
                <w:rFonts w:ascii="Courier New" w:hAnsi="Courier New"/>
                <w:sz w:val="17"/>
              </w:rPr>
              <w:t>standorte_lesen</w:t>
            </w:r>
            <w:r>
              <w:rPr>
                <w:sz w:val="19"/>
              </w:rPr>
              <w:t xml:space="preserve"> (Lookup der Standort-Tabelle) → </w:t>
            </w:r>
            <w:r>
              <w:rPr>
                <w:rFonts w:ascii="Courier New" w:hAnsi="Courier New"/>
                <w:sz w:val="17"/>
              </w:rPr>
              <w:t>foreach_stadt</w:t>
            </w:r>
            <w:r>
              <w:rPr>
                <w:sz w:val="19"/>
              </w:rPr>
              <w:t xml:space="preserve"> (nacheinander) → Notebook-Aktivität </w:t>
            </w:r>
            <w:r>
              <w:rPr>
                <w:rFonts w:ascii="Courier New" w:hAnsi="Courier New"/>
                <w:sz w:val="17"/>
              </w:rPr>
              <w:t>n4_gold</w:t>
            </w:r>
            <w:r>
              <w:rPr>
                <w:sz w:val="19"/>
              </w:rPr>
              <w:t xml:space="preserve"> mit Parameter </w:t>
            </w:r>
            <w:r>
              <w:rPr>
                <w:rFonts w:ascii="Courier New" w:hAnsi="Courier New"/>
                <w:sz w:val="17"/>
              </w:rPr>
              <w:t>STADT</w:t>
            </w:r>
          </w:p>
        </w:tc>
        <w:tc>
          <w:tcPr>
            <w:tcW w:type="dxa" w:w="2098"/>
          </w:tcPr>
          <w:p>
            <w:pPr>
              <w:spacing w:after="0"/>
            </w:pPr>
            <w:r>
              <w:rPr>
                <w:rFonts w:ascii="Courier New" w:hAnsi="Courier New"/>
                <w:sz w:val="17"/>
              </w:rPr>
              <w:t>gold/&lt;stadt&gt;/</w:t>
            </w:r>
            <w:r>
              <w:rPr>
                <w:sz w:val="19"/>
              </w:rPr>
              <w:t xml:space="preserve"> (Parquet + CSV)</w:t>
            </w:r>
          </w:p>
        </w:tc>
      </w:tr>
      <w:tr>
        <w:trPr/>
        <w:tc>
          <w:tcPr>
            <w:tcW w:type="dxa" w:w="587"/>
          </w:tcPr>
          <w:p>
            <w:pPr>
              <w:spacing w:after="0"/>
            </w:pPr>
            <w:r>
              <w:rPr>
                <w:sz w:val="19"/>
              </w:rPr>
              <w:t>4</w:t>
            </w:r>
          </w:p>
        </w:tc>
        <w:tc>
          <w:tcPr>
            <w:tcW w:type="dxa" w:w="1741"/>
          </w:tcPr>
          <w:p>
            <w:pPr>
              <w:spacing w:after="0"/>
            </w:pPr>
            <w:r>
              <w:rPr>
                <w:rFonts w:ascii="Courier New" w:hAnsi="Courier New"/>
                <w:sz w:val="17"/>
              </w:rPr>
              <w:t>bronze_archivieren</w:t>
            </w:r>
          </w:p>
        </w:tc>
        <w:tc>
          <w:tcPr>
            <w:tcW w:type="dxa" w:w="2060"/>
          </w:tcPr>
          <w:p>
            <w:pPr>
              <w:spacing w:after="0"/>
            </w:pPr>
            <w:r>
              <w:rPr>
                <w:rFonts w:ascii="Courier New" w:hAnsi="Courier New"/>
                <w:sz w:val="17"/>
              </w:rPr>
              <w:t>pl_bronze_new_to_archive</w:t>
            </w:r>
          </w:p>
        </w:tc>
        <w:tc>
          <w:tcPr>
            <w:tcW w:type="dxa" w:w="2923"/>
          </w:tcPr>
          <w:p>
            <w:pPr>
              <w:spacing w:after="0"/>
            </w:pPr>
            <w:r>
              <w:rPr>
                <w:sz w:val="19"/>
              </w:rPr>
              <w:t>Rohdaten mit UTC-Zeitstempel ins Archiv verschieben</w:t>
            </w:r>
          </w:p>
        </w:tc>
        <w:tc>
          <w:tcPr>
            <w:tcW w:type="dxa" w:w="2098"/>
          </w:tcPr>
          <w:p>
            <w:pPr>
              <w:spacing w:after="0"/>
            </w:pPr>
            <w:r>
              <w:rPr>
                <w:rFonts w:ascii="Courier New" w:hAnsi="Courier New"/>
                <w:sz w:val="17"/>
              </w:rPr>
              <w:t>bronze/archive/&lt;name&gt;_raw/</w:t>
            </w:r>
          </w:p>
        </w:tc>
      </w:tr>
    </w:tbl>
    <w:p>
      <w:pPr>
        <w:spacing w:after="0" w:line="20" w:lineRule="exact"/>
      </w:pPr>
    </w:p>
    <w:p>
      <w:r>
        <w:t xml:space="preserve">Bei einem Fehler bricht die Kette ab: Rohdaten bleiben in </w:t>
      </w:r>
      <w:r>
        <w:rPr>
          <w:rFonts w:ascii="Courier New" w:hAnsi="Courier New"/>
          <w:sz w:val="19"/>
        </w:rPr>
        <w:t>bronze/new</w:t>
      </w:r>
      <w:r>
        <w:t xml:space="preserve">, Arbeitskopien in </w:t>
      </w:r>
      <w:r>
        <w:rPr>
          <w:rFonts w:ascii="Courier New" w:hAnsi="Courier New"/>
          <w:sz w:val="19"/>
        </w:rPr>
        <w:t>silver/processing</w:t>
      </w:r>
      <w:r>
        <w:t xml:space="preserve"> – der nächste Lauf wiederholt alles, nichts geht verloren.</w:t>
      </w:r>
    </w:p>
    <w:p>
      <w:r>
        <w:rPr>
          <w:b/>
        </w:rPr>
        <w:t>Notebooks</w:t>
      </w:r>
      <w:r>
        <w:t xml:space="preserve"> (lokal entwickelt und getestet; Azure-Fassungen in </w:t>
      </w:r>
      <w:r>
        <w:rPr>
          <w:rFonts w:ascii="Courier New" w:hAnsi="Courier New"/>
          <w:sz w:val="19"/>
        </w:rPr>
        <w:t>03_notebooks_ITS-Data/synapse/</w:t>
      </w:r>
      <w:r>
        <w:t xml:space="preserve"> erzeugt ein Generator):</w:t>
      </w:r>
    </w:p>
    <w:tbl>
      <w:tblPr>
        <w:tblStyle w:val="TableGrid"/>
        <w:tblW w:type="auto" w:w="0"/>
        <w:jc w:val="center"/>
        <w:tblLayout w:type="fixed"/>
        <w:tblLook w:firstColumn="1" w:firstRow="1" w:lastColumn="0" w:lastRow="0" w:noHBand="0" w:noVBand="1" w:val="04A0"/>
      </w:tblPr>
      <w:tblGrid>
        <w:gridCol w:w="1964"/>
        <w:gridCol w:w="2248"/>
        <w:gridCol w:w="2168"/>
        <w:gridCol w:w="2168"/>
        <w:gridCol w:w="864"/>
      </w:tblGrid>
      <w:tr>
        <w:trPr>
          <w:tblHeader/>
        </w:trPr>
        <w:tc>
          <w:tcPr>
            <w:tcW w:type="dxa" w:w="1964"/>
            <w:shd w:val="clear" w:color="auto" w:fill="D9E2F3"/>
          </w:tcPr>
          <w:p>
            <w:pPr>
              <w:spacing w:after="0"/>
            </w:pPr>
            <w:r>
              <w:rPr>
                <w:b/>
                <w:sz w:val="19"/>
              </w:rPr>
              <w:t>Notebook</w:t>
            </w:r>
          </w:p>
        </w:tc>
        <w:tc>
          <w:tcPr>
            <w:tcW w:type="dxa" w:w="2248"/>
            <w:shd w:val="clear" w:color="auto" w:fill="D9E2F3"/>
          </w:tcPr>
          <w:p>
            <w:pPr>
              <w:spacing w:after="0"/>
            </w:pPr>
            <w:r>
              <w:rPr>
                <w:b/>
                <w:sz w:val="19"/>
              </w:rPr>
              <w:t>Aufgabe</w:t>
            </w:r>
          </w:p>
        </w:tc>
        <w:tc>
          <w:tcPr>
            <w:tcW w:type="dxa" w:w="2168"/>
            <w:shd w:val="clear" w:color="auto" w:fill="D9E2F3"/>
          </w:tcPr>
          <w:p>
            <w:pPr>
              <w:spacing w:after="0"/>
            </w:pPr>
            <w:r>
              <w:rPr>
                <w:b/>
                <w:sz w:val="19"/>
              </w:rPr>
              <w:t>Liest</w:t>
            </w:r>
          </w:p>
        </w:tc>
        <w:tc>
          <w:tcPr>
            <w:tcW w:type="dxa" w:w="2168"/>
            <w:shd w:val="clear" w:color="auto" w:fill="D9E2F3"/>
          </w:tcPr>
          <w:p>
            <w:pPr>
              <w:spacing w:after="0"/>
            </w:pPr>
            <w:r>
              <w:rPr>
                <w:b/>
                <w:sz w:val="19"/>
              </w:rPr>
              <w:t>Schreibt</w:t>
            </w:r>
          </w:p>
        </w:tc>
        <w:tc>
          <w:tcPr>
            <w:tcW w:type="dxa" w:w="864"/>
            <w:shd w:val="clear" w:color="auto" w:fill="D9E2F3"/>
          </w:tcPr>
          <w:p>
            <w:pPr>
              <w:spacing w:after="0"/>
            </w:pPr>
            <w:r>
              <w:rPr>
                <w:b/>
                <w:sz w:val="19"/>
              </w:rPr>
              <w:t>Takt</w:t>
            </w:r>
          </w:p>
        </w:tc>
      </w:tr>
      <w:tr>
        <w:trPr/>
        <w:tc>
          <w:tcPr>
            <w:tcW w:type="dxa" w:w="1964"/>
          </w:tcPr>
          <w:p>
            <w:pPr>
              <w:spacing w:after="0"/>
            </w:pPr>
            <w:r>
              <w:rPr>
                <w:rFonts w:ascii="Courier New" w:hAnsi="Courier New"/>
                <w:sz w:val="17"/>
              </w:rPr>
              <w:t>00_steuerung_silver</w:t>
            </w:r>
          </w:p>
        </w:tc>
        <w:tc>
          <w:tcPr>
            <w:tcW w:type="dxa" w:w="2248"/>
          </w:tcPr>
          <w:p>
            <w:pPr>
              <w:spacing w:after="0"/>
            </w:pPr>
            <w:r>
              <w:rPr>
                <w:sz w:val="19"/>
              </w:rPr>
              <w:t>startet N1–N3 je Stadt aus der Standort-Tabelle</w:t>
            </w:r>
          </w:p>
        </w:tc>
        <w:tc>
          <w:tcPr>
            <w:tcW w:type="dxa" w:w="2168"/>
          </w:tcPr>
          <w:p>
            <w:pPr>
              <w:spacing w:after="0"/>
            </w:pPr>
            <w:r>
              <w:rPr>
                <w:rFonts w:ascii="Courier New" w:hAnsi="Courier New"/>
                <w:sz w:val="17"/>
              </w:rPr>
              <w:t>konfiguration/standorte.csv</w:t>
            </w:r>
          </w:p>
        </w:tc>
        <w:tc>
          <w:tcPr>
            <w:tcW w:type="dxa" w:w="2168"/>
          </w:tcPr>
          <w:p>
            <w:pPr>
              <w:spacing w:after="0"/>
            </w:pPr>
            <w:r>
              <w:rPr>
                <w:sz w:val="19"/>
              </w:rPr>
              <w:t>–</w:t>
            </w:r>
          </w:p>
        </w:tc>
        <w:tc>
          <w:tcPr>
            <w:tcW w:type="dxa" w:w="864"/>
          </w:tcPr>
          <w:p>
            <w:pPr>
              <w:spacing w:after="0"/>
            </w:pPr>
            <w:r>
              <w:rPr>
                <w:sz w:val="19"/>
              </w:rPr>
              <w:t>täglich</w:t>
            </w:r>
          </w:p>
        </w:tc>
      </w:tr>
      <w:tr>
        <w:trPr/>
        <w:tc>
          <w:tcPr>
            <w:tcW w:type="dxa" w:w="1964"/>
          </w:tcPr>
          <w:p>
            <w:pPr>
              <w:spacing w:after="0"/>
            </w:pPr>
            <w:r>
              <w:rPr>
                <w:sz w:val="19"/>
              </w:rPr>
              <w:t xml:space="preserve">N1 </w:t>
            </w:r>
            <w:r>
              <w:rPr>
                <w:rFonts w:ascii="Courier New" w:hAnsi="Courier New"/>
                <w:sz w:val="17"/>
              </w:rPr>
              <w:t>01_bereinigung</w:t>
            </w:r>
          </w:p>
        </w:tc>
        <w:tc>
          <w:tcPr>
            <w:tcW w:type="dxa" w:w="2248"/>
          </w:tcPr>
          <w:p>
            <w:pPr>
              <w:spacing w:after="0"/>
            </w:pPr>
            <w:r>
              <w:rPr>
                <w:sz w:val="19"/>
              </w:rPr>
              <w:t>Datentypen, UTC, Duplikate, fehlende Werte, Gewicht einheitlich in Gramm</w:t>
            </w:r>
          </w:p>
        </w:tc>
        <w:tc>
          <w:tcPr>
            <w:tcW w:type="dxa" w:w="2168"/>
          </w:tcPr>
          <w:p>
            <w:pPr>
              <w:spacing w:after="0"/>
            </w:pPr>
            <w:r>
              <w:rPr>
                <w:rFonts w:ascii="Courier New" w:hAnsi="Courier New"/>
                <w:sz w:val="17"/>
              </w:rPr>
              <w:t>silver/processing</w:t>
            </w:r>
          </w:p>
        </w:tc>
        <w:tc>
          <w:tcPr>
            <w:tcW w:type="dxa" w:w="2168"/>
          </w:tcPr>
          <w:p>
            <w:pPr>
              <w:spacing w:after="0"/>
            </w:pPr>
            <w:r>
              <w:rPr>
                <w:sz w:val="19"/>
              </w:rPr>
              <w:t>Zwischenstand</w:t>
            </w:r>
          </w:p>
        </w:tc>
        <w:tc>
          <w:tcPr>
            <w:tcW w:type="dxa" w:w="864"/>
          </w:tcPr>
          <w:p>
            <w:pPr>
              <w:spacing w:after="0"/>
            </w:pPr>
            <w:r>
              <w:rPr>
                <w:sz w:val="19"/>
              </w:rPr>
              <w:t>täglich</w:t>
            </w:r>
          </w:p>
        </w:tc>
      </w:tr>
      <w:tr>
        <w:trPr/>
        <w:tc>
          <w:tcPr>
            <w:tcW w:type="dxa" w:w="1964"/>
          </w:tcPr>
          <w:p>
            <w:pPr>
              <w:spacing w:after="0"/>
            </w:pPr>
            <w:r>
              <w:rPr>
                <w:sz w:val="19"/>
              </w:rPr>
              <w:t xml:space="preserve">N2 </w:t>
            </w:r>
            <w:r>
              <w:rPr>
                <w:rFonts w:ascii="Courier New" w:hAnsi="Courier New"/>
                <w:sz w:val="17"/>
              </w:rPr>
              <w:t>02_qualitaet</w:t>
            </w:r>
          </w:p>
        </w:tc>
        <w:tc>
          <w:tcPr>
            <w:tcW w:type="dxa" w:w="2248"/>
          </w:tcPr>
          <w:p>
            <w:pPr>
              <w:spacing w:after="0"/>
            </w:pPr>
            <w:r>
              <w:rPr>
                <w:sz w:val="19"/>
              </w:rPr>
              <w:t>Plausibilität: Grenzen und Ausfallzeiträume je Standort, robuster z-Score, markieren statt löschen</w:t>
            </w:r>
          </w:p>
        </w:tc>
        <w:tc>
          <w:tcPr>
            <w:tcW w:type="dxa" w:w="2168"/>
          </w:tcPr>
          <w:p>
            <w:pPr>
              <w:spacing w:after="0"/>
            </w:pPr>
            <w:r>
              <w:rPr>
                <w:sz w:val="19"/>
              </w:rPr>
              <w:t xml:space="preserve">N1, </w:t>
            </w:r>
            <w:r>
              <w:rPr>
                <w:rFonts w:ascii="Courier New" w:hAnsi="Courier New"/>
                <w:sz w:val="17"/>
              </w:rPr>
              <w:t>sensoren.csv</w:t>
            </w:r>
            <w:r>
              <w:rPr>
                <w:sz w:val="19"/>
              </w:rPr>
              <w:t xml:space="preserve">, </w:t>
            </w:r>
            <w:r>
              <w:rPr>
                <w:rFonts w:ascii="Courier New" w:hAnsi="Courier New"/>
                <w:sz w:val="17"/>
              </w:rPr>
              <w:t>ausschluesse.csv</w:t>
            </w:r>
          </w:p>
        </w:tc>
        <w:tc>
          <w:tcPr>
            <w:tcW w:type="dxa" w:w="2168"/>
          </w:tcPr>
          <w:p>
            <w:pPr>
              <w:spacing w:after="0"/>
            </w:pPr>
            <w:r>
              <w:rPr>
                <w:rFonts w:ascii="Courier New" w:hAnsi="Courier New"/>
                <w:sz w:val="17"/>
              </w:rPr>
              <w:t>silver/cleaned</w:t>
            </w:r>
          </w:p>
        </w:tc>
        <w:tc>
          <w:tcPr>
            <w:tcW w:type="dxa" w:w="864"/>
          </w:tcPr>
          <w:p>
            <w:pPr>
              <w:spacing w:after="0"/>
            </w:pPr>
            <w:r>
              <w:rPr>
                <w:sz w:val="19"/>
              </w:rPr>
              <w:t>täglich</w:t>
            </w:r>
          </w:p>
        </w:tc>
      </w:tr>
      <w:tr>
        <w:trPr/>
        <w:tc>
          <w:tcPr>
            <w:tcW w:type="dxa" w:w="1964"/>
          </w:tcPr>
          <w:p>
            <w:pPr>
              <w:spacing w:after="0"/>
            </w:pPr>
            <w:r>
              <w:rPr>
                <w:sz w:val="19"/>
              </w:rPr>
              <w:t xml:space="preserve">N3 </w:t>
            </w:r>
            <w:r>
              <w:rPr>
                <w:rFonts w:ascii="Courier New" w:hAnsi="Courier New"/>
                <w:sz w:val="17"/>
              </w:rPr>
              <w:t>03_wetter</w:t>
            </w:r>
          </w:p>
        </w:tc>
        <w:tc>
          <w:tcPr>
            <w:tcW w:type="dxa" w:w="2248"/>
          </w:tcPr>
          <w:p>
            <w:pPr>
              <w:spacing w:after="0"/>
            </w:pPr>
            <w:r>
              <w:rPr>
                <w:sz w:val="19"/>
              </w:rPr>
              <w:t>Wetter (Bright Sky/DWD) und Sonnenstand</w:t>
            </w:r>
          </w:p>
        </w:tc>
        <w:tc>
          <w:tcPr>
            <w:tcW w:type="dxa" w:w="2168"/>
          </w:tcPr>
          <w:p>
            <w:pPr>
              <w:spacing w:after="0"/>
            </w:pPr>
            <w:r>
              <w:rPr>
                <w:sz w:val="19"/>
              </w:rPr>
              <w:t>Standort-Tabelle, Schnittstelle</w:t>
            </w:r>
          </w:p>
        </w:tc>
        <w:tc>
          <w:tcPr>
            <w:tcW w:type="dxa" w:w="2168"/>
          </w:tcPr>
          <w:p>
            <w:pPr>
              <w:spacing w:after="0"/>
            </w:pPr>
            <w:r>
              <w:rPr>
                <w:rFonts w:ascii="Courier New" w:hAnsi="Courier New"/>
                <w:sz w:val="17"/>
              </w:rPr>
              <w:t>silver/cleaned/&lt;stadt&gt;/wetter</w:t>
            </w:r>
            <w:r>
              <w:rPr>
                <w:sz w:val="19"/>
              </w:rPr>
              <w:t xml:space="preserve">, </w:t>
            </w:r>
            <w:r>
              <w:rPr>
                <w:rFonts w:ascii="Courier New" w:hAnsi="Courier New"/>
                <w:sz w:val="17"/>
              </w:rPr>
              <w:t>…/sonne</w:t>
            </w:r>
          </w:p>
        </w:tc>
        <w:tc>
          <w:tcPr>
            <w:tcW w:type="dxa" w:w="864"/>
          </w:tcPr>
          <w:p>
            <w:pPr>
              <w:spacing w:after="0"/>
            </w:pPr>
            <w:r>
              <w:rPr>
                <w:sz w:val="19"/>
              </w:rPr>
              <w:t>täglich</w:t>
            </w:r>
          </w:p>
        </w:tc>
      </w:tr>
      <w:tr>
        <w:trPr/>
        <w:tc>
          <w:tcPr>
            <w:tcW w:type="dxa" w:w="1964"/>
          </w:tcPr>
          <w:p>
            <w:pPr>
              <w:spacing w:after="0"/>
            </w:pPr>
            <w:r>
              <w:rPr>
                <w:sz w:val="19"/>
              </w:rPr>
              <w:t xml:space="preserve">N4 </w:t>
            </w:r>
            <w:r>
              <w:rPr>
                <w:rFonts w:ascii="Courier New" w:hAnsi="Courier New"/>
                <w:sz w:val="17"/>
              </w:rPr>
              <w:t>04_gold</w:t>
            </w:r>
          </w:p>
        </w:tc>
        <w:tc>
          <w:tcPr>
            <w:tcW w:type="dxa" w:w="2248"/>
          </w:tcPr>
          <w:p>
            <w:pPr>
              <w:spacing w:after="0"/>
            </w:pPr>
            <w:r>
              <w:rPr>
                <w:sz w:val="19"/>
              </w:rPr>
              <w:t xml:space="preserve">eine Tabelle je Stunde und Tageswerte je Stadt; kurze Lücken aufgefüllt mit Kennzeichen </w:t>
            </w:r>
            <w:r>
              <w:rPr>
                <w:rFonts w:ascii="Courier New" w:hAnsi="Courier New"/>
                <w:sz w:val="17"/>
              </w:rPr>
              <w:t>_aufgefuellt</w:t>
            </w:r>
            <w:r>
              <w:rPr>
                <w:sz w:val="19"/>
              </w:rPr>
              <w:t xml:space="preserve"> (flow nie)</w:t>
            </w:r>
          </w:p>
        </w:tc>
        <w:tc>
          <w:tcPr>
            <w:tcW w:type="dxa" w:w="2168"/>
          </w:tcPr>
          <w:p>
            <w:pPr>
              <w:spacing w:after="0"/>
            </w:pPr>
            <w:r>
              <w:rPr>
                <w:rFonts w:ascii="Courier New" w:hAnsi="Courier New"/>
                <w:sz w:val="17"/>
              </w:rPr>
              <w:t>silver/cleaned</w:t>
            </w:r>
          </w:p>
        </w:tc>
        <w:tc>
          <w:tcPr>
            <w:tcW w:type="dxa" w:w="2168"/>
          </w:tcPr>
          <w:p>
            <w:pPr>
              <w:spacing w:after="0"/>
            </w:pPr>
            <w:r>
              <w:rPr>
                <w:rFonts w:ascii="Courier New" w:hAnsi="Courier New"/>
                <w:sz w:val="17"/>
              </w:rPr>
              <w:t>gold/&lt;stadt&gt;/</w:t>
            </w:r>
          </w:p>
        </w:tc>
        <w:tc>
          <w:tcPr>
            <w:tcW w:type="dxa" w:w="864"/>
          </w:tcPr>
          <w:p>
            <w:pPr>
              <w:spacing w:after="0"/>
            </w:pPr>
            <w:r>
              <w:rPr>
                <w:sz w:val="19"/>
              </w:rPr>
              <w:t>täglich</w:t>
            </w:r>
          </w:p>
        </w:tc>
      </w:tr>
      <w:tr>
        <w:trPr/>
        <w:tc>
          <w:tcPr>
            <w:tcW w:type="dxa" w:w="1964"/>
          </w:tcPr>
          <w:p>
            <w:pPr>
              <w:spacing w:after="0"/>
            </w:pPr>
            <w:r>
              <w:rPr>
                <w:sz w:val="19"/>
              </w:rPr>
              <w:t xml:space="preserve">N5 </w:t>
            </w:r>
            <w:r>
              <w:rPr>
                <w:rFonts w:ascii="Courier New" w:hAnsi="Courier New"/>
                <w:sz w:val="17"/>
              </w:rPr>
              <w:t>05_analyse</w:t>
            </w:r>
          </w:p>
        </w:tc>
        <w:tc>
          <w:tcPr>
            <w:tcW w:type="dxa" w:w="2248"/>
          </w:tcPr>
          <w:p>
            <w:pPr>
              <w:spacing w:after="0"/>
            </w:pPr>
            <w:r>
              <w:rPr>
                <w:sz w:val="19"/>
              </w:rPr>
              <w:t>Flugverhalten, Wettereinflüsse, Honigproduktion (Grafiken)</w:t>
            </w:r>
          </w:p>
        </w:tc>
        <w:tc>
          <w:tcPr>
            <w:tcW w:type="dxa" w:w="2168"/>
          </w:tcPr>
          <w:p>
            <w:pPr>
              <w:spacing w:after="0"/>
            </w:pPr>
            <w:r>
              <w:rPr>
                <w:sz w:val="19"/>
              </w:rPr>
              <w:t>Gold, Silver</w:t>
            </w:r>
          </w:p>
        </w:tc>
        <w:tc>
          <w:tcPr>
            <w:tcW w:type="dxa" w:w="2168"/>
          </w:tcPr>
          <w:p>
            <w:pPr>
              <w:spacing w:after="0"/>
            </w:pPr>
            <w:r>
              <w:rPr>
                <w:rFonts w:ascii="Courier New" w:hAnsi="Courier New"/>
                <w:sz w:val="17"/>
              </w:rPr>
              <w:t>04_images/&lt;stadt&gt;/</w:t>
            </w:r>
          </w:p>
        </w:tc>
        <w:tc>
          <w:tcPr>
            <w:tcW w:type="dxa" w:w="864"/>
          </w:tcPr>
          <w:p>
            <w:pPr>
              <w:spacing w:after="0"/>
            </w:pPr>
            <w:r>
              <w:rPr>
                <w:sz w:val="19"/>
              </w:rPr>
              <w:t>bei Bedarf</w:t>
            </w:r>
          </w:p>
        </w:tc>
      </w:tr>
      <w:tr>
        <w:trPr/>
        <w:tc>
          <w:tcPr>
            <w:tcW w:type="dxa" w:w="1964"/>
          </w:tcPr>
          <w:p>
            <w:pPr>
              <w:spacing w:after="0"/>
            </w:pPr>
            <w:r>
              <w:rPr>
                <w:rFonts w:ascii="Courier New" w:hAnsi="Courier New"/>
                <w:sz w:val="17"/>
              </w:rPr>
              <w:t>06_vergleich_standorte</w:t>
            </w:r>
          </w:p>
        </w:tc>
        <w:tc>
          <w:tcPr>
            <w:tcW w:type="dxa" w:w="2248"/>
          </w:tcPr>
          <w:p>
            <w:pPr>
              <w:spacing w:after="0"/>
            </w:pPr>
            <w:r>
              <w:rPr>
                <w:sz w:val="19"/>
              </w:rPr>
              <w:t>Honig-Kennzahlen je Saison, Vergleich der Standorte</w:t>
            </w:r>
          </w:p>
        </w:tc>
        <w:tc>
          <w:tcPr>
            <w:tcW w:type="dxa" w:w="2168"/>
          </w:tcPr>
          <w:p>
            <w:pPr>
              <w:spacing w:after="0"/>
            </w:pPr>
            <w:r>
              <w:rPr>
                <w:sz w:val="19"/>
              </w:rPr>
              <w:t>Gold aller Städte</w:t>
            </w:r>
          </w:p>
        </w:tc>
        <w:tc>
          <w:tcPr>
            <w:tcW w:type="dxa" w:w="2168"/>
          </w:tcPr>
          <w:p>
            <w:pPr>
              <w:spacing w:after="0"/>
            </w:pPr>
            <w:r>
              <w:rPr>
                <w:rFonts w:ascii="Courier New" w:hAnsi="Courier New"/>
                <w:sz w:val="17"/>
              </w:rPr>
              <w:t>gold/vergleich/</w:t>
            </w:r>
            <w:r>
              <w:rPr>
                <w:sz w:val="19"/>
              </w:rPr>
              <w:t>, Grafik v1</w:t>
            </w:r>
          </w:p>
        </w:tc>
        <w:tc>
          <w:tcPr>
            <w:tcW w:type="dxa" w:w="864"/>
          </w:tcPr>
          <w:p>
            <w:pPr>
              <w:spacing w:after="0"/>
            </w:pPr>
            <w:r>
              <w:rPr>
                <w:sz w:val="19"/>
              </w:rPr>
              <w:t>bei Bedarf</w:t>
            </w:r>
          </w:p>
        </w:tc>
      </w:tr>
    </w:tbl>
    <w:p>
      <w:pPr>
        <w:spacing w:after="0" w:line="20" w:lineRule="exact"/>
      </w:pPr>
    </w:p>
    <w:p>
      <w:r>
        <w:rPr>
          <w:b/>
        </w:rPr>
        <w:t>Konfiguration statt Code</w:t>
      </w:r>
      <w:r>
        <w:t xml:space="preserve"> (</w:t>
      </w:r>
      <w:r>
        <w:rPr>
          <w:rFonts w:ascii="Courier New" w:hAnsi="Courier New"/>
          <w:sz w:val="19"/>
        </w:rPr>
        <w:t>lakehouse/konfiguration/</w:t>
      </w:r>
      <w:r>
        <w:t xml:space="preserve">): </w:t>
      </w:r>
      <w:r>
        <w:rPr>
          <w:rFonts w:ascii="Courier New" w:hAnsi="Courier New"/>
          <w:sz w:val="19"/>
        </w:rPr>
        <w:t>standorte.csv</w:t>
      </w:r>
      <w:r>
        <w:t xml:space="preserve"> (Stadt, Name, Koordinaten, Zeitzone, Quelle) · </w:t>
      </w:r>
      <w:r>
        <w:rPr>
          <w:rFonts w:ascii="Courier New" w:hAnsi="Courier New"/>
          <w:sz w:val="19"/>
        </w:rPr>
        <w:t>sensoren.csv</w:t>
      </w:r>
      <w:r>
        <w:t xml:space="preserve"> (Einheit der Rohdaten, gültiger Bereich je Stadt und Sensor) · </w:t>
      </w:r>
      <w:r>
        <w:rPr>
          <w:rFonts w:ascii="Courier New" w:hAnsi="Courier New"/>
          <w:sz w:val="19"/>
        </w:rPr>
        <w:t>ausschluesse.csv</w:t>
      </w:r>
      <w:r>
        <w:t xml:space="preserve"> (bekannte Ausfallzeiträume mit Grund). Neue Stadt = neue Zeilen + Rohdaten in der Quelle.</w:t>
      </w:r>
    </w:p>
    <w:p>
      <w:r>
        <w:rPr>
          <w:b/>
        </w:rPr>
        <w:t>Regeln der Datenverarbeitung:</w:t>
      </w:r>
      <w:r>
        <w:t xml:space="preserve"> lokal entwickeln und testen, kostenpflichtige Cloud-Läufe erst danach · offene Datenfragen erst visualisieren, dann prüfen, dann entscheiden und dokumentieren · Zeit immer in UTC (Sommer-/Winterzeit ohne Datenverlust) · markieren statt löschen (Spalte </w:t>
      </w:r>
      <w:r>
        <w:rPr>
          <w:rFonts w:ascii="Courier New" w:hAnsi="Courier New"/>
          <w:sz w:val="19"/>
        </w:rPr>
        <w:t>qualitaet</w:t>
      </w:r>
      <w:r>
        <w:t xml:space="preserve"> mit Grund), archivieren statt überschreiben · Silver bleibt Messung, Lücken nur in Gold und nur kurz · Silver und Gold als Parquet, zeitsortiert (13–18 % der CSV-Größe) · flow: positiv = Einflug, negativ = Ausflug.</w:t>
      </w:r>
    </w:p>
    <w:p>
      <w:r>
        <w:rPr>
          <w:b/>
        </w:rPr>
        <w:t>Rechte (geringste Rechte, keine Schlüssel im Code):</w:t>
      </w:r>
      <w:r>
        <w:t xml:space="preserve"> Data Factory (verwaltete Identität): Storage-Blobdatenleser auf </w:t>
      </w:r>
      <w:r>
        <w:rPr>
          <w:rFonts w:ascii="Courier New" w:hAnsi="Courier New"/>
          <w:sz w:val="19"/>
        </w:rPr>
        <w:t>mabeehavenraw</w:t>
      </w:r>
      <w:r>
        <w:t xml:space="preserve">, Mitwirkender an Storage-Blobdaten auf </w:t>
      </w:r>
      <w:r>
        <w:rPr>
          <w:rFonts w:ascii="Courier New" w:hAnsi="Courier New"/>
          <w:sz w:val="19"/>
        </w:rPr>
        <w:t>mabeehavenlakehouse</w:t>
      </w:r>
      <w:r>
        <w:t>, im Synapse-Arbeitsbereich Synapse Compute Operator, Synapse Artifact User, Synapse Credential User · Synapse-Arbeitsbereich (verwaltete Identität): Mitwirkender an Storage-Blobdaten auf dem Data Lake · Anmeldung nur über Microsoft Entra ID.</w:t>
      </w:r>
    </w:p>
    <w:p>
      <w:r>
        <w:rPr>
          <w:b/>
        </w:rPr>
        <w:t>Betrieb und Überwachung (Human Info nach RL-RC-003):</w:t>
      </w:r>
      <w:r>
        <w:t xml:space="preserve"> Trigger </w:t>
      </w:r>
      <w:r>
        <w:rPr>
          <w:rFonts w:ascii="Courier New" w:hAnsi="Courier New"/>
          <w:sz w:val="19"/>
        </w:rPr>
        <w:t>tr_taeglich_0000_utc</w:t>
      </w:r>
      <w:r>
        <w:t xml:space="preserve"> täglich 00:00 UTC (in der Schulphase angelegt, aber gestoppt – Start nur nach Kostenfreigabe) · Nebenläufigkeit 1 (keine überlappenden Läufe) · Laufzeit-Grenze 30 Minuten · E-Mail an die Projektleitung (im Betrieb: IT-Systemadministrator) bei Fehler und bei Überschreitung der Laufzeit · Gegenprobe nach jedem Testlauf über Zeilenzahl und CSV-Größe („Erfolgreich“ heißt nur „kein Abbruch“).</w:t>
      </w:r>
    </w:p>
    <w:p>
      <w:r>
        <w:rPr>
          <w:b/>
        </w:rPr>
        <w:t>Kosten:</w:t>
      </w:r>
      <w:r>
        <w:t xml:space="preserve"> Spark-Pool minutengenau nur während eines Laufs (1,80 USD je Stunde) · Ist-Kosten aller Tests 1,02 € (Spark 0,85 €, Data Factory 0,17 €) · ein Tageslauf mit zwei Städten ca. 13 Minuten und ca. 0,50 € · Warnregeln ca. 0,20 USD je Monat · jede neue kostenpflichtige Ressource nur nach Freigabe (Human Loop).</w:t>
      </w:r>
    </w:p>
    <w:p>
      <w:r>
        <w:rPr>
          <w:b/>
        </w:rPr>
        <w:t>Namensregeln:</w:t>
      </w:r>
      <w:r>
        <w:t xml:space="preserve"> Pipelines englisch mit Präfix </w:t>
      </w:r>
      <w:r>
        <w:rPr>
          <w:rFonts w:ascii="Courier New" w:hAnsi="Courier New"/>
          <w:sz w:val="19"/>
        </w:rPr>
        <w:t>pl_</w:t>
      </w:r>
      <w:r>
        <w:t xml:space="preserve">, Aktivitäten deutsch und sprechend ohne Umlaute (höchstens 55 Zeichen; nicht erlaubt: </w:t>
      </w:r>
      <w:r>
        <w:rPr>
          <w:rFonts w:ascii="Courier New" w:hAnsi="Courier New"/>
          <w:sz w:val="19"/>
        </w:rPr>
        <w:t>. + ? / &lt; &gt; * % &amp; : \</w:t>
      </w:r>
      <w:r>
        <w:t>), Ressourcen nach Microsoft Cloud Adoption Framework (</w:t>
      </w:r>
      <w:r>
        <w:rPr>
          <w:rFonts w:ascii="Courier New" w:hAnsi="Courier New"/>
          <w:sz w:val="19"/>
        </w:rPr>
        <w:t>&lt;typ&gt;-beehaven-dev-gwc</w:t>
      </w:r>
      <w:r>
        <w:t>).</w:t>
      </w:r>
    </w:p>
    <w:p>
      <w:r>
        <w:rPr>
          <w:b/>
        </w:rPr>
        <w:t>Für den Betrieb vorgesehen (Folgeprojekte, Kap. 8):</w:t>
      </w:r>
      <w:r>
        <w:t xml:space="preserve"> inkrementelle Verarbeitung nur neuer Tage, Prüfung der Lieferungen, Prüfordner im Fehlerfall, Git-Anbindung von Data Factory und Synapse, eingeschränkte Firewall und verwaltetes virtuelles Netzwerk, Dashboard.</w:t>
      </w:r>
    </w:p>
    <w:p>
      <w:r>
        <w:t>Quellen: Microsoft Learn „Transform data by running a Synapse notebook“, „Microsoft Spark Utilities“, „Pipelines and activities“, „Apache Spark pool configurations“, „Plan and manage costs for Azure Synapse Analytics“ (Stand 28.09.–02.10.2026).</w:t>
      </w:r>
    </w:p>
    <w:p>
      <w:pPr>
        <w:pStyle w:val="Heading1"/>
        <w:pageBreakBefore/>
      </w:pPr>
      <w:r>
        <w:t>5. Ablauf nach Meilensteinen (Anwendungsfall Bee Haven)</w:t>
      </w:r>
    </w:p>
    <w:p>
      <w:pPr>
        <w:spacing w:after="0" w:line="20" w:lineRule="exact"/>
      </w:pPr>
    </w:p>
    <w:p>
      <w:r>
        <w:t>Zeitplan: 23.09.2026 bis Kursende (13.10.2026). Status je Schritt: erreicht (mit Datum) · bis Abschluss · nach Kursende · Folgeprojekt.</w:t>
      </w:r>
    </w:p>
    <w:tbl>
      <w:tblPr>
        <w:tblStyle w:val="TableGrid"/>
        <w:tblW w:type="auto" w:w="0"/>
        <w:jc w:val="center"/>
        <w:tblLayout w:type="fixed"/>
        <w:tblLook w:firstColumn="1" w:firstRow="1" w:lastColumn="0" w:lastRow="0" w:noHBand="0" w:noVBand="1" w:val="04A0"/>
      </w:tblPr>
      <w:tblGrid>
        <w:gridCol w:w="740"/>
        <w:gridCol w:w="2343"/>
        <w:gridCol w:w="2690"/>
        <w:gridCol w:w="1588"/>
        <w:gridCol w:w="2050"/>
      </w:tblGrid>
      <w:tr>
        <w:trPr>
          <w:tblHeader/>
          <w:cantSplit/>
        </w:trPr>
        <w:tc>
          <w:tcPr>
            <w:tcW w:type="dxa" w:w="9411"/>
            <w:gridSpan w:val="5"/>
            <w:tcBorders>
              <w:top w:val="nil"/>
              <w:left w:val="nil"/>
              <w:right w:val="nil"/>
            </w:tcBorders>
          </w:tcPr>
          <w:p>
            <w:pPr>
              <w:pStyle w:val="Heading2"/>
              <w:spacing w:before="200" w:after="60"/>
            </w:pPr>
            <w:r>
              <w:t>M1 – Einrichtung Azure (23.–24.09.2026, Phasen 0–3) – erreicht</w:t>
            </w:r>
          </w:p>
        </w:tc>
      </w:tr>
      <w:tr>
        <w:trPr>
          <w:tblHeader/>
        </w:trPr>
        <w:tc>
          <w:tcPr>
            <w:tcW w:type="dxa" w:w="740"/>
            <w:shd w:val="clear" w:color="auto" w:fill="D9E2F3"/>
          </w:tcPr>
          <w:p>
            <w:pPr>
              <w:spacing w:after="0"/>
            </w:pPr>
            <w:r>
              <w:rPr>
                <w:b/>
                <w:sz w:val="19"/>
              </w:rPr>
              <w:t>Nr.</w:t>
            </w:r>
          </w:p>
        </w:tc>
        <w:tc>
          <w:tcPr>
            <w:tcW w:type="dxa" w:w="2343"/>
            <w:shd w:val="clear" w:color="auto" w:fill="D9E2F3"/>
          </w:tcPr>
          <w:p>
            <w:pPr>
              <w:spacing w:after="0"/>
            </w:pPr>
            <w:r>
              <w:rPr>
                <w:b/>
                <w:sz w:val="19"/>
              </w:rPr>
              <w:t>Arbeitsschritt</w:t>
            </w:r>
          </w:p>
        </w:tc>
        <w:tc>
          <w:tcPr>
            <w:tcW w:type="dxa" w:w="2690"/>
            <w:shd w:val="clear" w:color="auto" w:fill="D9E2F3"/>
          </w:tcPr>
          <w:p>
            <w:pPr>
              <w:spacing w:after="0"/>
            </w:pPr>
            <w:r>
              <w:rPr>
                <w:b/>
                <w:sz w:val="19"/>
              </w:rPr>
              <w:t>Ergebnis</w:t>
            </w:r>
          </w:p>
        </w:tc>
        <w:tc>
          <w:tcPr>
            <w:tcW w:type="dxa" w:w="1588"/>
            <w:shd w:val="clear" w:color="auto" w:fill="D9E2F3"/>
          </w:tcPr>
          <w:p>
            <w:pPr>
              <w:spacing w:after="0"/>
            </w:pPr>
            <w:r>
              <w:rPr>
                <w:b/>
                <w:sz w:val="19"/>
              </w:rPr>
              <w:t>Anleitung</w:t>
            </w:r>
          </w:p>
        </w:tc>
        <w:tc>
          <w:tcPr>
            <w:tcW w:type="dxa" w:w="2050"/>
            <w:shd w:val="clear" w:color="auto" w:fill="D9E2F3"/>
          </w:tcPr>
          <w:p>
            <w:pPr>
              <w:spacing w:after="0"/>
            </w:pPr>
            <w:r>
              <w:rPr>
                <w:b/>
                <w:sz w:val="19"/>
              </w:rPr>
              <w:t>Status</w:t>
            </w:r>
          </w:p>
        </w:tc>
      </w:tr>
      <w:tr>
        <w:trPr/>
        <w:tc>
          <w:tcPr>
            <w:tcW w:type="dxa" w:w="740"/>
          </w:tcPr>
          <w:p>
            <w:pPr>
              <w:spacing w:after="0"/>
            </w:pPr>
            <w:r>
              <w:rPr>
                <w:sz w:val="19"/>
              </w:rPr>
              <w:t>1.1</w:t>
            </w:r>
          </w:p>
        </w:tc>
        <w:tc>
          <w:tcPr>
            <w:tcW w:type="dxa" w:w="2343"/>
          </w:tcPr>
          <w:p>
            <w:pPr>
              <w:spacing w:after="0"/>
            </w:pPr>
            <w:r>
              <w:rPr>
                <w:sz w:val="19"/>
              </w:rPr>
              <w:t>Kostenrahmen und Region festlegen</w:t>
            </w:r>
          </w:p>
        </w:tc>
        <w:tc>
          <w:tcPr>
            <w:tcW w:type="dxa" w:w="2690"/>
          </w:tcPr>
          <w:p>
            <w:pPr>
              <w:spacing w:after="0"/>
            </w:pPr>
            <w:r>
              <w:rPr>
                <w:sz w:val="19"/>
              </w:rPr>
              <w:t>Guthaben ca. 170 €, Germany West Central</w:t>
            </w:r>
          </w:p>
        </w:tc>
        <w:tc>
          <w:tcPr>
            <w:tcW w:type="dxa" w:w="1588"/>
          </w:tcPr>
          <w:p>
            <w:pPr>
              <w:spacing w:after="0"/>
            </w:pPr>
            <w:r>
              <w:rPr>
                <w:sz w:val="19"/>
              </w:rPr>
              <w:t>AN-ITS-001 Schritt 0</w:t>
            </w:r>
          </w:p>
        </w:tc>
        <w:tc>
          <w:tcPr>
            <w:tcW w:type="dxa" w:w="2050"/>
          </w:tcPr>
          <w:p>
            <w:pPr>
              <w:spacing w:after="0"/>
            </w:pPr>
            <w:r>
              <w:rPr>
                <w:sz w:val="19"/>
              </w:rPr>
              <w:t>erreicht 24.09.</w:t>
            </w:r>
          </w:p>
        </w:tc>
      </w:tr>
      <w:tr>
        <w:trPr/>
        <w:tc>
          <w:tcPr>
            <w:tcW w:type="dxa" w:w="740"/>
          </w:tcPr>
          <w:p>
            <w:pPr>
              <w:spacing w:after="0"/>
            </w:pPr>
            <w:r>
              <w:rPr>
                <w:sz w:val="19"/>
              </w:rPr>
              <w:t>1.2</w:t>
            </w:r>
          </w:p>
        </w:tc>
        <w:tc>
          <w:tcPr>
            <w:tcW w:type="dxa" w:w="2343"/>
          </w:tcPr>
          <w:p>
            <w:pPr>
              <w:spacing w:after="0"/>
            </w:pPr>
            <w:r>
              <w:rPr>
                <w:sz w:val="19"/>
              </w:rPr>
              <w:t>Ressourcengruppe mit Tags</w:t>
            </w:r>
          </w:p>
        </w:tc>
        <w:tc>
          <w:tcPr>
            <w:tcW w:type="dxa" w:w="2690"/>
          </w:tcPr>
          <w:p>
            <w:pPr>
              <w:spacing w:after="0"/>
            </w:pPr>
            <w:r>
              <w:rPr>
                <w:rFonts w:ascii="Courier New" w:hAnsi="Courier New"/>
                <w:sz w:val="17"/>
              </w:rPr>
              <w:t>rg-beehaven-dev-gwc</w:t>
            </w:r>
          </w:p>
        </w:tc>
        <w:tc>
          <w:tcPr>
            <w:tcW w:type="dxa" w:w="1588"/>
          </w:tcPr>
          <w:p>
            <w:pPr>
              <w:spacing w:after="0"/>
            </w:pPr>
            <w:r>
              <w:rPr>
                <w:sz w:val="19"/>
              </w:rPr>
              <w:t>Schritt 1</w:t>
            </w:r>
          </w:p>
        </w:tc>
        <w:tc>
          <w:tcPr>
            <w:tcW w:type="dxa" w:w="2050"/>
          </w:tcPr>
          <w:p>
            <w:pPr>
              <w:spacing w:after="0"/>
            </w:pPr>
            <w:r>
              <w:rPr>
                <w:sz w:val="19"/>
              </w:rPr>
              <w:t>erreicht 24.09.</w:t>
            </w:r>
          </w:p>
        </w:tc>
      </w:tr>
      <w:tr>
        <w:trPr/>
        <w:tc>
          <w:tcPr>
            <w:tcW w:type="dxa" w:w="740"/>
          </w:tcPr>
          <w:p>
            <w:pPr>
              <w:spacing w:after="0"/>
            </w:pPr>
            <w:r>
              <w:rPr>
                <w:sz w:val="19"/>
              </w:rPr>
              <w:t>1.3</w:t>
            </w:r>
          </w:p>
        </w:tc>
        <w:tc>
          <w:tcPr>
            <w:tcW w:type="dxa" w:w="2343"/>
          </w:tcPr>
          <w:p>
            <w:pPr>
              <w:spacing w:after="0"/>
            </w:pPr>
            <w:r>
              <w:rPr>
                <w:sz w:val="19"/>
              </w:rPr>
              <w:t>Speicherkonto Quelle (Blob) mit Rohdaten</w:t>
            </w:r>
          </w:p>
        </w:tc>
        <w:tc>
          <w:tcPr>
            <w:tcW w:type="dxa" w:w="2690"/>
          </w:tcPr>
          <w:p>
            <w:pPr>
              <w:spacing w:after="0"/>
            </w:pPr>
            <w:r>
              <w:rPr>
                <w:rFonts w:ascii="Courier New" w:hAnsi="Courier New"/>
                <w:sz w:val="17"/>
              </w:rPr>
              <w:t>mabeehavenraw</w:t>
            </w:r>
            <w:r>
              <w:rPr>
                <w:sz w:val="19"/>
              </w:rPr>
              <w:t xml:space="preserve">, Container </w:t>
            </w:r>
            <w:r>
              <w:rPr>
                <w:rFonts w:ascii="Courier New" w:hAnsi="Courier New"/>
                <w:sz w:val="17"/>
              </w:rPr>
              <w:t>source-data</w:t>
            </w:r>
            <w:r>
              <w:rPr>
                <w:sz w:val="19"/>
              </w:rPr>
              <w:t>, 4 CSV</w:t>
            </w:r>
          </w:p>
        </w:tc>
        <w:tc>
          <w:tcPr>
            <w:tcW w:type="dxa" w:w="1588"/>
          </w:tcPr>
          <w:p>
            <w:pPr>
              <w:spacing w:after="0"/>
            </w:pPr>
            <w:r>
              <w:rPr>
                <w:sz w:val="19"/>
              </w:rPr>
              <w:t>Schritt 2</w:t>
            </w:r>
          </w:p>
        </w:tc>
        <w:tc>
          <w:tcPr>
            <w:tcW w:type="dxa" w:w="2050"/>
          </w:tcPr>
          <w:p>
            <w:pPr>
              <w:spacing w:after="0"/>
            </w:pPr>
            <w:r>
              <w:rPr>
                <w:sz w:val="19"/>
              </w:rPr>
              <w:t>erreicht 24.09.</w:t>
            </w:r>
          </w:p>
        </w:tc>
      </w:tr>
      <w:tr>
        <w:trPr/>
        <w:tc>
          <w:tcPr>
            <w:tcW w:type="dxa" w:w="740"/>
          </w:tcPr>
          <w:p>
            <w:pPr>
              <w:spacing w:after="0"/>
            </w:pPr>
            <w:r>
              <w:rPr>
                <w:sz w:val="19"/>
              </w:rPr>
              <w:t>1.4</w:t>
            </w:r>
          </w:p>
        </w:tc>
        <w:tc>
          <w:tcPr>
            <w:tcW w:type="dxa" w:w="2343"/>
          </w:tcPr>
          <w:p>
            <w:pPr>
              <w:spacing w:after="0"/>
            </w:pPr>
            <w:r>
              <w:rPr>
                <w:sz w:val="19"/>
              </w:rPr>
              <w:t>Speicherkonto Data Lake Gen2 mit Ordnern</w:t>
            </w:r>
          </w:p>
        </w:tc>
        <w:tc>
          <w:tcPr>
            <w:tcW w:type="dxa" w:w="2690"/>
          </w:tcPr>
          <w:p>
            <w:pPr>
              <w:spacing w:after="0"/>
            </w:pPr>
            <w:r>
              <w:rPr>
                <w:rFonts w:ascii="Courier New" w:hAnsi="Courier New"/>
                <w:sz w:val="17"/>
              </w:rPr>
              <w:t>mabeehavenlakehouse</w:t>
            </w:r>
            <w:r>
              <w:rPr>
                <w:sz w:val="19"/>
              </w:rPr>
              <w:t xml:space="preserve">, Container </w:t>
            </w:r>
            <w:r>
              <w:rPr>
                <w:rFonts w:ascii="Courier New" w:hAnsi="Courier New"/>
                <w:sz w:val="17"/>
              </w:rPr>
              <w:t>lakehouse</w:t>
            </w:r>
            <w:r>
              <w:rPr>
                <w:sz w:val="19"/>
              </w:rPr>
              <w:t xml:space="preserve">: </w:t>
            </w:r>
            <w:r>
              <w:rPr>
                <w:rFonts w:ascii="Courier New" w:hAnsi="Courier New"/>
                <w:sz w:val="17"/>
              </w:rPr>
              <w:t>bronze/new</w:t>
            </w:r>
            <w:r>
              <w:rPr>
                <w:sz w:val="19"/>
              </w:rPr>
              <w:t xml:space="preserve">, </w:t>
            </w:r>
            <w:r>
              <w:rPr>
                <w:rFonts w:ascii="Courier New" w:hAnsi="Courier New"/>
                <w:sz w:val="17"/>
              </w:rPr>
              <w:t>bronze/archive</w:t>
            </w:r>
            <w:r>
              <w:rPr>
                <w:sz w:val="19"/>
              </w:rPr>
              <w:t xml:space="preserve">, </w:t>
            </w:r>
            <w:r>
              <w:rPr>
                <w:rFonts w:ascii="Courier New" w:hAnsi="Courier New"/>
                <w:sz w:val="17"/>
              </w:rPr>
              <w:t>silver</w:t>
            </w:r>
            <w:r>
              <w:rPr>
                <w:sz w:val="19"/>
              </w:rPr>
              <w:t xml:space="preserve">, </w:t>
            </w:r>
            <w:r>
              <w:rPr>
                <w:rFonts w:ascii="Courier New" w:hAnsi="Courier New"/>
                <w:sz w:val="17"/>
              </w:rPr>
              <w:t>gold</w:t>
            </w:r>
          </w:p>
        </w:tc>
        <w:tc>
          <w:tcPr>
            <w:tcW w:type="dxa" w:w="1588"/>
          </w:tcPr>
          <w:p>
            <w:pPr>
              <w:spacing w:after="0"/>
            </w:pPr>
            <w:r>
              <w:rPr>
                <w:sz w:val="19"/>
              </w:rPr>
              <w:t>Schritte 3–4</w:t>
            </w:r>
          </w:p>
        </w:tc>
        <w:tc>
          <w:tcPr>
            <w:tcW w:type="dxa" w:w="2050"/>
          </w:tcPr>
          <w:p>
            <w:pPr>
              <w:spacing w:after="0"/>
            </w:pPr>
            <w:r>
              <w:rPr>
                <w:sz w:val="19"/>
              </w:rPr>
              <w:t>erreicht 24.09.</w:t>
            </w:r>
          </w:p>
        </w:tc>
      </w:tr>
      <w:tr>
        <w:trPr/>
        <w:tc>
          <w:tcPr>
            <w:tcW w:type="dxa" w:w="740"/>
          </w:tcPr>
          <w:p>
            <w:pPr>
              <w:spacing w:after="0"/>
            </w:pPr>
            <w:r>
              <w:rPr>
                <w:sz w:val="19"/>
              </w:rPr>
              <w:t>1.5</w:t>
            </w:r>
          </w:p>
        </w:tc>
        <w:tc>
          <w:tcPr>
            <w:tcW w:type="dxa" w:w="2343"/>
          </w:tcPr>
          <w:p>
            <w:pPr>
              <w:spacing w:after="0"/>
            </w:pPr>
            <w:r>
              <w:rPr>
                <w:sz w:val="19"/>
              </w:rPr>
              <w:t>Data Factory mit minimalen Rechten</w:t>
            </w:r>
          </w:p>
        </w:tc>
        <w:tc>
          <w:tcPr>
            <w:tcW w:type="dxa" w:w="2690"/>
          </w:tcPr>
          <w:p>
            <w:pPr>
              <w:spacing w:after="0"/>
            </w:pPr>
            <w:r>
              <w:rPr>
                <w:rFonts w:ascii="Courier New" w:hAnsi="Courier New"/>
                <w:sz w:val="17"/>
              </w:rPr>
              <w:t>adf-beehaven-dev-gwc</w:t>
            </w:r>
            <w:r>
              <w:rPr>
                <w:sz w:val="19"/>
              </w:rPr>
              <w:t>; Leserecht Quelle, Schreibrecht Data Lake</w:t>
            </w:r>
          </w:p>
        </w:tc>
        <w:tc>
          <w:tcPr>
            <w:tcW w:type="dxa" w:w="1588"/>
          </w:tcPr>
          <w:p>
            <w:pPr>
              <w:spacing w:after="0"/>
            </w:pPr>
            <w:r>
              <w:rPr>
                <w:sz w:val="19"/>
              </w:rPr>
              <w:t>Schritte 5–7</w:t>
            </w:r>
          </w:p>
        </w:tc>
        <w:tc>
          <w:tcPr>
            <w:tcW w:type="dxa" w:w="2050"/>
          </w:tcPr>
          <w:p>
            <w:pPr>
              <w:spacing w:after="0"/>
            </w:pPr>
            <w:r>
              <w:rPr>
                <w:sz w:val="19"/>
              </w:rPr>
              <w:t>erreicht 24.09.</w:t>
            </w:r>
          </w:p>
        </w:tc>
      </w:tr>
      <w:tr>
        <w:trPr/>
        <w:tc>
          <w:tcPr>
            <w:tcW w:type="dxa" w:w="740"/>
          </w:tcPr>
          <w:p>
            <w:pPr>
              <w:spacing w:after="0"/>
            </w:pPr>
            <w:r>
              <w:rPr>
                <w:sz w:val="19"/>
              </w:rPr>
              <w:t>1.6</w:t>
            </w:r>
          </w:p>
        </w:tc>
        <w:tc>
          <w:tcPr>
            <w:tcW w:type="dxa" w:w="2343"/>
          </w:tcPr>
          <w:p>
            <w:pPr>
              <w:spacing w:after="0"/>
            </w:pPr>
            <w:r>
              <w:rPr>
                <w:sz w:val="19"/>
              </w:rPr>
              <w:t>Verknüpfte Dienste und Datensätze</w:t>
            </w:r>
          </w:p>
        </w:tc>
        <w:tc>
          <w:tcPr>
            <w:tcW w:type="dxa" w:w="2690"/>
          </w:tcPr>
          <w:p>
            <w:pPr>
              <w:spacing w:after="0"/>
            </w:pPr>
            <w:r>
              <w:rPr>
                <w:sz w:val="19"/>
              </w:rPr>
              <w:t>2 Linked Services, 6 Datasets</w:t>
            </w:r>
          </w:p>
        </w:tc>
        <w:tc>
          <w:tcPr>
            <w:tcW w:type="dxa" w:w="1588"/>
          </w:tcPr>
          <w:p>
            <w:pPr>
              <w:spacing w:after="0"/>
            </w:pPr>
            <w:r>
              <w:rPr>
                <w:sz w:val="19"/>
              </w:rPr>
              <w:t>Schritte 8–9</w:t>
            </w:r>
          </w:p>
        </w:tc>
        <w:tc>
          <w:tcPr>
            <w:tcW w:type="dxa" w:w="2050"/>
          </w:tcPr>
          <w:p>
            <w:pPr>
              <w:spacing w:after="0"/>
            </w:pPr>
            <w:r>
              <w:rPr>
                <w:sz w:val="19"/>
              </w:rPr>
              <w:t>erreicht 24.09.</w:t>
            </w:r>
          </w:p>
        </w:tc>
      </w:tr>
      <w:tr>
        <w:trPr/>
        <w:tc>
          <w:tcPr>
            <w:tcW w:type="dxa" w:w="740"/>
          </w:tcPr>
          <w:p>
            <w:pPr>
              <w:spacing w:after="0"/>
            </w:pPr>
            <w:r>
              <w:rPr>
                <w:sz w:val="19"/>
              </w:rPr>
              <w:t>1.7</w:t>
            </w:r>
          </w:p>
        </w:tc>
        <w:tc>
          <w:tcPr>
            <w:tcW w:type="dxa" w:w="2343"/>
          </w:tcPr>
          <w:p>
            <w:pPr>
              <w:spacing w:after="0"/>
            </w:pPr>
            <w:r>
              <w:rPr>
                <w:sz w:val="19"/>
              </w:rPr>
              <w:t>Pipeline Rohdaten → Bronze</w:t>
            </w:r>
          </w:p>
        </w:tc>
        <w:tc>
          <w:tcPr>
            <w:tcW w:type="dxa" w:w="2690"/>
          </w:tcPr>
          <w:p>
            <w:pPr>
              <w:spacing w:after="0"/>
            </w:pPr>
            <w:r>
              <w:rPr>
                <w:rFonts w:ascii="Courier New" w:hAnsi="Courier New"/>
                <w:sz w:val="17"/>
              </w:rPr>
              <w:t>pl_ingest_raw_to_bronze</w:t>
            </w:r>
            <w:r>
              <w:rPr>
                <w:sz w:val="19"/>
              </w:rPr>
              <w:t xml:space="preserve"> (Test erfolgreich)</w:t>
            </w:r>
          </w:p>
        </w:tc>
        <w:tc>
          <w:tcPr>
            <w:tcW w:type="dxa" w:w="1588"/>
          </w:tcPr>
          <w:p>
            <w:pPr>
              <w:spacing w:after="0"/>
            </w:pPr>
            <w:r>
              <w:rPr>
                <w:sz w:val="19"/>
              </w:rPr>
              <w:t>Schritt 10</w:t>
            </w:r>
          </w:p>
        </w:tc>
        <w:tc>
          <w:tcPr>
            <w:tcW w:type="dxa" w:w="2050"/>
          </w:tcPr>
          <w:p>
            <w:pPr>
              <w:spacing w:after="0"/>
            </w:pPr>
            <w:r>
              <w:rPr>
                <w:sz w:val="19"/>
              </w:rPr>
              <w:t>erreicht 24.09.</w:t>
            </w:r>
          </w:p>
        </w:tc>
      </w:tr>
      <w:tr>
        <w:trPr/>
        <w:tc>
          <w:tcPr>
            <w:tcW w:type="dxa" w:w="740"/>
          </w:tcPr>
          <w:p>
            <w:pPr>
              <w:spacing w:after="0"/>
            </w:pPr>
            <w:r>
              <w:rPr>
                <w:sz w:val="19"/>
              </w:rPr>
              <w:t>1.8</w:t>
            </w:r>
          </w:p>
        </w:tc>
        <w:tc>
          <w:tcPr>
            <w:tcW w:type="dxa" w:w="2343"/>
          </w:tcPr>
          <w:p>
            <w:pPr>
              <w:spacing w:after="0"/>
            </w:pPr>
            <w:r>
              <w:rPr>
                <w:sz w:val="19"/>
              </w:rPr>
              <w:t>Dynamische Archiv-Pipeline mit Zeitstempel</w:t>
            </w:r>
          </w:p>
        </w:tc>
        <w:tc>
          <w:tcPr>
            <w:tcW w:type="dxa" w:w="2690"/>
          </w:tcPr>
          <w:p>
            <w:pPr>
              <w:spacing w:after="0"/>
            </w:pPr>
            <w:r>
              <w:rPr>
                <w:rFonts w:ascii="Courier New" w:hAnsi="Courier New"/>
                <w:sz w:val="17"/>
              </w:rPr>
              <w:t>pl_bronze_new_to_archive</w:t>
            </w:r>
          </w:p>
        </w:tc>
        <w:tc>
          <w:tcPr>
            <w:tcW w:type="dxa" w:w="1588"/>
          </w:tcPr>
          <w:p>
            <w:pPr>
              <w:spacing w:after="0"/>
            </w:pPr>
            <w:r>
              <w:rPr>
                <w:sz w:val="19"/>
              </w:rPr>
              <w:t>Schritte 11, 13</w:t>
            </w:r>
          </w:p>
        </w:tc>
        <w:tc>
          <w:tcPr>
            <w:tcW w:type="dxa" w:w="2050"/>
          </w:tcPr>
          <w:p>
            <w:pPr>
              <w:spacing w:after="0"/>
            </w:pPr>
            <w:r>
              <w:rPr>
                <w:sz w:val="19"/>
              </w:rPr>
              <w:t>erreicht 24.09.</w:t>
            </w:r>
          </w:p>
        </w:tc>
      </w:tr>
      <w:tr>
        <w:trPr/>
        <w:tc>
          <w:tcPr>
            <w:tcW w:type="dxa" w:w="740"/>
          </w:tcPr>
          <w:p>
            <w:pPr>
              <w:spacing w:after="0"/>
            </w:pPr>
            <w:r>
              <w:rPr>
                <w:sz w:val="19"/>
              </w:rPr>
              <w:t>1.9</w:t>
            </w:r>
          </w:p>
        </w:tc>
        <w:tc>
          <w:tcPr>
            <w:tcW w:type="dxa" w:w="2343"/>
          </w:tcPr>
          <w:p>
            <w:pPr>
              <w:spacing w:after="0"/>
            </w:pPr>
            <w:r>
              <w:rPr>
                <w:sz w:val="19"/>
              </w:rPr>
              <w:t>Bronze → Silver, Ordner je Sensor</w:t>
            </w:r>
          </w:p>
        </w:tc>
        <w:tc>
          <w:tcPr>
            <w:tcW w:type="dxa" w:w="2690"/>
          </w:tcPr>
          <w:p>
            <w:pPr>
              <w:spacing w:after="0"/>
            </w:pPr>
            <w:r>
              <w:rPr>
                <w:rFonts w:ascii="Courier New" w:hAnsi="Courier New"/>
                <w:sz w:val="17"/>
              </w:rPr>
              <w:t>pl_bronze_to_silver</w:t>
            </w:r>
          </w:p>
        </w:tc>
        <w:tc>
          <w:tcPr>
            <w:tcW w:type="dxa" w:w="1588"/>
          </w:tcPr>
          <w:p>
            <w:pPr>
              <w:spacing w:after="0"/>
            </w:pPr>
            <w:r>
              <w:rPr>
                <w:sz w:val="19"/>
              </w:rPr>
              <w:t>Schritt 12</w:t>
            </w:r>
          </w:p>
        </w:tc>
        <w:tc>
          <w:tcPr>
            <w:tcW w:type="dxa" w:w="2050"/>
          </w:tcPr>
          <w:p>
            <w:pPr>
              <w:spacing w:after="0"/>
            </w:pPr>
            <w:r>
              <w:rPr>
                <w:sz w:val="19"/>
              </w:rPr>
              <w:t>erreicht 24.09.</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740"/>
        <w:gridCol w:w="2343"/>
        <w:gridCol w:w="2690"/>
        <w:gridCol w:w="1588"/>
        <w:gridCol w:w="2050"/>
      </w:tblGrid>
      <w:tr>
        <w:trPr>
          <w:tblHeader/>
          <w:cantSplit/>
        </w:trPr>
        <w:tc>
          <w:tcPr>
            <w:tcW w:type="dxa" w:w="9411"/>
            <w:gridSpan w:val="5"/>
            <w:tcBorders>
              <w:top w:val="nil"/>
              <w:left w:val="nil"/>
              <w:right w:val="nil"/>
            </w:tcBorders>
          </w:tcPr>
          <w:p>
            <w:pPr>
              <w:pStyle w:val="Heading2"/>
              <w:spacing w:before="200" w:after="60"/>
            </w:pPr>
            <w:r>
              <w:t>M2 – Datenverständnis und Bereinigung (25.09.2026, Phasen 4–5) – erreicht</w:t>
            </w:r>
          </w:p>
        </w:tc>
      </w:tr>
      <w:tr>
        <w:trPr>
          <w:tblHeader/>
        </w:trPr>
        <w:tc>
          <w:tcPr>
            <w:tcW w:type="dxa" w:w="740"/>
            <w:shd w:val="clear" w:color="auto" w:fill="D9E2F3"/>
          </w:tcPr>
          <w:p>
            <w:pPr>
              <w:spacing w:after="0"/>
            </w:pPr>
            <w:r>
              <w:rPr>
                <w:b/>
                <w:sz w:val="19"/>
              </w:rPr>
              <w:t>Nr.</w:t>
            </w:r>
          </w:p>
        </w:tc>
        <w:tc>
          <w:tcPr>
            <w:tcW w:type="dxa" w:w="2343"/>
            <w:shd w:val="clear" w:color="auto" w:fill="D9E2F3"/>
          </w:tcPr>
          <w:p>
            <w:pPr>
              <w:spacing w:after="0"/>
            </w:pPr>
            <w:r>
              <w:rPr>
                <w:b/>
                <w:sz w:val="19"/>
              </w:rPr>
              <w:t>Arbeitsschritt</w:t>
            </w:r>
          </w:p>
        </w:tc>
        <w:tc>
          <w:tcPr>
            <w:tcW w:type="dxa" w:w="2690"/>
            <w:shd w:val="clear" w:color="auto" w:fill="D9E2F3"/>
          </w:tcPr>
          <w:p>
            <w:pPr>
              <w:spacing w:after="0"/>
            </w:pPr>
            <w:r>
              <w:rPr>
                <w:b/>
                <w:sz w:val="19"/>
              </w:rPr>
              <w:t>Ergebnis</w:t>
            </w:r>
          </w:p>
        </w:tc>
        <w:tc>
          <w:tcPr>
            <w:tcW w:type="dxa" w:w="1588"/>
            <w:shd w:val="clear" w:color="auto" w:fill="D9E2F3"/>
          </w:tcPr>
          <w:p>
            <w:pPr>
              <w:spacing w:after="0"/>
            </w:pPr>
            <w:r>
              <w:rPr>
                <w:b/>
                <w:sz w:val="19"/>
              </w:rPr>
              <w:t>Anleitung</w:t>
            </w:r>
          </w:p>
        </w:tc>
        <w:tc>
          <w:tcPr>
            <w:tcW w:type="dxa" w:w="2050"/>
            <w:shd w:val="clear" w:color="auto" w:fill="D9E2F3"/>
          </w:tcPr>
          <w:p>
            <w:pPr>
              <w:spacing w:after="0"/>
            </w:pPr>
            <w:r>
              <w:rPr>
                <w:b/>
                <w:sz w:val="19"/>
              </w:rPr>
              <w:t>Status</w:t>
            </w:r>
          </w:p>
        </w:tc>
      </w:tr>
      <w:tr>
        <w:trPr/>
        <w:tc>
          <w:tcPr>
            <w:tcW w:type="dxa" w:w="740"/>
          </w:tcPr>
          <w:p>
            <w:pPr>
              <w:spacing w:after="0"/>
            </w:pPr>
            <w:r>
              <w:rPr>
                <w:sz w:val="19"/>
              </w:rPr>
              <w:t>2.1</w:t>
            </w:r>
          </w:p>
        </w:tc>
        <w:tc>
          <w:tcPr>
            <w:tcW w:type="dxa" w:w="2343"/>
          </w:tcPr>
          <w:p>
            <w:pPr>
              <w:spacing w:after="0"/>
            </w:pPr>
            <w:r>
              <w:rPr>
                <w:sz w:val="19"/>
              </w:rPr>
              <w:t>Datenprofil der 4 Rohdateien</w:t>
            </w:r>
          </w:p>
        </w:tc>
        <w:tc>
          <w:tcPr>
            <w:tcW w:type="dxa" w:w="2690"/>
          </w:tcPr>
          <w:p>
            <w:pPr>
              <w:spacing w:after="0"/>
            </w:pPr>
            <w:r>
              <w:rPr>
                <w:sz w:val="19"/>
              </w:rPr>
              <w:t>Befunde, Regeln R1–R8</w:t>
            </w:r>
          </w:p>
        </w:tc>
        <w:tc>
          <w:tcPr>
            <w:tcW w:type="dxa" w:w="1588"/>
          </w:tcPr>
          <w:p>
            <w:pPr>
              <w:spacing w:after="0"/>
            </w:pPr>
            <w:r>
              <w:rPr>
                <w:sz w:val="19"/>
              </w:rPr>
              <w:t>– (Pflichtenheft)</w:t>
            </w:r>
          </w:p>
        </w:tc>
        <w:tc>
          <w:tcPr>
            <w:tcW w:type="dxa" w:w="2050"/>
          </w:tcPr>
          <w:p>
            <w:pPr>
              <w:spacing w:after="0"/>
            </w:pPr>
            <w:r>
              <w:rPr>
                <w:sz w:val="19"/>
              </w:rPr>
              <w:t>erreicht 25.09.</w:t>
            </w:r>
          </w:p>
        </w:tc>
      </w:tr>
      <w:tr>
        <w:trPr/>
        <w:tc>
          <w:tcPr>
            <w:tcW w:type="dxa" w:w="740"/>
          </w:tcPr>
          <w:p>
            <w:pPr>
              <w:spacing w:after="0"/>
            </w:pPr>
            <w:r>
              <w:rPr>
                <w:sz w:val="19"/>
              </w:rPr>
              <w:t>2.2</w:t>
            </w:r>
          </w:p>
        </w:tc>
        <w:tc>
          <w:tcPr>
            <w:tcW w:type="dxa" w:w="2343"/>
          </w:tcPr>
          <w:p>
            <w:pPr>
              <w:spacing w:after="0"/>
            </w:pPr>
            <w:r>
              <w:rPr>
                <w:sz w:val="19"/>
              </w:rPr>
              <w:t xml:space="preserve">Silver aufteilen: </w:t>
            </w:r>
            <w:r>
              <w:rPr>
                <w:rFonts w:ascii="Courier New" w:hAnsi="Courier New"/>
                <w:sz w:val="17"/>
              </w:rPr>
              <w:t>processing</w:t>
            </w:r>
            <w:r>
              <w:rPr>
                <w:sz w:val="19"/>
              </w:rPr>
              <w:t xml:space="preserve"> (Arbeitskopie) und </w:t>
            </w:r>
            <w:r>
              <w:rPr>
                <w:rFonts w:ascii="Courier New" w:hAnsi="Courier New"/>
                <w:sz w:val="17"/>
              </w:rPr>
              <w:t>cleaned</w:t>
            </w:r>
            <w:r>
              <w:rPr>
                <w:sz w:val="19"/>
              </w:rPr>
              <w:t xml:space="preserve"> (bereinigt, mit Zeitstempel)</w:t>
            </w:r>
          </w:p>
        </w:tc>
        <w:tc>
          <w:tcPr>
            <w:tcW w:type="dxa" w:w="2690"/>
          </w:tcPr>
          <w:p>
            <w:pPr>
              <w:spacing w:after="0"/>
            </w:pPr>
            <w:r>
              <w:rPr>
                <w:sz w:val="19"/>
              </w:rPr>
              <w:t>Ordner je Stadt/Sensor</w:t>
            </w:r>
          </w:p>
        </w:tc>
        <w:tc>
          <w:tcPr>
            <w:tcW w:type="dxa" w:w="1588"/>
          </w:tcPr>
          <w:p>
            <w:pPr>
              <w:spacing w:after="0"/>
            </w:pPr>
            <w:r>
              <w:rPr>
                <w:sz w:val="19"/>
              </w:rPr>
              <w:t>AN-ITS-001 Schritt 14</w:t>
            </w:r>
          </w:p>
        </w:tc>
        <w:tc>
          <w:tcPr>
            <w:tcW w:type="dxa" w:w="2050"/>
          </w:tcPr>
          <w:p>
            <w:pPr>
              <w:spacing w:after="0"/>
            </w:pPr>
            <w:r>
              <w:rPr>
                <w:sz w:val="19"/>
              </w:rPr>
              <w:t>erreicht 25.09.</w:t>
            </w:r>
          </w:p>
        </w:tc>
      </w:tr>
      <w:tr>
        <w:trPr/>
        <w:tc>
          <w:tcPr>
            <w:tcW w:type="dxa" w:w="740"/>
          </w:tcPr>
          <w:p>
            <w:pPr>
              <w:spacing w:after="0"/>
            </w:pPr>
            <w:r>
              <w:rPr>
                <w:sz w:val="19"/>
              </w:rPr>
              <w:t>2.3</w:t>
            </w:r>
          </w:p>
        </w:tc>
        <w:tc>
          <w:tcPr>
            <w:tcW w:type="dxa" w:w="2343"/>
          </w:tcPr>
          <w:p>
            <w:pPr>
              <w:spacing w:after="0"/>
            </w:pPr>
            <w:r>
              <w:rPr>
                <w:sz w:val="19"/>
              </w:rPr>
              <w:t>Arbeitsumgebung VS Code + Conda</w:t>
            </w:r>
          </w:p>
        </w:tc>
        <w:tc>
          <w:tcPr>
            <w:tcW w:type="dxa" w:w="2690"/>
          </w:tcPr>
          <w:p>
            <w:pPr>
              <w:spacing w:after="0"/>
            </w:pPr>
            <w:r>
              <w:rPr>
                <w:sz w:val="19"/>
              </w:rPr>
              <w:t xml:space="preserve">Umgebung </w:t>
            </w:r>
            <w:r>
              <w:rPr>
                <w:rFonts w:ascii="Courier New" w:hAnsi="Courier New"/>
                <w:sz w:val="17"/>
              </w:rPr>
              <w:t>beehaven</w:t>
            </w:r>
          </w:p>
        </w:tc>
        <w:tc>
          <w:tcPr>
            <w:tcW w:type="dxa" w:w="1588"/>
          </w:tcPr>
          <w:p>
            <w:pPr>
              <w:spacing w:after="0"/>
            </w:pPr>
            <w:r>
              <w:rPr>
                <w:sz w:val="19"/>
              </w:rPr>
              <w:t>AN-ITS-001 Schritte 15–17</w:t>
            </w:r>
          </w:p>
        </w:tc>
        <w:tc>
          <w:tcPr>
            <w:tcW w:type="dxa" w:w="2050"/>
          </w:tcPr>
          <w:p>
            <w:pPr>
              <w:spacing w:after="0"/>
            </w:pPr>
            <w:r>
              <w:rPr>
                <w:sz w:val="19"/>
              </w:rPr>
              <w:t>erreicht 25.09.</w:t>
            </w:r>
          </w:p>
        </w:tc>
      </w:tr>
      <w:tr>
        <w:trPr/>
        <w:tc>
          <w:tcPr>
            <w:tcW w:type="dxa" w:w="740"/>
          </w:tcPr>
          <w:p>
            <w:pPr>
              <w:spacing w:after="0"/>
            </w:pPr>
            <w:r>
              <w:rPr>
                <w:sz w:val="19"/>
              </w:rPr>
              <w:t>2.4</w:t>
            </w:r>
          </w:p>
        </w:tc>
        <w:tc>
          <w:tcPr>
            <w:tcW w:type="dxa" w:w="2343"/>
          </w:tcPr>
          <w:p>
            <w:pPr>
              <w:spacing w:after="0"/>
            </w:pPr>
            <w:r>
              <w:rPr>
                <w:sz w:val="19"/>
              </w:rPr>
              <w:t>N1 Bereinigung (Datentypen, UTC, Duplikate, fehlende Werte)</w:t>
            </w:r>
          </w:p>
        </w:tc>
        <w:tc>
          <w:tcPr>
            <w:tcW w:type="dxa" w:w="2690"/>
          </w:tcPr>
          <w:p>
            <w:pPr>
              <w:spacing w:after="0"/>
            </w:pPr>
            <w:r>
              <w:rPr>
                <w:sz w:val="19"/>
              </w:rPr>
              <w:t>Befunde E1–E4</w:t>
            </w:r>
          </w:p>
        </w:tc>
        <w:tc>
          <w:tcPr>
            <w:tcW w:type="dxa" w:w="1588"/>
          </w:tcPr>
          <w:p>
            <w:pPr>
              <w:spacing w:after="0"/>
            </w:pPr>
            <w:r>
              <w:rPr>
                <w:sz w:val="19"/>
              </w:rPr>
              <w:t>AN-ITS-001 Schritt 18</w:t>
            </w:r>
          </w:p>
        </w:tc>
        <w:tc>
          <w:tcPr>
            <w:tcW w:type="dxa" w:w="2050"/>
          </w:tcPr>
          <w:p>
            <w:pPr>
              <w:spacing w:after="0"/>
            </w:pPr>
            <w:r>
              <w:rPr>
                <w:sz w:val="19"/>
              </w:rPr>
              <w:t>erreicht 25.09.</w:t>
            </w:r>
          </w:p>
        </w:tc>
      </w:tr>
      <w:tr>
        <w:trPr/>
        <w:tc>
          <w:tcPr>
            <w:tcW w:type="dxa" w:w="740"/>
          </w:tcPr>
          <w:p>
            <w:pPr>
              <w:spacing w:after="0"/>
            </w:pPr>
            <w:r>
              <w:rPr>
                <w:sz w:val="19"/>
              </w:rPr>
              <w:t>2.5</w:t>
            </w:r>
          </w:p>
        </w:tc>
        <w:tc>
          <w:tcPr>
            <w:tcW w:type="dxa" w:w="2343"/>
          </w:tcPr>
          <w:p>
            <w:pPr>
              <w:spacing w:after="0"/>
            </w:pPr>
            <w:r>
              <w:rPr>
                <w:sz w:val="19"/>
              </w:rPr>
              <w:t>N2 Datenqualität (Plausibilität, flow trennen)</w:t>
            </w:r>
          </w:p>
        </w:tc>
        <w:tc>
          <w:tcPr>
            <w:tcW w:type="dxa" w:w="2690"/>
          </w:tcPr>
          <w:p>
            <w:pPr>
              <w:spacing w:after="0"/>
            </w:pPr>
            <w:r>
              <w:rPr>
                <w:rFonts w:ascii="Courier New" w:hAnsi="Courier New"/>
                <w:sz w:val="17"/>
              </w:rPr>
              <w:t>silver/cleaned</w:t>
            </w:r>
            <w:r>
              <w:rPr>
                <w:sz w:val="19"/>
              </w:rPr>
              <w:t>, Befunde E5–E7</w:t>
            </w:r>
          </w:p>
        </w:tc>
        <w:tc>
          <w:tcPr>
            <w:tcW w:type="dxa" w:w="1588"/>
          </w:tcPr>
          <w:p>
            <w:pPr>
              <w:spacing w:after="0"/>
            </w:pPr>
            <w:r>
              <w:rPr>
                <w:sz w:val="19"/>
              </w:rPr>
              <w:t>AN-ITS-001 Schritt 19</w:t>
            </w:r>
          </w:p>
        </w:tc>
        <w:tc>
          <w:tcPr>
            <w:tcW w:type="dxa" w:w="2050"/>
          </w:tcPr>
          <w:p>
            <w:pPr>
              <w:spacing w:after="0"/>
            </w:pPr>
            <w:r>
              <w:rPr>
                <w:sz w:val="19"/>
              </w:rPr>
              <w:t>erreicht 25.09.</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740"/>
        <w:gridCol w:w="2343"/>
        <w:gridCol w:w="2690"/>
        <w:gridCol w:w="1588"/>
        <w:gridCol w:w="2050"/>
      </w:tblGrid>
      <w:tr>
        <w:trPr>
          <w:tblHeader/>
          <w:cantSplit/>
        </w:trPr>
        <w:tc>
          <w:tcPr>
            <w:tcW w:type="dxa" w:w="9411"/>
            <w:gridSpan w:val="5"/>
            <w:tcBorders>
              <w:top w:val="nil"/>
              <w:left w:val="nil"/>
              <w:right w:val="nil"/>
            </w:tcBorders>
          </w:tcPr>
          <w:p>
            <w:pPr>
              <w:pStyle w:val="Heading2"/>
              <w:spacing w:before="200" w:after="60"/>
            </w:pPr>
            <w:r>
              <w:t>M3 – Plausibilität, Wetter, Analyse, Master-Pipeline (28.09.2026, Phasen 5–8) – erreicht</w:t>
            </w:r>
          </w:p>
        </w:tc>
      </w:tr>
      <w:tr>
        <w:trPr>
          <w:tblHeader/>
        </w:trPr>
        <w:tc>
          <w:tcPr>
            <w:tcW w:type="dxa" w:w="740"/>
            <w:shd w:val="clear" w:color="auto" w:fill="D9E2F3"/>
          </w:tcPr>
          <w:p>
            <w:pPr>
              <w:spacing w:after="0"/>
            </w:pPr>
            <w:r>
              <w:rPr>
                <w:b/>
                <w:sz w:val="19"/>
              </w:rPr>
              <w:t>Nr.</w:t>
            </w:r>
          </w:p>
        </w:tc>
        <w:tc>
          <w:tcPr>
            <w:tcW w:type="dxa" w:w="2343"/>
            <w:shd w:val="clear" w:color="auto" w:fill="D9E2F3"/>
          </w:tcPr>
          <w:p>
            <w:pPr>
              <w:spacing w:after="0"/>
            </w:pPr>
            <w:r>
              <w:rPr>
                <w:b/>
                <w:sz w:val="19"/>
              </w:rPr>
              <w:t>Arbeitsschritt</w:t>
            </w:r>
          </w:p>
        </w:tc>
        <w:tc>
          <w:tcPr>
            <w:tcW w:type="dxa" w:w="2690"/>
            <w:shd w:val="clear" w:color="auto" w:fill="D9E2F3"/>
          </w:tcPr>
          <w:p>
            <w:pPr>
              <w:spacing w:after="0"/>
            </w:pPr>
            <w:r>
              <w:rPr>
                <w:b/>
                <w:sz w:val="19"/>
              </w:rPr>
              <w:t>Ergebnis</w:t>
            </w:r>
          </w:p>
        </w:tc>
        <w:tc>
          <w:tcPr>
            <w:tcW w:type="dxa" w:w="1588"/>
            <w:shd w:val="clear" w:color="auto" w:fill="D9E2F3"/>
          </w:tcPr>
          <w:p>
            <w:pPr>
              <w:spacing w:after="0"/>
            </w:pPr>
            <w:r>
              <w:rPr>
                <w:b/>
                <w:sz w:val="19"/>
              </w:rPr>
              <w:t>Anleitung</w:t>
            </w:r>
          </w:p>
        </w:tc>
        <w:tc>
          <w:tcPr>
            <w:tcW w:type="dxa" w:w="2050"/>
            <w:shd w:val="clear" w:color="auto" w:fill="D9E2F3"/>
          </w:tcPr>
          <w:p>
            <w:pPr>
              <w:spacing w:after="0"/>
            </w:pPr>
            <w:r>
              <w:rPr>
                <w:b/>
                <w:sz w:val="19"/>
              </w:rPr>
              <w:t>Status</w:t>
            </w:r>
          </w:p>
        </w:tc>
      </w:tr>
      <w:tr>
        <w:trPr/>
        <w:tc>
          <w:tcPr>
            <w:tcW w:type="dxa" w:w="740"/>
          </w:tcPr>
          <w:p>
            <w:pPr>
              <w:spacing w:after="0"/>
            </w:pPr>
            <w:r>
              <w:rPr>
                <w:sz w:val="19"/>
              </w:rPr>
              <w:t>3.1</w:t>
            </w:r>
          </w:p>
        </w:tc>
        <w:tc>
          <w:tcPr>
            <w:tcW w:type="dxa" w:w="2343"/>
          </w:tcPr>
          <w:p>
            <w:pPr>
              <w:spacing w:after="0"/>
            </w:pPr>
            <w:r>
              <w:rPr>
                <w:sz w:val="19"/>
              </w:rPr>
              <w:t>Plausibilitätsprüfungen P1–P8 (Zeitabstände, Ausreißer, Temperatur)</w:t>
            </w:r>
          </w:p>
        </w:tc>
        <w:tc>
          <w:tcPr>
            <w:tcW w:type="dxa" w:w="2690"/>
          </w:tcPr>
          <w:p>
            <w:pPr>
              <w:spacing w:after="0"/>
            </w:pPr>
            <w:r>
              <w:rPr>
                <w:sz w:val="19"/>
              </w:rPr>
              <w:t>N1 Kap. 5a, N2 R9 (robuster z-Score), E8–E9, D2 = 1 °C</w:t>
            </w:r>
          </w:p>
        </w:tc>
        <w:tc>
          <w:tcPr>
            <w:tcW w:type="dxa" w:w="1588"/>
          </w:tcPr>
          <w:p>
            <w:pPr>
              <w:spacing w:after="0"/>
            </w:pPr>
            <w:r>
              <w:rPr>
                <w:sz w:val="19"/>
              </w:rPr>
              <w:t>AN-ITS-001 Schritte 18–19</w:t>
            </w:r>
          </w:p>
        </w:tc>
        <w:tc>
          <w:tcPr>
            <w:tcW w:type="dxa" w:w="2050"/>
          </w:tcPr>
          <w:p>
            <w:pPr>
              <w:spacing w:after="0"/>
            </w:pPr>
            <w:r>
              <w:rPr>
                <w:sz w:val="19"/>
              </w:rPr>
              <w:t>erreicht 28.09.</w:t>
            </w:r>
          </w:p>
        </w:tc>
      </w:tr>
      <w:tr>
        <w:trPr/>
        <w:tc>
          <w:tcPr>
            <w:tcW w:type="dxa" w:w="740"/>
          </w:tcPr>
          <w:p>
            <w:pPr>
              <w:spacing w:after="0"/>
            </w:pPr>
            <w:r>
              <w:rPr>
                <w:sz w:val="19"/>
              </w:rPr>
              <w:t>3.2</w:t>
            </w:r>
          </w:p>
        </w:tc>
        <w:tc>
          <w:tcPr>
            <w:tcW w:type="dxa" w:w="2343"/>
          </w:tcPr>
          <w:p>
            <w:pPr>
              <w:spacing w:after="0"/>
            </w:pPr>
            <w:r>
              <w:rPr>
                <w:sz w:val="19"/>
              </w:rPr>
              <w:t>N3 Wetter und Sonnenstand (Bright Sky/DWD, NOAA)</w:t>
            </w:r>
          </w:p>
        </w:tc>
        <w:tc>
          <w:tcPr>
            <w:tcW w:type="dxa" w:w="2690"/>
          </w:tcPr>
          <w:p>
            <w:pPr>
              <w:spacing w:after="0"/>
            </w:pPr>
            <w:r>
              <w:rPr>
                <w:rFonts w:ascii="Courier New" w:hAnsi="Courier New"/>
                <w:sz w:val="17"/>
              </w:rPr>
              <w:t>silver/cleaned/…/wetter</w:t>
            </w:r>
            <w:r>
              <w:rPr>
                <w:sz w:val="19"/>
              </w:rPr>
              <w:t xml:space="preserve">, </w:t>
            </w:r>
            <w:r>
              <w:rPr>
                <w:rFonts w:ascii="Courier New" w:hAnsi="Courier New"/>
                <w:sz w:val="17"/>
              </w:rPr>
              <w:t>…/sonne</w:t>
            </w:r>
            <w:r>
              <w:rPr>
                <w:sz w:val="19"/>
              </w:rPr>
              <w:t>, W1–W3</w:t>
            </w:r>
          </w:p>
        </w:tc>
        <w:tc>
          <w:tcPr>
            <w:tcW w:type="dxa" w:w="1588"/>
          </w:tcPr>
          <w:p>
            <w:pPr>
              <w:spacing w:after="0"/>
            </w:pPr>
            <w:r>
              <w:rPr>
                <w:sz w:val="19"/>
              </w:rPr>
              <w:t>AN-ITS-001 Schritt 20</w:t>
            </w:r>
          </w:p>
        </w:tc>
        <w:tc>
          <w:tcPr>
            <w:tcW w:type="dxa" w:w="2050"/>
          </w:tcPr>
          <w:p>
            <w:pPr>
              <w:spacing w:after="0"/>
            </w:pPr>
            <w:r>
              <w:rPr>
                <w:sz w:val="19"/>
              </w:rPr>
              <w:t>erreicht 28.09.</w:t>
            </w:r>
          </w:p>
        </w:tc>
      </w:tr>
      <w:tr>
        <w:trPr/>
        <w:tc>
          <w:tcPr>
            <w:tcW w:type="dxa" w:w="740"/>
          </w:tcPr>
          <w:p>
            <w:pPr>
              <w:spacing w:after="0"/>
            </w:pPr>
            <w:r>
              <w:rPr>
                <w:sz w:val="19"/>
              </w:rPr>
              <w:t>3.3</w:t>
            </w:r>
          </w:p>
        </w:tc>
        <w:tc>
          <w:tcPr>
            <w:tcW w:type="dxa" w:w="2343"/>
          </w:tcPr>
          <w:p>
            <w:pPr>
              <w:spacing w:after="0"/>
            </w:pPr>
            <w:r>
              <w:rPr>
                <w:sz w:val="19"/>
              </w:rPr>
              <w:t>Analyse Flugverhalten A1–A6, F1–F3 (heute N5)</w:t>
            </w:r>
          </w:p>
        </w:tc>
        <w:tc>
          <w:tcPr>
            <w:tcW w:type="dxa" w:w="2690"/>
          </w:tcPr>
          <w:p>
            <w:pPr>
              <w:spacing w:after="0"/>
            </w:pPr>
            <w:r>
              <w:rPr>
                <w:sz w:val="19"/>
              </w:rPr>
              <w:t>Grafiken nach Grafik-Standard</w:t>
            </w:r>
          </w:p>
        </w:tc>
        <w:tc>
          <w:tcPr>
            <w:tcW w:type="dxa" w:w="1588"/>
          </w:tcPr>
          <w:p>
            <w:pPr>
              <w:spacing w:after="0"/>
            </w:pPr>
            <w:r>
              <w:rPr>
                <w:sz w:val="19"/>
              </w:rPr>
              <w:t>AN-ITS-001 Schritt 22</w:t>
            </w:r>
          </w:p>
        </w:tc>
        <w:tc>
          <w:tcPr>
            <w:tcW w:type="dxa" w:w="2050"/>
          </w:tcPr>
          <w:p>
            <w:pPr>
              <w:spacing w:after="0"/>
            </w:pPr>
            <w:r>
              <w:rPr>
                <w:sz w:val="19"/>
              </w:rPr>
              <w:t>erreicht 28.09.</w:t>
            </w:r>
          </w:p>
        </w:tc>
      </w:tr>
      <w:tr>
        <w:trPr/>
        <w:tc>
          <w:tcPr>
            <w:tcW w:type="dxa" w:w="740"/>
          </w:tcPr>
          <w:p>
            <w:pPr>
              <w:spacing w:after="0"/>
            </w:pPr>
            <w:r>
              <w:rPr>
                <w:sz w:val="19"/>
              </w:rPr>
              <w:t>3.4</w:t>
            </w:r>
          </w:p>
        </w:tc>
        <w:tc>
          <w:tcPr>
            <w:tcW w:type="dxa" w:w="2343"/>
          </w:tcPr>
          <w:p>
            <w:pPr>
              <w:spacing w:after="0"/>
            </w:pPr>
            <w:r>
              <w:rPr>
                <w:sz w:val="19"/>
              </w:rPr>
              <w:t>Master-Pipeline Teil 1 (Pipelines nacheinander, nur bei Erfolg)</w:t>
            </w:r>
          </w:p>
        </w:tc>
        <w:tc>
          <w:tcPr>
            <w:tcW w:type="dxa" w:w="2690"/>
          </w:tcPr>
          <w:p>
            <w:pPr>
              <w:spacing w:after="0"/>
            </w:pPr>
            <w:r>
              <w:rPr>
                <w:rFonts w:ascii="Courier New" w:hAnsi="Courier New"/>
                <w:sz w:val="17"/>
              </w:rPr>
              <w:t>pl_daily_processing</w:t>
            </w:r>
            <w:r>
              <w:rPr>
                <w:sz w:val="19"/>
              </w:rPr>
              <w:t>, Test erfolgreich</w:t>
            </w:r>
          </w:p>
        </w:tc>
        <w:tc>
          <w:tcPr>
            <w:tcW w:type="dxa" w:w="1588"/>
          </w:tcPr>
          <w:p>
            <w:pPr>
              <w:spacing w:after="0"/>
            </w:pPr>
            <w:r>
              <w:rPr>
                <w:sz w:val="19"/>
              </w:rPr>
              <w:t>AN-ITS-001 Schritt 24</w:t>
            </w:r>
          </w:p>
        </w:tc>
        <w:tc>
          <w:tcPr>
            <w:tcW w:type="dxa" w:w="2050"/>
          </w:tcPr>
          <w:p>
            <w:pPr>
              <w:spacing w:after="0"/>
            </w:pPr>
            <w:r>
              <w:rPr>
                <w:sz w:val="19"/>
              </w:rPr>
              <w:t>erreicht 28.09.</w:t>
            </w:r>
          </w:p>
        </w:tc>
      </w:tr>
      <w:tr>
        <w:trPr/>
        <w:tc>
          <w:tcPr>
            <w:tcW w:type="dxa" w:w="740"/>
          </w:tcPr>
          <w:p>
            <w:pPr>
              <w:spacing w:after="0"/>
            </w:pPr>
            <w:r>
              <w:rPr>
                <w:sz w:val="19"/>
              </w:rPr>
              <w:t>3.5</w:t>
            </w:r>
          </w:p>
        </w:tc>
        <w:tc>
          <w:tcPr>
            <w:tcW w:type="dxa" w:w="2343"/>
          </w:tcPr>
          <w:p>
            <w:pPr>
              <w:spacing w:after="0"/>
            </w:pPr>
            <w:r>
              <w:rPr>
                <w:sz w:val="19"/>
              </w:rPr>
              <w:t>Notebooks für Azure vorbereiten</w:t>
            </w:r>
          </w:p>
        </w:tc>
        <w:tc>
          <w:tcPr>
            <w:tcW w:type="dxa" w:w="2690"/>
          </w:tcPr>
          <w:p>
            <w:pPr>
              <w:spacing w:after="0"/>
            </w:pPr>
            <w:r>
              <w:rPr>
                <w:sz w:val="19"/>
              </w:rPr>
              <w:t>Synapse-Fassungen (Generator, lokal getestet)</w:t>
            </w:r>
          </w:p>
        </w:tc>
        <w:tc>
          <w:tcPr>
            <w:tcW w:type="dxa" w:w="1588"/>
          </w:tcPr>
          <w:p>
            <w:pPr>
              <w:spacing w:after="0"/>
            </w:pPr>
            <w:r>
              <w:rPr>
                <w:sz w:val="19"/>
              </w:rPr>
              <w:t>AN-ITS-001 Schritt 23</w:t>
            </w:r>
          </w:p>
        </w:tc>
        <w:tc>
          <w:tcPr>
            <w:tcW w:type="dxa" w:w="2050"/>
          </w:tcPr>
          <w:p>
            <w:pPr>
              <w:spacing w:after="0"/>
            </w:pPr>
            <w:r>
              <w:rPr>
                <w:sz w:val="19"/>
              </w:rPr>
              <w:t>erreicht 28.09.</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740"/>
        <w:gridCol w:w="2343"/>
        <w:gridCol w:w="2690"/>
        <w:gridCol w:w="1588"/>
        <w:gridCol w:w="2050"/>
      </w:tblGrid>
      <w:tr>
        <w:trPr>
          <w:tblHeader/>
          <w:cantSplit/>
        </w:trPr>
        <w:tc>
          <w:tcPr>
            <w:tcW w:type="dxa" w:w="9411"/>
            <w:gridSpan w:val="5"/>
            <w:tcBorders>
              <w:top w:val="nil"/>
              <w:left w:val="nil"/>
              <w:right w:val="nil"/>
            </w:tcBorders>
          </w:tcPr>
          <w:p>
            <w:pPr>
              <w:pStyle w:val="Heading2"/>
              <w:spacing w:before="200" w:after="60"/>
            </w:pPr>
            <w:r>
              <w:t>M4 – Weg A, mehrere Standorte, erweiterte Analyse (29.09.2026, Phasen 5–8) – erreicht</w:t>
            </w:r>
          </w:p>
        </w:tc>
      </w:tr>
      <w:tr>
        <w:trPr>
          <w:tblHeader/>
        </w:trPr>
        <w:tc>
          <w:tcPr>
            <w:tcW w:type="dxa" w:w="740"/>
            <w:shd w:val="clear" w:color="auto" w:fill="D9E2F3"/>
          </w:tcPr>
          <w:p>
            <w:pPr>
              <w:spacing w:after="0"/>
            </w:pPr>
            <w:r>
              <w:rPr>
                <w:b/>
                <w:sz w:val="19"/>
              </w:rPr>
              <w:t>Nr.</w:t>
            </w:r>
          </w:p>
        </w:tc>
        <w:tc>
          <w:tcPr>
            <w:tcW w:type="dxa" w:w="2343"/>
            <w:shd w:val="clear" w:color="auto" w:fill="D9E2F3"/>
          </w:tcPr>
          <w:p>
            <w:pPr>
              <w:spacing w:after="0"/>
            </w:pPr>
            <w:r>
              <w:rPr>
                <w:b/>
                <w:sz w:val="19"/>
              </w:rPr>
              <w:t>Arbeitsschritt</w:t>
            </w:r>
          </w:p>
        </w:tc>
        <w:tc>
          <w:tcPr>
            <w:tcW w:type="dxa" w:w="2690"/>
            <w:shd w:val="clear" w:color="auto" w:fill="D9E2F3"/>
          </w:tcPr>
          <w:p>
            <w:pPr>
              <w:spacing w:after="0"/>
            </w:pPr>
            <w:r>
              <w:rPr>
                <w:b/>
                <w:sz w:val="19"/>
              </w:rPr>
              <w:t>Ergebnis</w:t>
            </w:r>
          </w:p>
        </w:tc>
        <w:tc>
          <w:tcPr>
            <w:tcW w:type="dxa" w:w="1588"/>
            <w:shd w:val="clear" w:color="auto" w:fill="D9E2F3"/>
          </w:tcPr>
          <w:p>
            <w:pPr>
              <w:spacing w:after="0"/>
            </w:pPr>
            <w:r>
              <w:rPr>
                <w:b/>
                <w:sz w:val="19"/>
              </w:rPr>
              <w:t>Anleitung</w:t>
            </w:r>
          </w:p>
        </w:tc>
        <w:tc>
          <w:tcPr>
            <w:tcW w:type="dxa" w:w="2050"/>
            <w:shd w:val="clear" w:color="auto" w:fill="D9E2F3"/>
          </w:tcPr>
          <w:p>
            <w:pPr>
              <w:spacing w:after="0"/>
            </w:pPr>
            <w:r>
              <w:rPr>
                <w:b/>
                <w:sz w:val="19"/>
              </w:rPr>
              <w:t>Status</w:t>
            </w:r>
          </w:p>
        </w:tc>
      </w:tr>
      <w:tr>
        <w:trPr/>
        <w:tc>
          <w:tcPr>
            <w:tcW w:type="dxa" w:w="740"/>
          </w:tcPr>
          <w:p>
            <w:pPr>
              <w:spacing w:after="0"/>
            </w:pPr>
            <w:r>
              <w:rPr>
                <w:sz w:val="19"/>
              </w:rPr>
              <w:t>4.1</w:t>
            </w:r>
          </w:p>
        </w:tc>
        <w:tc>
          <w:tcPr>
            <w:tcW w:type="dxa" w:w="2343"/>
          </w:tcPr>
          <w:p>
            <w:pPr>
              <w:spacing w:after="0"/>
            </w:pPr>
            <w:r>
              <w:rPr>
                <w:sz w:val="19"/>
              </w:rPr>
              <w:t>Pipeline-Aufbau Weg A entscheiden</w:t>
            </w:r>
          </w:p>
        </w:tc>
        <w:tc>
          <w:tcPr>
            <w:tcW w:type="dxa" w:w="2690"/>
          </w:tcPr>
          <w:p>
            <w:pPr>
              <w:spacing w:after="0"/>
            </w:pPr>
            <w:r>
              <w:rPr>
                <w:sz w:val="19"/>
              </w:rPr>
              <w:t xml:space="preserve">Ist/Soll-Grafik </w:t>
            </w:r>
            <w:r>
              <w:rPr>
                <w:rFonts w:ascii="Courier New" w:hAnsi="Courier New"/>
                <w:sz w:val="17"/>
              </w:rPr>
              <w:t>p1_pipeline_ist_soll.png</w:t>
            </w:r>
            <w:r>
              <w:rPr>
                <w:sz w:val="19"/>
              </w:rPr>
              <w:t>, Konzept Kap. 4</w:t>
            </w:r>
          </w:p>
        </w:tc>
        <w:tc>
          <w:tcPr>
            <w:tcW w:type="dxa" w:w="1588"/>
          </w:tcPr>
          <w:p>
            <w:pPr>
              <w:spacing w:after="0"/>
            </w:pPr>
            <w:r>
              <w:rPr>
                <w:sz w:val="19"/>
              </w:rPr>
              <w:t>AN-ITS-001 Phase 3 Überblick</w:t>
            </w:r>
          </w:p>
        </w:tc>
        <w:tc>
          <w:tcPr>
            <w:tcW w:type="dxa" w:w="2050"/>
          </w:tcPr>
          <w:p>
            <w:pPr>
              <w:spacing w:after="0"/>
            </w:pPr>
            <w:r>
              <w:rPr>
                <w:sz w:val="19"/>
              </w:rPr>
              <w:t>erreicht 29.09.</w:t>
            </w:r>
          </w:p>
        </w:tc>
      </w:tr>
      <w:tr>
        <w:trPr/>
        <w:tc>
          <w:tcPr>
            <w:tcW w:type="dxa" w:w="740"/>
          </w:tcPr>
          <w:p>
            <w:pPr>
              <w:spacing w:after="0"/>
            </w:pPr>
            <w:r>
              <w:rPr>
                <w:sz w:val="19"/>
              </w:rPr>
              <w:t>4.2</w:t>
            </w:r>
          </w:p>
        </w:tc>
        <w:tc>
          <w:tcPr>
            <w:tcW w:type="dxa" w:w="2343"/>
          </w:tcPr>
          <w:p>
            <w:pPr>
              <w:spacing w:after="0"/>
            </w:pPr>
            <w:r>
              <w:rPr>
                <w:sz w:val="19"/>
              </w:rPr>
              <w:t xml:space="preserve">Mehrere Standorte: Parameter </w:t>
            </w:r>
            <w:r>
              <w:rPr>
                <w:rFonts w:ascii="Courier New" w:hAnsi="Courier New"/>
                <w:sz w:val="17"/>
              </w:rPr>
              <w:t>STADT</w:t>
            </w:r>
            <w:r>
              <w:rPr>
                <w:sz w:val="19"/>
              </w:rPr>
              <w:t>, Standort-Tabelle</w:t>
            </w:r>
          </w:p>
        </w:tc>
        <w:tc>
          <w:tcPr>
            <w:tcW w:type="dxa" w:w="2690"/>
          </w:tcPr>
          <w:p>
            <w:pPr>
              <w:spacing w:after="0"/>
            </w:pPr>
            <w:r>
              <w:rPr>
                <w:rFonts w:ascii="Courier New" w:hAnsi="Courier New"/>
                <w:sz w:val="17"/>
              </w:rPr>
              <w:t>konfiguration/standorte.csv</w:t>
            </w:r>
            <w:r>
              <w:rPr>
                <w:sz w:val="19"/>
              </w:rPr>
              <w:t>; Notebooks neu gelaufen (identisch)</w:t>
            </w:r>
          </w:p>
        </w:tc>
        <w:tc>
          <w:tcPr>
            <w:tcW w:type="dxa" w:w="1588"/>
          </w:tcPr>
          <w:p>
            <w:pPr>
              <w:spacing w:after="0"/>
            </w:pPr>
            <w:r>
              <w:rPr>
                <w:sz w:val="19"/>
              </w:rPr>
              <w:t>AN-ITS-001 Schritte 23, 25</w:t>
            </w:r>
          </w:p>
        </w:tc>
        <w:tc>
          <w:tcPr>
            <w:tcW w:type="dxa" w:w="2050"/>
          </w:tcPr>
          <w:p>
            <w:pPr>
              <w:spacing w:after="0"/>
            </w:pPr>
            <w:r>
              <w:rPr>
                <w:sz w:val="19"/>
              </w:rPr>
              <w:t>erreicht 29.09.</w:t>
            </w:r>
          </w:p>
        </w:tc>
      </w:tr>
      <w:tr>
        <w:trPr/>
        <w:tc>
          <w:tcPr>
            <w:tcW w:type="dxa" w:w="740"/>
          </w:tcPr>
          <w:p>
            <w:pPr>
              <w:spacing w:after="0"/>
            </w:pPr>
            <w:r>
              <w:rPr>
                <w:sz w:val="19"/>
              </w:rPr>
              <w:t>4.3</w:t>
            </w:r>
          </w:p>
        </w:tc>
        <w:tc>
          <w:tcPr>
            <w:tcW w:type="dxa" w:w="2343"/>
          </w:tcPr>
          <w:p>
            <w:pPr>
              <w:spacing w:after="0"/>
            </w:pPr>
            <w:r>
              <w:rPr>
                <w:sz w:val="19"/>
              </w:rPr>
              <w:t>Erweiterte Analyse A7–A10 und Honigproduktion H1</w:t>
            </w:r>
          </w:p>
        </w:tc>
        <w:tc>
          <w:tcPr>
            <w:tcW w:type="dxa" w:w="2690"/>
          </w:tcPr>
          <w:p>
            <w:pPr>
              <w:spacing w:after="0"/>
            </w:pPr>
            <w:r>
              <w:rPr>
                <w:sz w:val="19"/>
              </w:rPr>
              <w:t>Grafiken, Erwartungen mit Quellen</w:t>
            </w:r>
          </w:p>
        </w:tc>
        <w:tc>
          <w:tcPr>
            <w:tcW w:type="dxa" w:w="1588"/>
          </w:tcPr>
          <w:p>
            <w:pPr>
              <w:spacing w:after="0"/>
            </w:pPr>
            <w:r>
              <w:rPr>
                <w:sz w:val="19"/>
              </w:rPr>
              <w:t>AN-ITS-001 Schritt 22</w:t>
            </w:r>
          </w:p>
        </w:tc>
        <w:tc>
          <w:tcPr>
            <w:tcW w:type="dxa" w:w="2050"/>
          </w:tcPr>
          <w:p>
            <w:pPr>
              <w:spacing w:after="0"/>
            </w:pPr>
            <w:r>
              <w:rPr>
                <w:sz w:val="19"/>
              </w:rPr>
              <w:t>erreicht 29.09.</w:t>
            </w:r>
          </w:p>
        </w:tc>
      </w:tr>
      <w:tr>
        <w:trPr/>
        <w:tc>
          <w:tcPr>
            <w:tcW w:type="dxa" w:w="740"/>
          </w:tcPr>
          <w:p>
            <w:pPr>
              <w:spacing w:after="0"/>
            </w:pPr>
            <w:r>
              <w:rPr>
                <w:sz w:val="19"/>
              </w:rPr>
              <w:t>4.4</w:t>
            </w:r>
          </w:p>
        </w:tc>
        <w:tc>
          <w:tcPr>
            <w:tcW w:type="dxa" w:w="2343"/>
          </w:tcPr>
          <w:p>
            <w:pPr>
              <w:spacing w:after="0"/>
            </w:pPr>
            <w:r>
              <w:rPr>
                <w:sz w:val="19"/>
              </w:rPr>
              <w:t>Archiv in jedem Ordner, automatische Versionsablage</w:t>
            </w:r>
          </w:p>
        </w:tc>
        <w:tc>
          <w:tcPr>
            <w:tcW w:type="dxa" w:w="2690"/>
          </w:tcPr>
          <w:p>
            <w:pPr>
              <w:spacing w:after="0"/>
            </w:pPr>
            <w:r>
              <w:rPr>
                <w:rFonts w:ascii="Courier New" w:hAnsi="Courier New"/>
                <w:sz w:val="17"/>
              </w:rPr>
              <w:t>_archiv</w:t>
            </w:r>
            <w:r>
              <w:rPr>
                <w:sz w:val="19"/>
              </w:rPr>
              <w:t xml:space="preserve"> je Ordner, Protokoll</w:t>
            </w:r>
          </w:p>
        </w:tc>
        <w:tc>
          <w:tcPr>
            <w:tcW w:type="dxa" w:w="1588"/>
          </w:tcPr>
          <w:p>
            <w:pPr>
              <w:spacing w:after="0"/>
            </w:pPr>
            <w:r>
              <w:rPr>
                <w:sz w:val="19"/>
              </w:rPr>
              <w:t>AN-ITS-001 Phase 2 Grundsätze</w:t>
            </w:r>
          </w:p>
        </w:tc>
        <w:tc>
          <w:tcPr>
            <w:tcW w:type="dxa" w:w="2050"/>
          </w:tcPr>
          <w:p>
            <w:pPr>
              <w:spacing w:after="0"/>
            </w:pPr>
            <w:r>
              <w:rPr>
                <w:sz w:val="19"/>
              </w:rPr>
              <w:t>erreicht 29.09.</w:t>
            </w:r>
          </w:p>
        </w:tc>
      </w:tr>
      <w:tr>
        <w:trPr/>
        <w:tc>
          <w:tcPr>
            <w:tcW w:type="dxa" w:w="740"/>
          </w:tcPr>
          <w:p>
            <w:pPr>
              <w:spacing w:after="0"/>
            </w:pPr>
            <w:r>
              <w:rPr>
                <w:sz w:val="19"/>
              </w:rPr>
              <w:t>4.5</w:t>
            </w:r>
          </w:p>
        </w:tc>
        <w:tc>
          <w:tcPr>
            <w:tcW w:type="dxa" w:w="2343"/>
          </w:tcPr>
          <w:p>
            <w:pPr>
              <w:spacing w:after="0"/>
            </w:pPr>
            <w:r>
              <w:rPr>
                <w:sz w:val="19"/>
              </w:rPr>
              <w:t>Originale lokal spiegeln</w:t>
            </w:r>
          </w:p>
        </w:tc>
        <w:tc>
          <w:tcPr>
            <w:tcW w:type="dxa" w:w="2690"/>
          </w:tcPr>
          <w:p>
            <w:pPr>
              <w:spacing w:after="0"/>
            </w:pPr>
            <w:r>
              <w:rPr>
                <w:rFonts w:ascii="Courier New" w:hAnsi="Courier New"/>
                <w:sz w:val="17"/>
              </w:rPr>
              <w:t>bronze/archive</w:t>
            </w:r>
            <w:r>
              <w:rPr>
                <w:sz w:val="19"/>
              </w:rPr>
              <w:t xml:space="preserve"> lokal wie Azure</w:t>
            </w:r>
          </w:p>
        </w:tc>
        <w:tc>
          <w:tcPr>
            <w:tcW w:type="dxa" w:w="1588"/>
          </w:tcPr>
          <w:p>
            <w:pPr>
              <w:spacing w:after="0"/>
            </w:pPr>
            <w:r>
              <w:rPr>
                <w:sz w:val="19"/>
              </w:rPr>
              <w:t>–</w:t>
            </w:r>
          </w:p>
        </w:tc>
        <w:tc>
          <w:tcPr>
            <w:tcW w:type="dxa" w:w="2050"/>
          </w:tcPr>
          <w:p>
            <w:pPr>
              <w:spacing w:after="0"/>
            </w:pPr>
            <w:r>
              <w:rPr>
                <w:sz w:val="19"/>
              </w:rPr>
              <w:t>erreicht 29.09.</w:t>
            </w:r>
          </w:p>
        </w:tc>
      </w:tr>
    </w:tbl>
    <w:p>
      <w:pPr>
        <w:spacing w:after="0" w:line="20" w:lineRule="exact"/>
      </w:pPr>
    </w:p>
    <w:tbl>
      <w:tblPr>
        <w:tblStyle w:val="TableGrid"/>
        <w:tblW w:type="auto" w:w="0"/>
        <w:jc w:val="center"/>
        <w:tblLayout w:type="fixed"/>
        <w:tblLook w:firstColumn="1" w:firstRow="1" w:lastColumn="0" w:lastRow="0" w:noHBand="0" w:noVBand="1" w:val="04A0"/>
      </w:tblPr>
      <w:tblGrid>
        <w:gridCol w:w="740"/>
        <w:gridCol w:w="2343"/>
        <w:gridCol w:w="2690"/>
        <w:gridCol w:w="1588"/>
        <w:gridCol w:w="2050"/>
      </w:tblGrid>
      <w:tr>
        <w:trPr>
          <w:tblHeader/>
          <w:cantSplit/>
        </w:trPr>
        <w:tc>
          <w:tcPr>
            <w:tcW w:type="dxa" w:w="9411"/>
            <w:gridSpan w:val="5"/>
            <w:tcBorders>
              <w:top w:val="nil"/>
              <w:left w:val="nil"/>
              <w:right w:val="nil"/>
            </w:tcBorders>
          </w:tcPr>
          <w:p>
            <w:pPr>
              <w:pStyle w:val="Heading2"/>
              <w:spacing w:before="200" w:after="60"/>
            </w:pPr>
            <w:r>
              <w:t>M5 – Azure vervollständigen und abschließen (30.09.–13.10.2026, Phasen 8–12) – Technik erreicht 02.10.2026; Dokumentation und Abschluss bis Kursende</w:t>
            </w:r>
          </w:p>
          <w:p>
            <w:pPr>
              <w:spacing w:after="60"/>
            </w:pPr>
            <w:r>
              <w:rPr>
                <w:sz w:val="20"/>
              </w:rPr>
              <w:t>Nummern 5.1–5.10 = Schritt-Karten im Pflichtenheft Kap. 2.5. Die Aufgaben zum Projektende (5.11–5.14) sind feingranular, damit jeder Rest einzeln abgehakt werden kann. Ideen aus dem Abgleich mit der Kurs-Zusammenfassung (ehemals 5.15–5.24) sind am Ende der Tabelle zugeordnet: erreicht oder Folgeprojekt (Kap. 8).</w:t>
            </w:r>
          </w:p>
        </w:tc>
      </w:tr>
      <w:tr>
        <w:trPr>
          <w:tblHeader/>
        </w:trPr>
        <w:tc>
          <w:tcPr>
            <w:tcW w:type="dxa" w:w="740"/>
            <w:shd w:val="clear" w:color="auto" w:fill="D9E2F3"/>
          </w:tcPr>
          <w:p>
            <w:pPr>
              <w:spacing w:after="0"/>
            </w:pPr>
            <w:r>
              <w:rPr>
                <w:b/>
                <w:sz w:val="19"/>
              </w:rPr>
              <w:t>Nr.</w:t>
            </w:r>
          </w:p>
        </w:tc>
        <w:tc>
          <w:tcPr>
            <w:tcW w:type="dxa" w:w="2343"/>
            <w:shd w:val="clear" w:color="auto" w:fill="D9E2F3"/>
          </w:tcPr>
          <w:p>
            <w:pPr>
              <w:spacing w:after="0"/>
            </w:pPr>
            <w:r>
              <w:rPr>
                <w:b/>
                <w:sz w:val="19"/>
              </w:rPr>
              <w:t>Arbeitsschritt</w:t>
            </w:r>
          </w:p>
        </w:tc>
        <w:tc>
          <w:tcPr>
            <w:tcW w:type="dxa" w:w="2690"/>
            <w:shd w:val="clear" w:color="auto" w:fill="D9E2F3"/>
          </w:tcPr>
          <w:p>
            <w:pPr>
              <w:spacing w:after="0"/>
            </w:pPr>
            <w:r>
              <w:rPr>
                <w:b/>
                <w:sz w:val="19"/>
              </w:rPr>
              <w:t>Ergebnis</w:t>
            </w:r>
          </w:p>
        </w:tc>
        <w:tc>
          <w:tcPr>
            <w:tcW w:type="dxa" w:w="1588"/>
            <w:shd w:val="clear" w:color="auto" w:fill="D9E2F3"/>
          </w:tcPr>
          <w:p>
            <w:pPr>
              <w:spacing w:after="0"/>
            </w:pPr>
            <w:r>
              <w:rPr>
                <w:b/>
                <w:sz w:val="19"/>
              </w:rPr>
              <w:t>Anleitung</w:t>
            </w:r>
          </w:p>
        </w:tc>
        <w:tc>
          <w:tcPr>
            <w:tcW w:type="dxa" w:w="2050"/>
            <w:shd w:val="clear" w:color="auto" w:fill="D9E2F3"/>
          </w:tcPr>
          <w:p>
            <w:pPr>
              <w:spacing w:after="0"/>
            </w:pPr>
            <w:r>
              <w:rPr>
                <w:b/>
                <w:sz w:val="19"/>
              </w:rPr>
              <w:t>Status</w:t>
            </w:r>
          </w:p>
        </w:tc>
      </w:tr>
      <w:tr>
        <w:trPr/>
        <w:tc>
          <w:tcPr>
            <w:tcW w:type="dxa" w:w="740"/>
          </w:tcPr>
          <w:p>
            <w:pPr>
              <w:spacing w:after="0"/>
            </w:pPr>
            <w:r>
              <w:rPr>
                <w:sz w:val="19"/>
              </w:rPr>
              <w:t>5.1</w:t>
            </w:r>
          </w:p>
        </w:tc>
        <w:tc>
          <w:tcPr>
            <w:tcW w:type="dxa" w:w="2343"/>
          </w:tcPr>
          <w:p>
            <w:pPr>
              <w:spacing w:after="0"/>
            </w:pPr>
            <w:r>
              <w:rPr>
                <w:sz w:val="19"/>
              </w:rPr>
              <w:t>Befund E5 entscheiden (Gewicht 28.04.–02.07.2018)</w:t>
            </w:r>
          </w:p>
        </w:tc>
        <w:tc>
          <w:tcPr>
            <w:tcW w:type="dxa" w:w="2690"/>
          </w:tcPr>
          <w:p>
            <w:pPr>
              <w:spacing w:after="0"/>
            </w:pPr>
            <w:r>
              <w:rPr>
                <w:sz w:val="19"/>
              </w:rPr>
              <w:t xml:space="preserve">Regel R5a, heute Zeile in </w:t>
            </w:r>
            <w:r>
              <w:rPr>
                <w:rFonts w:ascii="Courier New" w:hAnsi="Courier New"/>
                <w:sz w:val="17"/>
              </w:rPr>
              <w:t>ausschluesse.csv</w:t>
            </w:r>
          </w:p>
        </w:tc>
        <w:tc>
          <w:tcPr>
            <w:tcW w:type="dxa" w:w="1588"/>
          </w:tcPr>
          <w:p>
            <w:pPr>
              <w:spacing w:after="0"/>
            </w:pPr>
            <w:r>
              <w:rPr>
                <w:sz w:val="19"/>
              </w:rPr>
              <w:t>AN-ITS-001 Schritt 19</w:t>
            </w:r>
          </w:p>
        </w:tc>
        <w:tc>
          <w:tcPr>
            <w:tcW w:type="dxa" w:w="2050"/>
          </w:tcPr>
          <w:p>
            <w:pPr>
              <w:spacing w:after="0"/>
            </w:pPr>
            <w:r>
              <w:rPr>
                <w:sz w:val="19"/>
              </w:rPr>
              <w:t>erreicht 30.09.</w:t>
            </w:r>
          </w:p>
        </w:tc>
      </w:tr>
      <w:tr>
        <w:trPr/>
        <w:tc>
          <w:tcPr>
            <w:tcW w:type="dxa" w:w="740"/>
          </w:tcPr>
          <w:p>
            <w:pPr>
              <w:spacing w:after="0"/>
            </w:pPr>
            <w:r>
              <w:rPr>
                <w:sz w:val="19"/>
              </w:rPr>
              <w:t>5.2</w:t>
            </w:r>
          </w:p>
        </w:tc>
        <w:tc>
          <w:tcPr>
            <w:tcW w:type="dxa" w:w="2343"/>
          </w:tcPr>
          <w:p>
            <w:pPr>
              <w:spacing w:after="0"/>
            </w:pPr>
            <w:r>
              <w:rPr>
                <w:sz w:val="19"/>
              </w:rPr>
              <w:t>Speicherformate prüfen (Zusatz Z1)</w:t>
            </w:r>
          </w:p>
        </w:tc>
        <w:tc>
          <w:tcPr>
            <w:tcW w:type="dxa" w:w="2690"/>
          </w:tcPr>
          <w:p>
            <w:pPr>
              <w:spacing w:after="0"/>
            </w:pPr>
            <w:r>
              <w:rPr>
                <w:sz w:val="19"/>
              </w:rPr>
              <w:t>Parquet 13–18 % von CSV → Silver/Gold als Parquet, zeitsortiert</w:t>
            </w:r>
          </w:p>
        </w:tc>
        <w:tc>
          <w:tcPr>
            <w:tcW w:type="dxa" w:w="1588"/>
          </w:tcPr>
          <w:p>
            <w:pPr>
              <w:spacing w:after="0"/>
            </w:pPr>
            <w:r>
              <w:rPr>
                <w:sz w:val="19"/>
              </w:rPr>
              <w:t>–</w:t>
            </w:r>
          </w:p>
        </w:tc>
        <w:tc>
          <w:tcPr>
            <w:tcW w:type="dxa" w:w="2050"/>
          </w:tcPr>
          <w:p>
            <w:pPr>
              <w:spacing w:after="0"/>
            </w:pPr>
            <w:r>
              <w:rPr>
                <w:sz w:val="19"/>
              </w:rPr>
              <w:t>erreicht 30.09.</w:t>
            </w:r>
          </w:p>
        </w:tc>
      </w:tr>
      <w:tr>
        <w:trPr/>
        <w:tc>
          <w:tcPr>
            <w:tcW w:type="dxa" w:w="740"/>
          </w:tcPr>
          <w:p>
            <w:pPr>
              <w:spacing w:after="0"/>
            </w:pPr>
            <w:r>
              <w:rPr>
                <w:sz w:val="19"/>
              </w:rPr>
              <w:t>5.3</w:t>
            </w:r>
          </w:p>
        </w:tc>
        <w:tc>
          <w:tcPr>
            <w:tcW w:type="dxa" w:w="2343"/>
          </w:tcPr>
          <w:p>
            <w:pPr>
              <w:spacing w:after="0"/>
            </w:pPr>
            <w:r>
              <w:rPr>
                <w:sz w:val="19"/>
              </w:rPr>
              <w:t>Dokumentformat, Pflichtenheft als Schritt-Karten</w:t>
            </w:r>
          </w:p>
        </w:tc>
        <w:tc>
          <w:tcPr>
            <w:tcW w:type="dxa" w:w="2690"/>
          </w:tcPr>
          <w:p>
            <w:pPr>
              <w:spacing w:after="0"/>
            </w:pPr>
            <w:r>
              <w:rPr>
                <w:sz w:val="19"/>
              </w:rPr>
              <w:t>Word + Markdown, Grafiken verlinkt</w:t>
            </w:r>
          </w:p>
        </w:tc>
        <w:tc>
          <w:tcPr>
            <w:tcW w:type="dxa" w:w="1588"/>
          </w:tcPr>
          <w:p>
            <w:pPr>
              <w:spacing w:after="0"/>
            </w:pPr>
            <w:r>
              <w:rPr>
                <w:sz w:val="19"/>
              </w:rPr>
              <w:t>–</w:t>
            </w:r>
          </w:p>
        </w:tc>
        <w:tc>
          <w:tcPr>
            <w:tcW w:type="dxa" w:w="2050"/>
          </w:tcPr>
          <w:p>
            <w:pPr>
              <w:spacing w:after="0"/>
            </w:pPr>
            <w:r>
              <w:rPr>
                <w:sz w:val="19"/>
              </w:rPr>
              <w:t>erreicht 30.09.</w:t>
            </w:r>
          </w:p>
        </w:tc>
      </w:tr>
      <w:tr>
        <w:trPr/>
        <w:tc>
          <w:tcPr>
            <w:tcW w:type="dxa" w:w="740"/>
          </w:tcPr>
          <w:p>
            <w:pPr>
              <w:spacing w:after="0"/>
            </w:pPr>
            <w:r>
              <w:rPr>
                <w:sz w:val="19"/>
              </w:rPr>
              <w:t>5.4</w:t>
            </w:r>
          </w:p>
        </w:tc>
        <w:tc>
          <w:tcPr>
            <w:tcW w:type="dxa" w:w="2343"/>
          </w:tcPr>
          <w:p>
            <w:pPr>
              <w:spacing w:after="0"/>
            </w:pPr>
            <w:r>
              <w:rPr>
                <w:sz w:val="19"/>
              </w:rPr>
              <w:t>Notebooks abgleichen</w:t>
            </w:r>
          </w:p>
        </w:tc>
        <w:tc>
          <w:tcPr>
            <w:tcW w:type="dxa" w:w="2690"/>
          </w:tcPr>
          <w:p>
            <w:pPr>
              <w:spacing w:after="0"/>
            </w:pPr>
            <w:r>
              <w:rPr>
                <w:sz w:val="19"/>
              </w:rPr>
              <w:t>Verweise auf Pflichtenheft, Speicherformat Parquet für Azure</w:t>
            </w:r>
          </w:p>
        </w:tc>
        <w:tc>
          <w:tcPr>
            <w:tcW w:type="dxa" w:w="1588"/>
          </w:tcPr>
          <w:p>
            <w:pPr>
              <w:spacing w:after="0"/>
            </w:pPr>
            <w:r>
              <w:rPr>
                <w:sz w:val="19"/>
              </w:rPr>
              <w:t>AN-ITS-001 Phase 2</w:t>
            </w:r>
          </w:p>
        </w:tc>
        <w:tc>
          <w:tcPr>
            <w:tcW w:type="dxa" w:w="2050"/>
          </w:tcPr>
          <w:p>
            <w:pPr>
              <w:spacing w:after="0"/>
            </w:pPr>
            <w:r>
              <w:rPr>
                <w:sz w:val="19"/>
              </w:rPr>
              <w:t>erreicht 30.09.</w:t>
            </w:r>
          </w:p>
        </w:tc>
      </w:tr>
      <w:tr>
        <w:trPr/>
        <w:tc>
          <w:tcPr>
            <w:tcW w:type="dxa" w:w="740"/>
          </w:tcPr>
          <w:p>
            <w:pPr>
              <w:spacing w:after="0"/>
            </w:pPr>
            <w:r>
              <w:rPr>
                <w:sz w:val="19"/>
              </w:rPr>
              <w:t>5.5</w:t>
            </w:r>
          </w:p>
        </w:tc>
        <w:tc>
          <w:tcPr>
            <w:tcW w:type="dxa" w:w="2343"/>
          </w:tcPr>
          <w:p>
            <w:pPr>
              <w:spacing w:after="0"/>
            </w:pPr>
            <w:r>
              <w:rPr>
                <w:sz w:val="19"/>
              </w:rPr>
              <w:t>Standort-Tabelle hochladen</w:t>
            </w:r>
          </w:p>
        </w:tc>
        <w:tc>
          <w:tcPr>
            <w:tcW w:type="dxa" w:w="2690"/>
          </w:tcPr>
          <w:p>
            <w:pPr>
              <w:spacing w:after="0"/>
            </w:pPr>
            <w:r>
              <w:rPr>
                <w:rFonts w:ascii="Courier New" w:hAnsi="Courier New"/>
                <w:sz w:val="17"/>
              </w:rPr>
              <w:t>lakehouse/konfiguration/standorte.csv</w:t>
            </w:r>
          </w:p>
        </w:tc>
        <w:tc>
          <w:tcPr>
            <w:tcW w:type="dxa" w:w="1588"/>
          </w:tcPr>
          <w:p>
            <w:pPr>
              <w:spacing w:after="0"/>
            </w:pPr>
            <w:r>
              <w:rPr>
                <w:sz w:val="19"/>
              </w:rPr>
              <w:t>Schritt 25</w:t>
            </w:r>
          </w:p>
        </w:tc>
        <w:tc>
          <w:tcPr>
            <w:tcW w:type="dxa" w:w="2050"/>
          </w:tcPr>
          <w:p>
            <w:pPr>
              <w:spacing w:after="0"/>
            </w:pPr>
            <w:r>
              <w:rPr>
                <w:sz w:val="19"/>
              </w:rPr>
              <w:t>erreicht 30.09.</w:t>
            </w:r>
          </w:p>
        </w:tc>
      </w:tr>
      <w:tr>
        <w:trPr/>
        <w:tc>
          <w:tcPr>
            <w:tcW w:type="dxa" w:w="740"/>
          </w:tcPr>
          <w:p>
            <w:pPr>
              <w:spacing w:after="0"/>
            </w:pPr>
            <w:r>
              <w:rPr>
                <w:sz w:val="19"/>
              </w:rPr>
              <w:t>5.6</w:t>
            </w:r>
          </w:p>
        </w:tc>
        <w:tc>
          <w:tcPr>
            <w:tcW w:type="dxa" w:w="2343"/>
          </w:tcPr>
          <w:p>
            <w:pPr>
              <w:spacing w:after="0"/>
            </w:pPr>
            <w:r>
              <w:rPr>
                <w:sz w:val="19"/>
              </w:rPr>
              <w:t>Master-Pipeline dokumentieren und testen</w:t>
            </w:r>
          </w:p>
        </w:tc>
        <w:tc>
          <w:tcPr>
            <w:tcW w:type="dxa" w:w="2690"/>
          </w:tcPr>
          <w:p>
            <w:pPr>
              <w:spacing w:after="0"/>
            </w:pPr>
            <w:r>
              <w:rPr>
                <w:sz w:val="19"/>
              </w:rPr>
              <w:t>Beschreibung je Aktivität, Testlauf, Ordner geprüft</w:t>
            </w:r>
          </w:p>
        </w:tc>
        <w:tc>
          <w:tcPr>
            <w:tcW w:type="dxa" w:w="1588"/>
          </w:tcPr>
          <w:p>
            <w:pPr>
              <w:spacing w:after="0"/>
            </w:pPr>
            <w:r>
              <w:rPr>
                <w:sz w:val="19"/>
              </w:rPr>
              <w:t>Schritte 24, 27</w:t>
            </w:r>
          </w:p>
        </w:tc>
        <w:tc>
          <w:tcPr>
            <w:tcW w:type="dxa" w:w="2050"/>
          </w:tcPr>
          <w:p>
            <w:pPr>
              <w:spacing w:after="0"/>
            </w:pPr>
            <w:r>
              <w:rPr>
                <w:sz w:val="19"/>
              </w:rPr>
              <w:t>erreicht 30.09.</w:t>
            </w:r>
          </w:p>
        </w:tc>
      </w:tr>
      <w:tr>
        <w:trPr/>
        <w:tc>
          <w:tcPr>
            <w:tcW w:type="dxa" w:w="740"/>
          </w:tcPr>
          <w:p>
            <w:pPr>
              <w:spacing w:after="0"/>
            </w:pPr>
            <w:r>
              <w:rPr>
                <w:sz w:val="19"/>
              </w:rPr>
              <w:t>5.7</w:t>
            </w:r>
          </w:p>
        </w:tc>
        <w:tc>
          <w:tcPr>
            <w:tcW w:type="dxa" w:w="2343"/>
          </w:tcPr>
          <w:p>
            <w:pPr>
              <w:spacing w:after="0"/>
            </w:pPr>
            <w:r>
              <w:rPr>
                <w:sz w:val="19"/>
              </w:rPr>
              <w:t>Budget-Warnung einrichten</w:t>
            </w:r>
          </w:p>
        </w:tc>
        <w:tc>
          <w:tcPr>
            <w:tcW w:type="dxa" w:w="2690"/>
          </w:tcPr>
          <w:p>
            <w:pPr>
              <w:spacing w:after="0"/>
            </w:pPr>
            <w:r>
              <w:rPr>
                <w:rFonts w:ascii="Courier New" w:hAnsi="Courier New"/>
                <w:sz w:val="17"/>
              </w:rPr>
              <w:t>budget-beehaven-dev</w:t>
            </w:r>
          </w:p>
        </w:tc>
        <w:tc>
          <w:tcPr>
            <w:tcW w:type="dxa" w:w="1588"/>
          </w:tcPr>
          <w:p>
            <w:pPr>
              <w:spacing w:after="0"/>
            </w:pPr>
            <w:r>
              <w:rPr>
                <w:sz w:val="19"/>
              </w:rPr>
              <w:t>Schritt 26</w:t>
            </w:r>
          </w:p>
        </w:tc>
        <w:tc>
          <w:tcPr>
            <w:tcW w:type="dxa" w:w="2050"/>
          </w:tcPr>
          <w:p>
            <w:pPr>
              <w:spacing w:after="0"/>
            </w:pPr>
            <w:r>
              <w:rPr>
                <w:sz w:val="19"/>
              </w:rPr>
              <w:t>erreicht 30.09.</w:t>
            </w:r>
          </w:p>
        </w:tc>
      </w:tr>
      <w:tr>
        <w:trPr/>
        <w:tc>
          <w:tcPr>
            <w:tcW w:type="dxa" w:w="740"/>
          </w:tcPr>
          <w:p>
            <w:pPr>
              <w:spacing w:after="0"/>
            </w:pPr>
            <w:r>
              <w:rPr>
                <w:sz w:val="19"/>
              </w:rPr>
              <w:t>5.8</w:t>
            </w:r>
          </w:p>
        </w:tc>
        <w:tc>
          <w:tcPr>
            <w:tcW w:type="dxa" w:w="2343"/>
          </w:tcPr>
          <w:p>
            <w:pPr>
              <w:spacing w:after="0"/>
            </w:pPr>
            <w:r>
              <w:rPr>
                <w:sz w:val="19"/>
              </w:rPr>
              <w:t>Kosten schätzen, Synapse anlegen (Freigabe)</w:t>
            </w:r>
          </w:p>
        </w:tc>
        <w:tc>
          <w:tcPr>
            <w:tcW w:type="dxa" w:w="2690"/>
          </w:tcPr>
          <w:p>
            <w:pPr>
              <w:spacing w:after="0"/>
            </w:pPr>
            <w:r>
              <w:rPr>
                <w:rFonts w:ascii="Courier New" w:hAnsi="Courier New"/>
                <w:sz w:val="17"/>
              </w:rPr>
              <w:t>syn-beehaven-dev-gwc</w:t>
            </w:r>
            <w:r>
              <w:rPr>
                <w:sz w:val="19"/>
              </w:rPr>
              <w:t xml:space="preserve">, </w:t>
            </w:r>
            <w:r>
              <w:rPr>
                <w:rFonts w:ascii="Courier New" w:hAnsi="Courier New"/>
                <w:sz w:val="17"/>
              </w:rPr>
              <w:t>sparkbeehaven</w:t>
            </w:r>
          </w:p>
        </w:tc>
        <w:tc>
          <w:tcPr>
            <w:tcW w:type="dxa" w:w="1588"/>
          </w:tcPr>
          <w:p>
            <w:pPr>
              <w:spacing w:after="0"/>
            </w:pPr>
            <w:r>
              <w:rPr>
                <w:sz w:val="19"/>
              </w:rPr>
              <w:t>Schritt 28</w:t>
            </w:r>
          </w:p>
        </w:tc>
        <w:tc>
          <w:tcPr>
            <w:tcW w:type="dxa" w:w="2050"/>
          </w:tcPr>
          <w:p>
            <w:pPr>
              <w:spacing w:after="0"/>
            </w:pPr>
            <w:r>
              <w:rPr>
                <w:sz w:val="19"/>
              </w:rPr>
              <w:t>erreicht 30.09.</w:t>
            </w:r>
          </w:p>
        </w:tc>
      </w:tr>
      <w:tr>
        <w:trPr/>
        <w:tc>
          <w:tcPr>
            <w:tcW w:type="dxa" w:w="740"/>
          </w:tcPr>
          <w:p>
            <w:pPr>
              <w:spacing w:after="0"/>
            </w:pPr>
            <w:r>
              <w:rPr>
                <w:sz w:val="19"/>
              </w:rPr>
              <w:t>5.9</w:t>
            </w:r>
          </w:p>
        </w:tc>
        <w:tc>
          <w:tcPr>
            <w:tcW w:type="dxa" w:w="2343"/>
          </w:tcPr>
          <w:p>
            <w:pPr>
              <w:spacing w:after="0"/>
            </w:pPr>
            <w:r>
              <w:rPr>
                <w:sz w:val="19"/>
              </w:rPr>
              <w:t>Notebooks in Synapse, Data Factory anbinden, Gold-Pipeline, Gesamtlauf</w:t>
            </w:r>
          </w:p>
        </w:tc>
        <w:tc>
          <w:tcPr>
            <w:tcW w:type="dxa" w:w="2690"/>
          </w:tcPr>
          <w:p>
            <w:pPr>
              <w:spacing w:after="0"/>
            </w:pPr>
            <w:r>
              <w:rPr>
                <w:sz w:val="19"/>
              </w:rPr>
              <w:t xml:space="preserve">Steuer-Notebook, </w:t>
            </w:r>
            <w:r>
              <w:rPr>
                <w:rFonts w:ascii="Courier New" w:hAnsi="Courier New"/>
                <w:sz w:val="17"/>
              </w:rPr>
              <w:t>n4_gold</w:t>
            </w:r>
            <w:r>
              <w:rPr>
                <w:sz w:val="19"/>
              </w:rPr>
              <w:t xml:space="preserve">, </w:t>
            </w:r>
            <w:r>
              <w:rPr>
                <w:rFonts w:ascii="Courier New" w:hAnsi="Courier New"/>
                <w:sz w:val="17"/>
              </w:rPr>
              <w:t>pl_silver_to_gold</w:t>
            </w:r>
            <w:r>
              <w:rPr>
                <w:sz w:val="19"/>
              </w:rPr>
              <w:t>, Gesamtlauf mit Gegenprobe</w:t>
            </w:r>
          </w:p>
        </w:tc>
        <w:tc>
          <w:tcPr>
            <w:tcW w:type="dxa" w:w="1588"/>
          </w:tcPr>
          <w:p>
            <w:pPr>
              <w:spacing w:after="0"/>
            </w:pPr>
            <w:r>
              <w:rPr>
                <w:sz w:val="19"/>
              </w:rPr>
              <w:t>Schritte 29–33</w:t>
            </w:r>
          </w:p>
        </w:tc>
        <w:tc>
          <w:tcPr>
            <w:tcW w:type="dxa" w:w="2050"/>
          </w:tcPr>
          <w:p>
            <w:pPr>
              <w:spacing w:after="0"/>
            </w:pPr>
            <w:r>
              <w:rPr>
                <w:sz w:val="19"/>
              </w:rPr>
              <w:t>erreicht 01.10.</w:t>
            </w:r>
          </w:p>
        </w:tc>
      </w:tr>
      <w:tr>
        <w:trPr/>
        <w:tc>
          <w:tcPr>
            <w:tcW w:type="dxa" w:w="740"/>
          </w:tcPr>
          <w:p>
            <w:pPr>
              <w:spacing w:after="0"/>
            </w:pPr>
            <w:r>
              <w:rPr>
                <w:sz w:val="19"/>
              </w:rPr>
              <w:t>5.9a</w:t>
            </w:r>
          </w:p>
        </w:tc>
        <w:tc>
          <w:tcPr>
            <w:tcW w:type="dxa" w:w="2343"/>
          </w:tcPr>
          <w:p>
            <w:pPr>
              <w:spacing w:after="0"/>
            </w:pPr>
            <w:r>
              <w:rPr>
                <w:sz w:val="19"/>
              </w:rPr>
              <w:t>Zweiter Standort Würzburg, Standortregeln aus Konfiguration</w:t>
            </w:r>
          </w:p>
        </w:tc>
        <w:tc>
          <w:tcPr>
            <w:tcW w:type="dxa" w:w="2690"/>
          </w:tcPr>
          <w:p>
            <w:pPr>
              <w:spacing w:after="0"/>
            </w:pPr>
            <w:r>
              <w:rPr>
                <w:rFonts w:ascii="Courier New" w:hAnsi="Courier New"/>
                <w:sz w:val="17"/>
              </w:rPr>
              <w:t>sensoren.csv</w:t>
            </w:r>
            <w:r>
              <w:rPr>
                <w:sz w:val="19"/>
              </w:rPr>
              <w:t xml:space="preserve">, </w:t>
            </w:r>
            <w:r>
              <w:rPr>
                <w:rFonts w:ascii="Courier New" w:hAnsi="Courier New"/>
                <w:sz w:val="17"/>
              </w:rPr>
              <w:t>ausschluesse.csv</w:t>
            </w:r>
            <w:r>
              <w:rPr>
                <w:sz w:val="19"/>
              </w:rPr>
              <w:t>; Gesamtlauf beider Städte mit Gegenprobe</w:t>
            </w:r>
          </w:p>
        </w:tc>
        <w:tc>
          <w:tcPr>
            <w:tcW w:type="dxa" w:w="1588"/>
          </w:tcPr>
          <w:p>
            <w:pPr>
              <w:spacing w:after="0"/>
            </w:pPr>
            <w:r>
              <w:rPr>
                <w:sz w:val="19"/>
              </w:rPr>
              <w:t>Schritt 34</w:t>
            </w:r>
          </w:p>
        </w:tc>
        <w:tc>
          <w:tcPr>
            <w:tcW w:type="dxa" w:w="2050"/>
          </w:tcPr>
          <w:p>
            <w:pPr>
              <w:spacing w:after="0"/>
            </w:pPr>
            <w:r>
              <w:rPr>
                <w:sz w:val="19"/>
              </w:rPr>
              <w:t>erreicht 02.10.</w:t>
            </w:r>
          </w:p>
        </w:tc>
      </w:tr>
      <w:tr>
        <w:trPr/>
        <w:tc>
          <w:tcPr>
            <w:tcW w:type="dxa" w:w="740"/>
          </w:tcPr>
          <w:p>
            <w:pPr>
              <w:spacing w:after="0"/>
            </w:pPr>
            <w:r>
              <w:rPr>
                <w:sz w:val="19"/>
              </w:rPr>
              <w:t>5.10</w:t>
            </w:r>
          </w:p>
        </w:tc>
        <w:tc>
          <w:tcPr>
            <w:tcW w:type="dxa" w:w="2343"/>
          </w:tcPr>
          <w:p>
            <w:pPr>
              <w:spacing w:after="0"/>
            </w:pPr>
            <w:r>
              <w:rPr>
                <w:sz w:val="19"/>
              </w:rPr>
              <w:t>Trigger, Nebenläufigkeit, Fehler-E-Mail</w:t>
            </w:r>
          </w:p>
        </w:tc>
        <w:tc>
          <w:tcPr>
            <w:tcW w:type="dxa" w:w="2690"/>
          </w:tcPr>
          <w:p>
            <w:pPr>
              <w:spacing w:after="0"/>
            </w:pPr>
            <w:r>
              <w:rPr>
                <w:sz w:val="19"/>
              </w:rPr>
              <w:t>Trigger (gestoppt), Nebenläufigkeit 1, Laufzeit-Grenze 30 Min., 2 Warnregeln</w:t>
            </w:r>
          </w:p>
        </w:tc>
        <w:tc>
          <w:tcPr>
            <w:tcW w:type="dxa" w:w="1588"/>
          </w:tcPr>
          <w:p>
            <w:pPr>
              <w:spacing w:after="0"/>
            </w:pPr>
            <w:r>
              <w:rPr>
                <w:sz w:val="19"/>
              </w:rPr>
              <w:t>Schritt 35</w:t>
            </w:r>
          </w:p>
        </w:tc>
        <w:tc>
          <w:tcPr>
            <w:tcW w:type="dxa" w:w="2050"/>
          </w:tcPr>
          <w:p>
            <w:pPr>
              <w:spacing w:after="0"/>
            </w:pPr>
            <w:r>
              <w:rPr>
                <w:sz w:val="19"/>
              </w:rPr>
              <w:t>erreicht 02.10.</w:t>
            </w:r>
          </w:p>
        </w:tc>
      </w:tr>
      <w:tr>
        <w:trPr/>
        <w:tc>
          <w:tcPr>
            <w:tcW w:type="dxa" w:w="740"/>
          </w:tcPr>
          <w:p>
            <w:pPr>
              <w:spacing w:after="0"/>
            </w:pPr>
            <w:r>
              <w:rPr>
                <w:sz w:val="19"/>
              </w:rPr>
              <w:t>5.11</w:t>
            </w:r>
          </w:p>
        </w:tc>
        <w:tc>
          <w:tcPr>
            <w:tcW w:type="dxa" w:w="2343"/>
          </w:tcPr>
          <w:p>
            <w:pPr>
              <w:spacing w:after="0"/>
            </w:pPr>
            <w:r>
              <w:rPr>
                <w:sz w:val="19"/>
              </w:rPr>
              <w:t>Dashboard: Kennzahlen-Konzept als Grundlage</w:t>
            </w:r>
          </w:p>
        </w:tc>
        <w:tc>
          <w:tcPr>
            <w:tcW w:type="dxa" w:w="2690"/>
          </w:tcPr>
          <w:p>
            <w:pPr>
              <w:spacing w:after="0"/>
            </w:pPr>
            <w:r>
              <w:rPr>
                <w:sz w:val="19"/>
              </w:rPr>
              <w:t xml:space="preserve">Kennzahlen, Warnhinweise und Skizze in </w:t>
            </w:r>
            <w:r>
              <w:rPr>
                <w:rFonts w:ascii="Courier New" w:hAnsi="Courier New"/>
                <w:sz w:val="17"/>
              </w:rPr>
              <w:t>08_dashboard_ITS-DA</w:t>
            </w:r>
            <w:r>
              <w:rPr>
                <w:sz w:val="19"/>
              </w:rPr>
              <w:t>; Umsetzung → FP-2</w:t>
            </w:r>
          </w:p>
        </w:tc>
        <w:tc>
          <w:tcPr>
            <w:tcW w:type="dxa" w:w="1588"/>
          </w:tcPr>
          <w:p>
            <w:pPr>
              <w:spacing w:after="0"/>
            </w:pPr>
            <w:r>
              <w:rPr>
                <w:sz w:val="19"/>
              </w:rPr>
              <w:t>–</w:t>
            </w:r>
          </w:p>
        </w:tc>
        <w:tc>
          <w:tcPr>
            <w:tcW w:type="dxa" w:w="2050"/>
          </w:tcPr>
          <w:p>
            <w:pPr>
              <w:spacing w:after="0"/>
            </w:pPr>
            <w:r>
              <w:rPr>
                <w:sz w:val="19"/>
              </w:rPr>
              <w:t>erreicht 05.10. (Konzept), Umsetzung FP-2 als eigenes Projekt; nicht veröffentlicht (Entscheidung Geschäftsführung 05.10.2026)</w:t>
            </w:r>
          </w:p>
        </w:tc>
      </w:tr>
      <w:tr>
        <w:trPr/>
        <w:tc>
          <w:tcPr>
            <w:tcW w:type="dxa" w:w="740"/>
          </w:tcPr>
          <w:p>
            <w:pPr>
              <w:spacing w:after="0"/>
            </w:pPr>
            <w:r>
              <w:rPr>
                <w:sz w:val="19"/>
              </w:rPr>
              <w:t>5.12.1</w:t>
            </w:r>
          </w:p>
        </w:tc>
        <w:tc>
          <w:tcPr>
            <w:tcW w:type="dxa" w:w="2343"/>
          </w:tcPr>
          <w:p>
            <w:pPr>
              <w:spacing w:after="0"/>
            </w:pPr>
            <w:r>
              <w:rPr>
                <w:sz w:val="19"/>
              </w:rPr>
              <w:t>Brainstorming v1.9</w:t>
            </w:r>
          </w:p>
        </w:tc>
        <w:tc>
          <w:tcPr>
            <w:tcW w:type="dxa" w:w="2690"/>
          </w:tcPr>
          <w:p>
            <w:pPr>
              <w:spacing w:after="0"/>
            </w:pPr>
            <w:r>
              <w:rPr>
                <w:sz w:val="19"/>
              </w:rPr>
              <w:t>Herkunft als Rolle, Spalte „To-do (wer)“, alle Ideen/Fragen abgeglichen</w:t>
            </w:r>
          </w:p>
        </w:tc>
        <w:tc>
          <w:tcPr>
            <w:tcW w:type="dxa" w:w="1588"/>
          </w:tcPr>
          <w:p>
            <w:pPr>
              <w:spacing w:after="0"/>
            </w:pPr>
            <w:r>
              <w:rPr>
                <w:sz w:val="19"/>
              </w:rPr>
              <w:t>–</w:t>
            </w:r>
          </w:p>
        </w:tc>
        <w:tc>
          <w:tcPr>
            <w:tcW w:type="dxa" w:w="2050"/>
          </w:tcPr>
          <w:p>
            <w:pPr>
              <w:spacing w:after="0"/>
            </w:pPr>
            <w:r>
              <w:rPr>
                <w:sz w:val="19"/>
              </w:rPr>
              <w:t>freigegeben 05.10.</w:t>
            </w:r>
          </w:p>
        </w:tc>
      </w:tr>
      <w:tr>
        <w:trPr/>
        <w:tc>
          <w:tcPr>
            <w:tcW w:type="dxa" w:w="740"/>
          </w:tcPr>
          <w:p>
            <w:pPr>
              <w:spacing w:after="0"/>
            </w:pPr>
            <w:r>
              <w:rPr>
                <w:sz w:val="19"/>
              </w:rPr>
              <w:t>5.12.2</w:t>
            </w:r>
          </w:p>
        </w:tc>
        <w:tc>
          <w:tcPr>
            <w:tcW w:type="dxa" w:w="2343"/>
          </w:tcPr>
          <w:p>
            <w:pPr>
              <w:spacing w:after="0"/>
            </w:pPr>
            <w:r>
              <w:rPr>
                <w:sz w:val="19"/>
              </w:rPr>
              <w:t>Projektplan v1.11</w:t>
            </w:r>
          </w:p>
        </w:tc>
        <w:tc>
          <w:tcPr>
            <w:tcW w:type="dxa" w:w="2690"/>
          </w:tcPr>
          <w:p>
            <w:pPr>
              <w:spacing w:after="0"/>
            </w:pPr>
            <w:r>
              <w:rPr>
                <w:sz w:val="19"/>
              </w:rPr>
              <w:t>Soll-Konzept, feingranulare Restaufgaben, Folgeprojekte (ohne FP-4), Handlungsempfehlungen wie Präsentation, ohne Zusammenarbeitsprinzipien</w:t>
            </w:r>
          </w:p>
        </w:tc>
        <w:tc>
          <w:tcPr>
            <w:tcW w:type="dxa" w:w="1588"/>
          </w:tcPr>
          <w:p>
            <w:pPr>
              <w:spacing w:after="0"/>
            </w:pPr>
            <w:r>
              <w:rPr>
                <w:sz w:val="19"/>
              </w:rPr>
              <w:t>–</w:t>
            </w:r>
          </w:p>
        </w:tc>
        <w:tc>
          <w:tcPr>
            <w:tcW w:type="dxa" w:w="2050"/>
          </w:tcPr>
          <w:p>
            <w:pPr>
              <w:spacing w:after="0"/>
            </w:pPr>
            <w:r>
              <w:rPr>
                <w:sz w:val="19"/>
              </w:rPr>
              <w:t>freigegeben 05.10.</w:t>
            </w:r>
          </w:p>
        </w:tc>
      </w:tr>
      <w:tr>
        <w:trPr/>
        <w:tc>
          <w:tcPr>
            <w:tcW w:type="dxa" w:w="740"/>
          </w:tcPr>
          <w:p>
            <w:pPr>
              <w:spacing w:after="0"/>
            </w:pPr>
            <w:r>
              <w:rPr>
                <w:sz w:val="19"/>
              </w:rPr>
              <w:t>5.12.3</w:t>
            </w:r>
          </w:p>
        </w:tc>
        <w:tc>
          <w:tcPr>
            <w:tcW w:type="dxa" w:w="2343"/>
          </w:tcPr>
          <w:p>
            <w:pPr>
              <w:spacing w:after="0"/>
            </w:pPr>
            <w:r>
              <w:rPr>
                <w:sz w:val="19"/>
              </w:rPr>
              <w:t>Pflichtenheft v1.9</w:t>
            </w:r>
          </w:p>
        </w:tc>
        <w:tc>
          <w:tcPr>
            <w:tcW w:type="dxa" w:w="2690"/>
          </w:tcPr>
          <w:p>
            <w:pPr>
              <w:spacing w:after="0"/>
            </w:pPr>
            <w:r>
              <w:rPr>
                <w:sz w:val="19"/>
              </w:rPr>
              <w:t>Ergebnisse, zentrale Grafiken, Handlungsempfehlungen, Beiträge je Rolle, Erklärungen für Einsteiger, Glossar, Links geprüft</w:t>
            </w:r>
          </w:p>
        </w:tc>
        <w:tc>
          <w:tcPr>
            <w:tcW w:type="dxa" w:w="1588"/>
          </w:tcPr>
          <w:p>
            <w:pPr>
              <w:spacing w:after="0"/>
            </w:pPr>
            <w:r>
              <w:rPr>
                <w:sz w:val="19"/>
              </w:rPr>
              <w:t>–</w:t>
            </w:r>
          </w:p>
        </w:tc>
        <w:tc>
          <w:tcPr>
            <w:tcW w:type="dxa" w:w="2050"/>
          </w:tcPr>
          <w:p>
            <w:pPr>
              <w:spacing w:after="0"/>
            </w:pPr>
            <w:r>
              <w:rPr>
                <w:sz w:val="19"/>
              </w:rPr>
              <w:t>freigegeben 06.10.</w:t>
            </w:r>
          </w:p>
        </w:tc>
      </w:tr>
      <w:tr>
        <w:trPr/>
        <w:tc>
          <w:tcPr>
            <w:tcW w:type="dxa" w:w="740"/>
          </w:tcPr>
          <w:p>
            <w:pPr>
              <w:spacing w:after="0"/>
            </w:pPr>
            <w:r>
              <w:rPr>
                <w:sz w:val="19"/>
              </w:rPr>
              <w:t>5.12.4</w:t>
            </w:r>
          </w:p>
        </w:tc>
        <w:tc>
          <w:tcPr>
            <w:tcW w:type="dxa" w:w="2343"/>
          </w:tcPr>
          <w:p>
            <w:pPr>
              <w:spacing w:after="0"/>
            </w:pPr>
            <w:r>
              <w:rPr>
                <w:sz w:val="19"/>
              </w:rPr>
              <w:t>Notebooks fertigstellen</w:t>
            </w:r>
          </w:p>
        </w:tc>
        <w:tc>
          <w:tcPr>
            <w:tcW w:type="dxa" w:w="2690"/>
          </w:tcPr>
          <w:p>
            <w:pPr>
              <w:spacing w:after="0"/>
            </w:pPr>
            <w:r>
              <w:rPr>
                <w:sz w:val="19"/>
              </w:rPr>
              <w:t xml:space="preserve">Texte zu Standortregeln (R5, R5a, R6, R7a), Ergebnistexte je Stadt aus der Ausgabe, Bilder nach </w:t>
            </w:r>
            <w:r>
              <w:rPr>
                <w:rFonts w:ascii="Courier New" w:hAnsi="Courier New"/>
                <w:sz w:val="17"/>
              </w:rPr>
              <w:t>04_images/&lt;stadt&gt;/</w:t>
            </w:r>
          </w:p>
        </w:tc>
        <w:tc>
          <w:tcPr>
            <w:tcW w:type="dxa" w:w="1588"/>
          </w:tcPr>
          <w:p>
            <w:pPr>
              <w:spacing w:after="0"/>
            </w:pPr>
            <w:r>
              <w:rPr>
                <w:sz w:val="19"/>
              </w:rPr>
              <w:t>Phase 2</w:t>
            </w:r>
          </w:p>
        </w:tc>
        <w:tc>
          <w:tcPr>
            <w:tcW w:type="dxa" w:w="2050"/>
          </w:tcPr>
          <w:p>
            <w:pPr>
              <w:spacing w:after="0"/>
            </w:pPr>
            <w:r>
              <w:rPr>
                <w:sz w:val="19"/>
              </w:rPr>
              <w:t>erreicht 05.10.</w:t>
            </w:r>
          </w:p>
        </w:tc>
      </w:tr>
      <w:tr>
        <w:trPr/>
        <w:tc>
          <w:tcPr>
            <w:tcW w:type="dxa" w:w="740"/>
          </w:tcPr>
          <w:p>
            <w:pPr>
              <w:spacing w:after="0"/>
            </w:pPr>
            <w:r>
              <w:rPr>
                <w:sz w:val="19"/>
              </w:rPr>
              <w:t>5.12.5</w:t>
            </w:r>
          </w:p>
        </w:tc>
        <w:tc>
          <w:tcPr>
            <w:tcW w:type="dxa" w:w="2343"/>
          </w:tcPr>
          <w:p>
            <w:pPr>
              <w:spacing w:after="0"/>
            </w:pPr>
            <w:r>
              <w:rPr>
                <w:sz w:val="19"/>
              </w:rPr>
              <w:t>Anleitung v3.0</w:t>
            </w:r>
          </w:p>
        </w:tc>
        <w:tc>
          <w:tcPr>
            <w:tcW w:type="dxa" w:w="2690"/>
          </w:tcPr>
          <w:p>
            <w:pPr>
              <w:spacing w:after="0"/>
            </w:pPr>
            <w:r>
              <w:rPr>
                <w:sz w:val="19"/>
              </w:rPr>
              <w:t>ein eng zugeschnittenes Bild je Handlung mit Feldbeschriftung, jedes im Text genannte Feld markiert, Logik und Personenbezug geprüft (06.10.), Notebook-Steckbriefe, FAQ Phase 3, Prozessbilder (Ebenen), Checkliste Ressourcenanbieter</w:t>
            </w:r>
          </w:p>
        </w:tc>
        <w:tc>
          <w:tcPr>
            <w:tcW w:type="dxa" w:w="1588"/>
          </w:tcPr>
          <w:p>
            <w:pPr>
              <w:spacing w:after="0"/>
            </w:pPr>
            <w:r>
              <w:rPr>
                <w:sz w:val="19"/>
              </w:rPr>
              <w:t>–</w:t>
            </w:r>
          </w:p>
        </w:tc>
        <w:tc>
          <w:tcPr>
            <w:tcW w:type="dxa" w:w="2050"/>
          </w:tcPr>
          <w:p>
            <w:pPr>
              <w:spacing w:after="0"/>
            </w:pPr>
            <w:r>
              <w:rPr>
                <w:sz w:val="19"/>
              </w:rPr>
              <w:t>erreicht 05.10., Freigabe offen</w:t>
            </w:r>
          </w:p>
        </w:tc>
      </w:tr>
      <w:tr>
        <w:trPr/>
        <w:tc>
          <w:tcPr>
            <w:tcW w:type="dxa" w:w="740"/>
          </w:tcPr>
          <w:p>
            <w:pPr>
              <w:spacing w:after="0"/>
            </w:pPr>
            <w:r>
              <w:rPr>
                <w:sz w:val="19"/>
              </w:rPr>
              <w:t>5.12.6</w:t>
            </w:r>
          </w:p>
        </w:tc>
        <w:tc>
          <w:tcPr>
            <w:tcW w:type="dxa" w:w="2343"/>
          </w:tcPr>
          <w:p>
            <w:pPr>
              <w:spacing w:after="0"/>
            </w:pPr>
            <w:r>
              <w:rPr>
                <w:sz w:val="19"/>
              </w:rPr>
              <w:t xml:space="preserve">Ordner </w:t>
            </w:r>
            <w:r>
              <w:rPr>
                <w:rFonts w:ascii="Courier New" w:hAnsi="Courier New"/>
                <w:sz w:val="17"/>
              </w:rPr>
              <w:t>06_vorlagen</w:t>
            </w:r>
          </w:p>
        </w:tc>
        <w:tc>
          <w:tcPr>
            <w:tcW w:type="dxa" w:w="2690"/>
          </w:tcPr>
          <w:p>
            <w:pPr>
              <w:spacing w:after="0"/>
            </w:pPr>
            <w:r>
              <w:rPr>
                <w:sz w:val="19"/>
              </w:rPr>
              <w:t>Konfigurationstabellen mit Erklärung, Parameterzelle, Checkliste neues Abonnement, Export der Data Factory (folgt 5.14.3)</w:t>
            </w:r>
          </w:p>
        </w:tc>
        <w:tc>
          <w:tcPr>
            <w:tcW w:type="dxa" w:w="1588"/>
          </w:tcPr>
          <w:p>
            <w:pPr>
              <w:spacing w:after="0"/>
            </w:pPr>
            <w:r>
              <w:rPr>
                <w:sz w:val="19"/>
              </w:rPr>
              <w:t>–</w:t>
            </w:r>
          </w:p>
        </w:tc>
        <w:tc>
          <w:tcPr>
            <w:tcW w:type="dxa" w:w="2050"/>
          </w:tcPr>
          <w:p>
            <w:pPr>
              <w:spacing w:after="0"/>
            </w:pPr>
            <w:r>
              <w:rPr>
                <w:sz w:val="19"/>
              </w:rPr>
              <w:t>erreicht 05.10.; nicht veröffentlicht (Entscheidung Geschäftsführung 05.10.2026)</w:t>
            </w:r>
          </w:p>
        </w:tc>
      </w:tr>
      <w:tr>
        <w:trPr/>
        <w:tc>
          <w:tcPr>
            <w:tcW w:type="dxa" w:w="740"/>
          </w:tcPr>
          <w:p>
            <w:pPr>
              <w:spacing w:after="0"/>
            </w:pPr>
            <w:r>
              <w:rPr>
                <w:sz w:val="19"/>
              </w:rPr>
              <w:t>5.12.7</w:t>
            </w:r>
          </w:p>
        </w:tc>
        <w:tc>
          <w:tcPr>
            <w:tcW w:type="dxa" w:w="2343"/>
          </w:tcPr>
          <w:p>
            <w:pPr>
              <w:spacing w:after="0"/>
            </w:pPr>
            <w:r>
              <w:rPr>
                <w:sz w:val="19"/>
              </w:rPr>
              <w:t xml:space="preserve">Ordner </w:t>
            </w:r>
            <w:r>
              <w:rPr>
                <w:rFonts w:ascii="Courier New" w:hAnsi="Courier New"/>
                <w:sz w:val="17"/>
              </w:rPr>
              <w:t>07_prozesse_QM</w:t>
            </w:r>
          </w:p>
        </w:tc>
        <w:tc>
          <w:tcPr>
            <w:tcW w:type="dxa" w:w="2690"/>
          </w:tcPr>
          <w:p>
            <w:pPr>
              <w:spacing w:after="0"/>
            </w:pPr>
            <w:r>
              <w:rPr>
                <w:sz w:val="19"/>
              </w:rPr>
              <w:t>Prozessmodelle Ebene 2/3 und täglicher Lauf (BPMN), Zuständigkeiten (RACI), Berechtigungsmatrix, Prüfablauf Testlauf/Gegenprobe</w:t>
            </w:r>
          </w:p>
        </w:tc>
        <w:tc>
          <w:tcPr>
            <w:tcW w:type="dxa" w:w="1588"/>
          </w:tcPr>
          <w:p>
            <w:pPr>
              <w:spacing w:after="0"/>
            </w:pPr>
            <w:r>
              <w:rPr>
                <w:sz w:val="19"/>
              </w:rPr>
              <w:t>–</w:t>
            </w:r>
          </w:p>
        </w:tc>
        <w:tc>
          <w:tcPr>
            <w:tcW w:type="dxa" w:w="2050"/>
          </w:tcPr>
          <w:p>
            <w:pPr>
              <w:spacing w:after="0"/>
            </w:pPr>
            <w:r>
              <w:rPr>
                <w:sz w:val="19"/>
              </w:rPr>
              <w:t>erreicht 05.10.</w:t>
            </w:r>
          </w:p>
        </w:tc>
      </w:tr>
      <w:tr>
        <w:trPr/>
        <w:tc>
          <w:tcPr>
            <w:tcW w:type="dxa" w:w="740"/>
          </w:tcPr>
          <w:p>
            <w:pPr>
              <w:spacing w:after="0"/>
            </w:pPr>
            <w:r>
              <w:rPr>
                <w:sz w:val="19"/>
              </w:rPr>
              <w:t>5.12.8</w:t>
            </w:r>
          </w:p>
        </w:tc>
        <w:tc>
          <w:tcPr>
            <w:tcW w:type="dxa" w:w="2343"/>
          </w:tcPr>
          <w:p>
            <w:pPr>
              <w:spacing w:after="0"/>
            </w:pPr>
            <w:r>
              <w:rPr>
                <w:sz w:val="19"/>
              </w:rPr>
              <w:t>README Schulprojekt</w:t>
            </w:r>
          </w:p>
        </w:tc>
        <w:tc>
          <w:tcPr>
            <w:tcW w:type="dxa" w:w="2690"/>
          </w:tcPr>
          <w:p>
            <w:pPr>
              <w:spacing w:after="0"/>
            </w:pPr>
            <w:r>
              <w:rPr>
                <w:sz w:val="19"/>
              </w:rPr>
              <w:t>Stand 2 Städte, Pipeline, Trigger, Warnungen, Ergebnisse, Kosten, Ordner 06–08 (Portfolio-Standard)</w:t>
            </w:r>
          </w:p>
        </w:tc>
        <w:tc>
          <w:tcPr>
            <w:tcW w:type="dxa" w:w="1588"/>
          </w:tcPr>
          <w:p>
            <w:pPr>
              <w:spacing w:after="0"/>
            </w:pPr>
            <w:r>
              <w:rPr>
                <w:sz w:val="19"/>
              </w:rPr>
              <w:t>–</w:t>
            </w:r>
          </w:p>
        </w:tc>
        <w:tc>
          <w:tcPr>
            <w:tcW w:type="dxa" w:w="2050"/>
          </w:tcPr>
          <w:p>
            <w:pPr>
              <w:spacing w:after="0"/>
            </w:pPr>
            <w:r>
              <w:rPr>
                <w:sz w:val="19"/>
              </w:rPr>
              <w:t>erreicht 05.10.</w:t>
            </w:r>
          </w:p>
        </w:tc>
      </w:tr>
      <w:tr>
        <w:trPr/>
        <w:tc>
          <w:tcPr>
            <w:tcW w:type="dxa" w:w="740"/>
          </w:tcPr>
          <w:p>
            <w:pPr>
              <w:spacing w:after="0"/>
            </w:pPr>
            <w:r>
              <w:rPr>
                <w:sz w:val="19"/>
              </w:rPr>
              <w:t>5.12.9</w:t>
            </w:r>
          </w:p>
        </w:tc>
        <w:tc>
          <w:tcPr>
            <w:tcW w:type="dxa" w:w="2343"/>
          </w:tcPr>
          <w:p>
            <w:pPr>
              <w:spacing w:after="0"/>
            </w:pPr>
            <w:r>
              <w:rPr>
                <w:sz w:val="19"/>
              </w:rPr>
              <w:t>Präsentationen</w:t>
            </w:r>
          </w:p>
        </w:tc>
        <w:tc>
          <w:tcPr>
            <w:tcW w:type="dxa" w:w="2690"/>
          </w:tcPr>
          <w:p>
            <w:pPr>
              <w:spacing w:after="0"/>
            </w:pPr>
            <w:r>
              <w:rPr>
                <w:sz w:val="19"/>
              </w:rPr>
              <w:t>je Zielgruppe (Geschäftsleitung, Fachbereich/Stakeholder) aus PP/PH; Ausgangslage → Vorgehen → 3 Ergebnisse → Handlungsempfehlungen</w:t>
            </w:r>
          </w:p>
        </w:tc>
        <w:tc>
          <w:tcPr>
            <w:tcW w:type="dxa" w:w="1588"/>
          </w:tcPr>
          <w:p>
            <w:pPr>
              <w:spacing w:after="0"/>
            </w:pPr>
            <w:r>
              <w:rPr>
                <w:sz w:val="19"/>
              </w:rPr>
              <w:t>–</w:t>
            </w:r>
          </w:p>
        </w:tc>
        <w:tc>
          <w:tcPr>
            <w:tcW w:type="dxa" w:w="2050"/>
          </w:tcPr>
          <w:p>
            <w:pPr>
              <w:spacing w:after="0"/>
            </w:pPr>
            <w:r>
              <w:rPr>
                <w:sz w:val="19"/>
              </w:rPr>
              <w:t>Geschäftsleitung erreicht 05.10. (PS-ITS-001), Fachbereich als Folienplan</w:t>
            </w:r>
          </w:p>
        </w:tc>
      </w:tr>
      <w:tr>
        <w:trPr/>
        <w:tc>
          <w:tcPr>
            <w:tcW w:type="dxa" w:w="740"/>
          </w:tcPr>
          <w:p>
            <w:pPr>
              <w:spacing w:after="0"/>
            </w:pPr>
            <w:r>
              <w:rPr>
                <w:sz w:val="19"/>
              </w:rPr>
              <w:t>5.13</w:t>
            </w:r>
          </w:p>
        </w:tc>
        <w:tc>
          <w:tcPr>
            <w:tcW w:type="dxa" w:w="2343"/>
          </w:tcPr>
          <w:p>
            <w:pPr>
              <w:spacing w:after="0"/>
            </w:pPr>
            <w:r>
              <w:rPr>
                <w:sz w:val="19"/>
              </w:rPr>
              <w:t>Offene Fragen klären oder als Grenze benennen</w:t>
            </w:r>
          </w:p>
        </w:tc>
        <w:tc>
          <w:tcPr>
            <w:tcW w:type="dxa" w:w="2690"/>
          </w:tcPr>
          <w:p>
            <w:pPr>
              <w:spacing w:after="0"/>
            </w:pPr>
            <w:r>
              <w:rPr>
                <w:sz w:val="19"/>
              </w:rPr>
              <w:t>F1–F6 abgeglichen (BS Kap. 7)</w:t>
            </w:r>
          </w:p>
        </w:tc>
        <w:tc>
          <w:tcPr>
            <w:tcW w:type="dxa" w:w="1588"/>
          </w:tcPr>
          <w:p>
            <w:pPr>
              <w:spacing w:after="0"/>
            </w:pPr>
            <w:r>
              <w:rPr>
                <w:sz w:val="19"/>
              </w:rPr>
              <w:t>–</w:t>
            </w:r>
          </w:p>
        </w:tc>
        <w:tc>
          <w:tcPr>
            <w:tcW w:type="dxa" w:w="2050"/>
          </w:tcPr>
          <w:p>
            <w:pPr>
              <w:spacing w:after="0"/>
            </w:pPr>
            <w:r>
              <w:rPr>
                <w:sz w:val="19"/>
              </w:rPr>
              <w:t>erreicht 05.10.</w:t>
            </w:r>
          </w:p>
        </w:tc>
      </w:tr>
      <w:tr>
        <w:trPr/>
        <w:tc>
          <w:tcPr>
            <w:tcW w:type="dxa" w:w="740"/>
          </w:tcPr>
          <w:p>
            <w:pPr>
              <w:spacing w:after="0"/>
            </w:pPr>
            <w:r>
              <w:rPr>
                <w:sz w:val="19"/>
              </w:rPr>
              <w:t>5.14.1</w:t>
            </w:r>
          </w:p>
        </w:tc>
        <w:tc>
          <w:tcPr>
            <w:tcW w:type="dxa" w:w="2343"/>
          </w:tcPr>
          <w:p>
            <w:pPr>
              <w:spacing w:after="0"/>
            </w:pPr>
            <w:r>
              <w:rPr>
                <w:sz w:val="19"/>
              </w:rPr>
              <w:t>Abschlussprüfung QS (WB-QM-001 Abschn. 10)</w:t>
            </w:r>
          </w:p>
        </w:tc>
        <w:tc>
          <w:tcPr>
            <w:tcW w:type="dxa" w:w="2690"/>
          </w:tcPr>
          <w:p>
            <w:pPr>
              <w:spacing w:after="0"/>
            </w:pPr>
            <w:r>
              <w:rPr>
                <w:sz w:val="19"/>
              </w:rPr>
              <w:t>drei Prüfdurchgänge, Dokumente widerspruchsfrei, leere Ordner geklärt, Bericht BE-…</w:t>
            </w:r>
          </w:p>
        </w:tc>
        <w:tc>
          <w:tcPr>
            <w:tcW w:type="dxa" w:w="1588"/>
          </w:tcPr>
          <w:p>
            <w:pPr>
              <w:spacing w:after="0"/>
            </w:pPr>
            <w:r>
              <w:rPr>
                <w:sz w:val="19"/>
              </w:rPr>
              <w:t>–</w:t>
            </w:r>
          </w:p>
        </w:tc>
        <w:tc>
          <w:tcPr>
            <w:tcW w:type="dxa" w:w="2050"/>
          </w:tcPr>
          <w:p>
            <w:pPr>
              <w:spacing w:after="0"/>
            </w:pPr>
            <w:r>
              <w:rPr>
                <w:sz w:val="19"/>
              </w:rPr>
              <w:t>nach den Freigaben</w:t>
            </w:r>
          </w:p>
        </w:tc>
      </w:tr>
      <w:tr>
        <w:trPr/>
        <w:tc>
          <w:tcPr>
            <w:tcW w:type="dxa" w:w="740"/>
          </w:tcPr>
          <w:p>
            <w:pPr>
              <w:spacing w:after="0"/>
            </w:pPr>
            <w:r>
              <w:rPr>
                <w:sz w:val="19"/>
              </w:rPr>
              <w:t>5.14.2</w:t>
            </w:r>
          </w:p>
        </w:tc>
        <w:tc>
          <w:tcPr>
            <w:tcW w:type="dxa" w:w="2343"/>
          </w:tcPr>
          <w:p>
            <w:pPr>
              <w:spacing w:after="0"/>
            </w:pPr>
            <w:r>
              <w:rPr>
                <w:sz w:val="19"/>
              </w:rPr>
              <w:t>Erkenntnisse an die Agenten</w:t>
            </w:r>
          </w:p>
        </w:tc>
        <w:tc>
          <w:tcPr>
            <w:tcW w:type="dxa" w:w="2690"/>
          </w:tcPr>
          <w:p>
            <w:pPr>
              <w:spacing w:after="0"/>
            </w:pPr>
            <w:r>
              <w:rPr>
                <w:sz w:val="19"/>
              </w:rPr>
              <w:t>Wissensbasen der beteiligten Rollen ergänzt (WB-ITS-002, WB-QM-001)</w:t>
            </w:r>
          </w:p>
        </w:tc>
        <w:tc>
          <w:tcPr>
            <w:tcW w:type="dxa" w:w="1588"/>
          </w:tcPr>
          <w:p>
            <w:pPr>
              <w:spacing w:after="0"/>
            </w:pPr>
            <w:r>
              <w:rPr>
                <w:sz w:val="19"/>
              </w:rPr>
              <w:t>–</w:t>
            </w:r>
          </w:p>
        </w:tc>
        <w:tc>
          <w:tcPr>
            <w:tcW w:type="dxa" w:w="2050"/>
          </w:tcPr>
          <w:p>
            <w:pPr>
              <w:spacing w:after="0"/>
            </w:pPr>
            <w:r>
              <w:rPr>
                <w:sz w:val="19"/>
              </w:rPr>
              <w:t>erreicht 05.10.</w:t>
            </w:r>
          </w:p>
        </w:tc>
      </w:tr>
      <w:tr>
        <w:trPr/>
        <w:tc>
          <w:tcPr>
            <w:tcW w:type="dxa" w:w="740"/>
          </w:tcPr>
          <w:p>
            <w:pPr>
              <w:spacing w:after="0"/>
            </w:pPr>
            <w:r>
              <w:rPr>
                <w:sz w:val="19"/>
              </w:rPr>
              <w:t>5.14.3</w:t>
            </w:r>
          </w:p>
        </w:tc>
        <w:tc>
          <w:tcPr>
            <w:tcW w:type="dxa" w:w="2343"/>
          </w:tcPr>
          <w:p>
            <w:pPr>
              <w:spacing w:after="0"/>
            </w:pPr>
            <w:r>
              <w:rPr>
                <w:sz w:val="19"/>
              </w:rPr>
              <w:t>Azure sichern</w:t>
            </w:r>
          </w:p>
        </w:tc>
        <w:tc>
          <w:tcPr>
            <w:tcW w:type="dxa" w:w="2690"/>
          </w:tcPr>
          <w:p>
            <w:pPr>
              <w:spacing w:after="0"/>
            </w:pPr>
            <w:r>
              <w:rPr>
                <w:sz w:val="19"/>
              </w:rPr>
              <w:t>Export Data Factory (ARM-Vorlage), Synapse-Notebooks, Gold-Daten lokal</w:t>
            </w:r>
          </w:p>
        </w:tc>
        <w:tc>
          <w:tcPr>
            <w:tcW w:type="dxa" w:w="1588"/>
          </w:tcPr>
          <w:p>
            <w:pPr>
              <w:spacing w:after="0"/>
            </w:pPr>
            <w:r>
              <w:rPr>
                <w:sz w:val="19"/>
              </w:rPr>
              <w:t>–</w:t>
            </w:r>
          </w:p>
        </w:tc>
        <w:tc>
          <w:tcPr>
            <w:tcW w:type="dxa" w:w="2050"/>
          </w:tcPr>
          <w:p>
            <w:pPr>
              <w:spacing w:after="0"/>
            </w:pPr>
            <w:r>
              <w:rPr>
                <w:sz w:val="19"/>
              </w:rPr>
              <w:t>nach Kursende 13.10.</w:t>
            </w:r>
          </w:p>
        </w:tc>
      </w:tr>
      <w:tr>
        <w:trPr/>
        <w:tc>
          <w:tcPr>
            <w:tcW w:type="dxa" w:w="740"/>
          </w:tcPr>
          <w:p>
            <w:pPr>
              <w:spacing w:after="0"/>
            </w:pPr>
            <w:r>
              <w:rPr>
                <w:sz w:val="19"/>
              </w:rPr>
              <w:t>5.14.4</w:t>
            </w:r>
          </w:p>
        </w:tc>
        <w:tc>
          <w:tcPr>
            <w:tcW w:type="dxa" w:w="2343"/>
          </w:tcPr>
          <w:p>
            <w:pPr>
              <w:spacing w:after="0"/>
            </w:pPr>
            <w:r>
              <w:rPr>
                <w:sz w:val="19"/>
              </w:rPr>
              <w:t>Kostenmeldung an die Abteilung Finanzen (intern, Budget- und Kostenplanung)</w:t>
            </w:r>
          </w:p>
        </w:tc>
        <w:tc>
          <w:tcPr>
            <w:tcW w:type="dxa" w:w="2690"/>
          </w:tcPr>
          <w:p>
            <w:pPr>
              <w:spacing w:after="0"/>
            </w:pPr>
            <w:r>
              <w:rPr>
                <w:sz w:val="19"/>
              </w:rPr>
              <w:t>Ist-Kosten gesamt (PR-ITS-008)</w:t>
            </w:r>
          </w:p>
        </w:tc>
        <w:tc>
          <w:tcPr>
            <w:tcW w:type="dxa" w:w="1588"/>
          </w:tcPr>
          <w:p>
            <w:pPr>
              <w:spacing w:after="0"/>
            </w:pPr>
            <w:r>
              <w:rPr>
                <w:sz w:val="19"/>
              </w:rPr>
              <w:t>–</w:t>
            </w:r>
          </w:p>
        </w:tc>
        <w:tc>
          <w:tcPr>
            <w:tcW w:type="dxa" w:w="2050"/>
          </w:tcPr>
          <w:p>
            <w:pPr>
              <w:spacing w:after="0"/>
            </w:pPr>
            <w:r>
              <w:rPr>
                <w:sz w:val="19"/>
              </w:rPr>
              <w:t>nach Kursende</w:t>
            </w:r>
          </w:p>
        </w:tc>
      </w:tr>
      <w:tr>
        <w:trPr/>
        <w:tc>
          <w:tcPr>
            <w:tcW w:type="dxa" w:w="740"/>
          </w:tcPr>
          <w:p>
            <w:pPr>
              <w:spacing w:after="0"/>
            </w:pPr>
            <w:r>
              <w:rPr>
                <w:sz w:val="19"/>
              </w:rPr>
              <w:t>5.14.5</w:t>
            </w:r>
          </w:p>
        </w:tc>
        <w:tc>
          <w:tcPr>
            <w:tcW w:type="dxa" w:w="2343"/>
          </w:tcPr>
          <w:p>
            <w:pPr>
              <w:spacing w:after="0"/>
            </w:pPr>
            <w:r>
              <w:rPr>
                <w:sz w:val="19"/>
              </w:rPr>
              <w:t>Rückbau</w:t>
            </w:r>
          </w:p>
        </w:tc>
        <w:tc>
          <w:tcPr>
            <w:tcW w:type="dxa" w:w="2690"/>
          </w:tcPr>
          <w:p>
            <w:pPr>
              <w:spacing w:after="0"/>
            </w:pPr>
            <w:r>
              <w:rPr>
                <w:sz w:val="19"/>
              </w:rPr>
              <w:t>Ressourcen löschen nach Freigabe (Guthaben bis 18.10.2026; Aufgabe 82)</w:t>
            </w:r>
          </w:p>
        </w:tc>
        <w:tc>
          <w:tcPr>
            <w:tcW w:type="dxa" w:w="1588"/>
          </w:tcPr>
          <w:p>
            <w:pPr>
              <w:spacing w:after="0"/>
            </w:pPr>
            <w:r>
              <w:rPr>
                <w:sz w:val="19"/>
              </w:rPr>
              <w:t>–</w:t>
            </w:r>
          </w:p>
        </w:tc>
        <w:tc>
          <w:tcPr>
            <w:tcW w:type="dxa" w:w="2050"/>
          </w:tcPr>
          <w:p>
            <w:pPr>
              <w:spacing w:after="0"/>
            </w:pPr>
            <w:r>
              <w:rPr>
                <w:sz w:val="19"/>
              </w:rPr>
              <w:t>nach Kursende</w:t>
            </w:r>
          </w:p>
        </w:tc>
      </w:tr>
      <w:tr>
        <w:trPr/>
        <w:tc>
          <w:tcPr>
            <w:tcW w:type="dxa" w:w="740"/>
          </w:tcPr>
          <w:p>
            <w:pPr>
              <w:spacing w:after="0"/>
            </w:pPr>
            <w:r>
              <w:rPr>
                <w:sz w:val="19"/>
              </w:rPr>
              <w:t>5.14.6</w:t>
            </w:r>
          </w:p>
        </w:tc>
        <w:tc>
          <w:tcPr>
            <w:tcW w:type="dxa" w:w="2343"/>
          </w:tcPr>
          <w:p>
            <w:pPr>
              <w:spacing w:after="0"/>
            </w:pPr>
            <w:r>
              <w:rPr>
                <w:sz w:val="19"/>
              </w:rPr>
              <w:t>Projektabschluss freigeben</w:t>
            </w:r>
          </w:p>
        </w:tc>
        <w:tc>
          <w:tcPr>
            <w:tcW w:type="dxa" w:w="2690"/>
          </w:tcPr>
          <w:p>
            <w:pPr>
              <w:spacing w:after="0"/>
            </w:pPr>
            <w:r>
              <w:rPr>
                <w:sz w:val="19"/>
              </w:rPr>
              <w:t>Freigabe Geschäftsführung, Folgeprojekte übergeben</w:t>
            </w:r>
          </w:p>
        </w:tc>
        <w:tc>
          <w:tcPr>
            <w:tcW w:type="dxa" w:w="1588"/>
          </w:tcPr>
          <w:p>
            <w:pPr>
              <w:spacing w:after="0"/>
            </w:pPr>
            <w:r>
              <w:rPr>
                <w:sz w:val="19"/>
              </w:rPr>
              <w:t>–</w:t>
            </w:r>
          </w:p>
        </w:tc>
        <w:tc>
          <w:tcPr>
            <w:tcW w:type="dxa" w:w="2050"/>
          </w:tcPr>
          <w:p>
            <w:pPr>
              <w:spacing w:after="0"/>
            </w:pPr>
            <w:r>
              <w:rPr>
                <w:sz w:val="19"/>
              </w:rPr>
              <w:t>nach Kursende</w:t>
            </w:r>
          </w:p>
        </w:tc>
      </w:tr>
      <w:tr>
        <w:trPr/>
        <w:tc>
          <w:tcPr>
            <w:tcW w:type="dxa" w:w="740"/>
          </w:tcPr>
          <w:p>
            <w:pPr>
              <w:spacing w:after="0"/>
            </w:pPr>
            <w:r>
              <w:rPr>
                <w:sz w:val="19"/>
              </w:rPr>
              <w:t>5.15</w:t>
            </w:r>
          </w:p>
        </w:tc>
        <w:tc>
          <w:tcPr>
            <w:tcW w:type="dxa" w:w="2343"/>
          </w:tcPr>
          <w:p>
            <w:pPr>
              <w:spacing w:after="0"/>
            </w:pPr>
            <w:r>
              <w:rPr>
                <w:sz w:val="19"/>
              </w:rPr>
              <w:t>Wetter-Rohantwort als JSON in Bronze (I57)</w:t>
            </w:r>
          </w:p>
        </w:tc>
        <w:tc>
          <w:tcPr>
            <w:tcW w:type="dxa" w:w="2690"/>
          </w:tcPr>
          <w:p>
            <w:pPr>
              <w:spacing w:after="0"/>
            </w:pPr>
            <w:r>
              <w:rPr>
                <w:sz w:val="19"/>
              </w:rPr>
              <w:t>Rohantwort als Parquet archiviert (N3); JSON → FP-1</w:t>
            </w:r>
          </w:p>
        </w:tc>
        <w:tc>
          <w:tcPr>
            <w:tcW w:type="dxa" w:w="1588"/>
          </w:tcPr>
          <w:p>
            <w:pPr>
              <w:spacing w:after="0"/>
            </w:pPr>
            <w:r>
              <w:rPr>
                <w:sz w:val="19"/>
              </w:rPr>
              <w:t>Schritt 20</w:t>
            </w:r>
          </w:p>
        </w:tc>
        <w:tc>
          <w:tcPr>
            <w:tcW w:type="dxa" w:w="2050"/>
          </w:tcPr>
          <w:p>
            <w:pPr>
              <w:spacing w:after="0"/>
            </w:pPr>
            <w:r>
              <w:rPr>
                <w:sz w:val="19"/>
              </w:rPr>
              <w:t>erreicht / FP-1</w:t>
            </w:r>
          </w:p>
        </w:tc>
      </w:tr>
      <w:tr>
        <w:trPr/>
        <w:tc>
          <w:tcPr>
            <w:tcW w:type="dxa" w:w="740"/>
          </w:tcPr>
          <w:p>
            <w:pPr>
              <w:spacing w:after="0"/>
            </w:pPr>
            <w:r>
              <w:rPr>
                <w:sz w:val="19"/>
              </w:rPr>
              <w:t>5.16</w:t>
            </w:r>
          </w:p>
        </w:tc>
        <w:tc>
          <w:tcPr>
            <w:tcW w:type="dxa" w:w="2343"/>
          </w:tcPr>
          <w:p>
            <w:pPr>
              <w:spacing w:after="0"/>
            </w:pPr>
            <w:r>
              <w:rPr>
                <w:sz w:val="19"/>
              </w:rPr>
              <w:t>Warnung bei weit entfernter Wetterstation (I54)</w:t>
            </w:r>
          </w:p>
        </w:tc>
        <w:tc>
          <w:tcPr>
            <w:tcW w:type="dxa" w:w="2690"/>
          </w:tcPr>
          <w:p>
            <w:pPr>
              <w:spacing w:after="0"/>
            </w:pPr>
            <w:r>
              <w:rPr>
                <w:sz w:val="19"/>
              </w:rPr>
              <w:t>Abstand wird in N3 ausgegeben (Würzburg 1,5 km)</w:t>
            </w:r>
          </w:p>
        </w:tc>
        <w:tc>
          <w:tcPr>
            <w:tcW w:type="dxa" w:w="1588"/>
          </w:tcPr>
          <w:p>
            <w:pPr>
              <w:spacing w:after="0"/>
            </w:pPr>
            <w:r>
              <w:rPr>
                <w:sz w:val="19"/>
              </w:rPr>
              <w:t>–</w:t>
            </w:r>
          </w:p>
        </w:tc>
        <w:tc>
          <w:tcPr>
            <w:tcW w:type="dxa" w:w="2050"/>
          </w:tcPr>
          <w:p>
            <w:pPr>
              <w:spacing w:after="0"/>
            </w:pPr>
            <w:r>
              <w:rPr>
                <w:sz w:val="19"/>
              </w:rPr>
              <w:t>Folgeprojekt FP-2</w:t>
            </w:r>
          </w:p>
        </w:tc>
      </w:tr>
      <w:tr>
        <w:trPr/>
        <w:tc>
          <w:tcPr>
            <w:tcW w:type="dxa" w:w="740"/>
          </w:tcPr>
          <w:p>
            <w:pPr>
              <w:spacing w:after="0"/>
            </w:pPr>
            <w:r>
              <w:rPr>
                <w:sz w:val="19"/>
              </w:rPr>
              <w:t>5.17</w:t>
            </w:r>
          </w:p>
        </w:tc>
        <w:tc>
          <w:tcPr>
            <w:tcW w:type="dxa" w:w="2343"/>
          </w:tcPr>
          <w:p>
            <w:pPr>
              <w:spacing w:after="0"/>
            </w:pPr>
            <w:r>
              <w:rPr>
                <w:sz w:val="19"/>
              </w:rPr>
              <w:t>Lieferungen prüfen (K8 b, c; I56)</w:t>
            </w:r>
          </w:p>
        </w:tc>
        <w:tc>
          <w:tcPr>
            <w:tcW w:type="dxa" w:w="2690"/>
          </w:tcPr>
          <w:p>
            <w:pPr>
              <w:spacing w:after="0"/>
            </w:pPr>
            <w:r>
              <w:rPr>
                <w:sz w:val="19"/>
              </w:rPr>
              <w:t>–</w:t>
            </w:r>
          </w:p>
        </w:tc>
        <w:tc>
          <w:tcPr>
            <w:tcW w:type="dxa" w:w="1588"/>
          </w:tcPr>
          <w:p>
            <w:pPr>
              <w:spacing w:after="0"/>
            </w:pPr>
            <w:r>
              <w:rPr>
                <w:sz w:val="19"/>
              </w:rPr>
              <w:t>–</w:t>
            </w:r>
          </w:p>
        </w:tc>
        <w:tc>
          <w:tcPr>
            <w:tcW w:type="dxa" w:w="2050"/>
          </w:tcPr>
          <w:p>
            <w:pPr>
              <w:spacing w:after="0"/>
            </w:pPr>
            <w:r>
              <w:rPr>
                <w:sz w:val="19"/>
              </w:rPr>
              <w:t>Folgeprojekt FP-1</w:t>
            </w:r>
          </w:p>
        </w:tc>
      </w:tr>
      <w:tr>
        <w:trPr/>
        <w:tc>
          <w:tcPr>
            <w:tcW w:type="dxa" w:w="740"/>
          </w:tcPr>
          <w:p>
            <w:pPr>
              <w:spacing w:after="0"/>
            </w:pPr>
            <w:r>
              <w:rPr>
                <w:sz w:val="19"/>
              </w:rPr>
              <w:t>5.18</w:t>
            </w:r>
          </w:p>
        </w:tc>
        <w:tc>
          <w:tcPr>
            <w:tcW w:type="dxa" w:w="2343"/>
          </w:tcPr>
          <w:p>
            <w:pPr>
              <w:spacing w:after="0"/>
            </w:pPr>
            <w:r>
              <w:rPr>
                <w:sz w:val="19"/>
              </w:rPr>
              <w:t>Fehlerpfad (K7; I55)</w:t>
            </w:r>
          </w:p>
        </w:tc>
        <w:tc>
          <w:tcPr>
            <w:tcW w:type="dxa" w:w="2690"/>
          </w:tcPr>
          <w:p>
            <w:pPr>
              <w:spacing w:after="0"/>
            </w:pPr>
            <w:r>
              <w:rPr>
                <w:sz w:val="19"/>
              </w:rPr>
              <w:t>Meldung per E-Mail erreicht (5.10); Prüfordner → FP-1</w:t>
            </w:r>
          </w:p>
        </w:tc>
        <w:tc>
          <w:tcPr>
            <w:tcW w:type="dxa" w:w="1588"/>
          </w:tcPr>
          <w:p>
            <w:pPr>
              <w:spacing w:after="0"/>
            </w:pPr>
            <w:r>
              <w:rPr>
                <w:sz w:val="19"/>
              </w:rPr>
              <w:t>Schritt 35</w:t>
            </w:r>
          </w:p>
        </w:tc>
        <w:tc>
          <w:tcPr>
            <w:tcW w:type="dxa" w:w="2050"/>
          </w:tcPr>
          <w:p>
            <w:pPr>
              <w:spacing w:after="0"/>
            </w:pPr>
            <w:r>
              <w:rPr>
                <w:sz w:val="19"/>
              </w:rPr>
              <w:t>erreicht / FP-1</w:t>
            </w:r>
          </w:p>
        </w:tc>
      </w:tr>
      <w:tr>
        <w:trPr/>
        <w:tc>
          <w:tcPr>
            <w:tcW w:type="dxa" w:w="740"/>
          </w:tcPr>
          <w:p>
            <w:pPr>
              <w:spacing w:after="0"/>
            </w:pPr>
            <w:r>
              <w:rPr>
                <w:sz w:val="19"/>
              </w:rPr>
              <w:t>5.19</w:t>
            </w:r>
          </w:p>
        </w:tc>
        <w:tc>
          <w:tcPr>
            <w:tcW w:type="dxa" w:w="2343"/>
          </w:tcPr>
          <w:p>
            <w:pPr>
              <w:spacing w:after="0"/>
            </w:pPr>
            <w:r>
              <w:rPr>
                <w:sz w:val="19"/>
              </w:rPr>
              <w:t>Tägliche Wetter-Pipeline für den Vortag (I58)</w:t>
            </w:r>
          </w:p>
        </w:tc>
        <w:tc>
          <w:tcPr>
            <w:tcW w:type="dxa" w:w="2690"/>
          </w:tcPr>
          <w:p>
            <w:pPr>
              <w:spacing w:after="0"/>
            </w:pPr>
            <w:r>
              <w:rPr>
                <w:sz w:val="19"/>
              </w:rPr>
              <w:t>–</w:t>
            </w:r>
          </w:p>
        </w:tc>
        <w:tc>
          <w:tcPr>
            <w:tcW w:type="dxa" w:w="1588"/>
          </w:tcPr>
          <w:p>
            <w:pPr>
              <w:spacing w:after="0"/>
            </w:pPr>
            <w:r>
              <w:rPr>
                <w:sz w:val="19"/>
              </w:rPr>
              <w:t>–</w:t>
            </w:r>
          </w:p>
        </w:tc>
        <w:tc>
          <w:tcPr>
            <w:tcW w:type="dxa" w:w="2050"/>
          </w:tcPr>
          <w:p>
            <w:pPr>
              <w:spacing w:after="0"/>
            </w:pPr>
            <w:r>
              <w:rPr>
                <w:sz w:val="19"/>
              </w:rPr>
              <w:t>Folgeprojekt FP-1</w:t>
            </w:r>
          </w:p>
        </w:tc>
      </w:tr>
      <w:tr>
        <w:trPr/>
        <w:tc>
          <w:tcPr>
            <w:tcW w:type="dxa" w:w="740"/>
          </w:tcPr>
          <w:p>
            <w:pPr>
              <w:spacing w:after="0"/>
            </w:pPr>
            <w:r>
              <w:rPr>
                <w:sz w:val="19"/>
              </w:rPr>
              <w:t>5.20</w:t>
            </w:r>
          </w:p>
        </w:tc>
        <w:tc>
          <w:tcPr>
            <w:tcW w:type="dxa" w:w="2343"/>
          </w:tcPr>
          <w:p>
            <w:pPr>
              <w:spacing w:after="0"/>
            </w:pPr>
            <w:r>
              <w:rPr>
                <w:sz w:val="19"/>
              </w:rPr>
              <w:t>Ereignis-Trigger bei neuer Datei (I59)</w:t>
            </w:r>
          </w:p>
        </w:tc>
        <w:tc>
          <w:tcPr>
            <w:tcW w:type="dxa" w:w="2690"/>
          </w:tcPr>
          <w:p>
            <w:pPr>
              <w:spacing w:after="0"/>
            </w:pPr>
            <w:r>
              <w:rPr>
                <w:sz w:val="19"/>
              </w:rPr>
              <w:t>–</w:t>
            </w:r>
          </w:p>
        </w:tc>
        <w:tc>
          <w:tcPr>
            <w:tcW w:type="dxa" w:w="1588"/>
          </w:tcPr>
          <w:p>
            <w:pPr>
              <w:spacing w:after="0"/>
            </w:pPr>
            <w:r>
              <w:rPr>
                <w:sz w:val="19"/>
              </w:rPr>
              <w:t>–</w:t>
            </w:r>
          </w:p>
        </w:tc>
        <w:tc>
          <w:tcPr>
            <w:tcW w:type="dxa" w:w="2050"/>
          </w:tcPr>
          <w:p>
            <w:pPr>
              <w:spacing w:after="0"/>
            </w:pPr>
            <w:r>
              <w:rPr>
                <w:sz w:val="19"/>
              </w:rPr>
              <w:t>Folgeprojekt FP-1</w:t>
            </w:r>
          </w:p>
        </w:tc>
      </w:tr>
      <w:tr>
        <w:trPr/>
        <w:tc>
          <w:tcPr>
            <w:tcW w:type="dxa" w:w="740"/>
          </w:tcPr>
          <w:p>
            <w:pPr>
              <w:spacing w:after="0"/>
            </w:pPr>
            <w:r>
              <w:rPr>
                <w:sz w:val="19"/>
              </w:rPr>
              <w:t>5.21</w:t>
            </w:r>
          </w:p>
        </w:tc>
        <w:tc>
          <w:tcPr>
            <w:tcW w:type="dxa" w:w="2343"/>
          </w:tcPr>
          <w:p>
            <w:pPr>
              <w:spacing w:after="0"/>
            </w:pPr>
            <w:r>
              <w:rPr>
                <w:sz w:val="19"/>
              </w:rPr>
              <w:t>Gold als Sternschema (I60)</w:t>
            </w:r>
          </w:p>
        </w:tc>
        <w:tc>
          <w:tcPr>
            <w:tcW w:type="dxa" w:w="2690"/>
          </w:tcPr>
          <w:p>
            <w:pPr>
              <w:spacing w:after="0"/>
            </w:pPr>
            <w:r>
              <w:rPr>
                <w:sz w:val="19"/>
              </w:rPr>
              <w:t>–</w:t>
            </w:r>
          </w:p>
        </w:tc>
        <w:tc>
          <w:tcPr>
            <w:tcW w:type="dxa" w:w="1588"/>
          </w:tcPr>
          <w:p>
            <w:pPr>
              <w:spacing w:after="0"/>
            </w:pPr>
            <w:r>
              <w:rPr>
                <w:sz w:val="19"/>
              </w:rPr>
              <w:t>–</w:t>
            </w:r>
          </w:p>
        </w:tc>
        <w:tc>
          <w:tcPr>
            <w:tcW w:type="dxa" w:w="2050"/>
          </w:tcPr>
          <w:p>
            <w:pPr>
              <w:spacing w:after="0"/>
            </w:pPr>
            <w:r>
              <w:rPr>
                <w:sz w:val="19"/>
              </w:rPr>
              <w:t>Folgeprojekt FP-2</w:t>
            </w:r>
          </w:p>
        </w:tc>
      </w:tr>
      <w:tr>
        <w:trPr/>
        <w:tc>
          <w:tcPr>
            <w:tcW w:type="dxa" w:w="740"/>
          </w:tcPr>
          <w:p>
            <w:pPr>
              <w:spacing w:after="0"/>
            </w:pPr>
            <w:r>
              <w:rPr>
                <w:sz w:val="19"/>
              </w:rPr>
              <w:t>5.22</w:t>
            </w:r>
          </w:p>
        </w:tc>
        <w:tc>
          <w:tcPr>
            <w:tcW w:type="dxa" w:w="2343"/>
          </w:tcPr>
          <w:p>
            <w:pPr>
              <w:spacing w:after="0"/>
            </w:pPr>
            <w:r>
              <w:rPr>
                <w:sz w:val="19"/>
              </w:rPr>
              <w:t>Rollen mit mehreren Personen üben (I62)</w:t>
            </w:r>
          </w:p>
        </w:tc>
        <w:tc>
          <w:tcPr>
            <w:tcW w:type="dxa" w:w="2690"/>
          </w:tcPr>
          <w:p>
            <w:pPr>
              <w:spacing w:after="0"/>
            </w:pPr>
            <w:r>
              <w:rPr>
                <w:sz w:val="19"/>
              </w:rPr>
              <w:t>–</w:t>
            </w:r>
          </w:p>
        </w:tc>
        <w:tc>
          <w:tcPr>
            <w:tcW w:type="dxa" w:w="1588"/>
          </w:tcPr>
          <w:p>
            <w:pPr>
              <w:spacing w:after="0"/>
            </w:pPr>
            <w:r>
              <w:rPr>
                <w:sz w:val="19"/>
              </w:rPr>
              <w:t>–</w:t>
            </w:r>
          </w:p>
        </w:tc>
        <w:tc>
          <w:tcPr>
            <w:tcW w:type="dxa" w:w="2050"/>
          </w:tcPr>
          <w:p>
            <w:pPr>
              <w:spacing w:after="0"/>
            </w:pPr>
            <w:r>
              <w:rPr>
                <w:sz w:val="19"/>
              </w:rPr>
              <w:t>Folgeprojekt FP-5</w:t>
            </w:r>
          </w:p>
        </w:tc>
      </w:tr>
      <w:tr>
        <w:trPr/>
        <w:tc>
          <w:tcPr>
            <w:tcW w:type="dxa" w:w="740"/>
          </w:tcPr>
          <w:p>
            <w:pPr>
              <w:spacing w:after="0"/>
            </w:pPr>
            <w:r>
              <w:rPr>
                <w:sz w:val="19"/>
              </w:rPr>
              <w:t>5.23</w:t>
            </w:r>
          </w:p>
        </w:tc>
        <w:tc>
          <w:tcPr>
            <w:tcW w:type="dxa" w:w="2343"/>
          </w:tcPr>
          <w:p>
            <w:pPr>
              <w:spacing w:after="0"/>
            </w:pPr>
            <w:r>
              <w:rPr>
                <w:sz w:val="19"/>
              </w:rPr>
              <w:t>Ende-zu-Ende-Test mit neuen Daten (I63)</w:t>
            </w:r>
          </w:p>
        </w:tc>
        <w:tc>
          <w:tcPr>
            <w:tcW w:type="dxa" w:w="2690"/>
          </w:tcPr>
          <w:p>
            <w:pPr>
              <w:spacing w:after="0"/>
            </w:pPr>
            <w:r>
              <w:rPr>
                <w:sz w:val="19"/>
              </w:rPr>
              <w:t>Würzburg als neue Lieferung, Gesamtlauf + Gegenprobe</w:t>
            </w:r>
          </w:p>
        </w:tc>
        <w:tc>
          <w:tcPr>
            <w:tcW w:type="dxa" w:w="1588"/>
          </w:tcPr>
          <w:p>
            <w:pPr>
              <w:spacing w:after="0"/>
            </w:pPr>
            <w:r>
              <w:rPr>
                <w:sz w:val="19"/>
              </w:rPr>
              <w:t>Schritt 34</w:t>
            </w:r>
          </w:p>
        </w:tc>
        <w:tc>
          <w:tcPr>
            <w:tcW w:type="dxa" w:w="2050"/>
          </w:tcPr>
          <w:p>
            <w:pPr>
              <w:spacing w:after="0"/>
            </w:pPr>
            <w:r>
              <w:rPr>
                <w:sz w:val="19"/>
              </w:rPr>
              <w:t>erreicht 02.10.</w:t>
            </w:r>
          </w:p>
        </w:tc>
      </w:tr>
      <w:tr>
        <w:trPr/>
        <w:tc>
          <w:tcPr>
            <w:tcW w:type="dxa" w:w="740"/>
          </w:tcPr>
          <w:p>
            <w:pPr>
              <w:spacing w:after="0"/>
            </w:pPr>
            <w:r>
              <w:rPr>
                <w:sz w:val="19"/>
              </w:rPr>
              <w:t>5.24</w:t>
            </w:r>
          </w:p>
        </w:tc>
        <w:tc>
          <w:tcPr>
            <w:tcW w:type="dxa" w:w="2343"/>
          </w:tcPr>
          <w:p>
            <w:pPr>
              <w:spacing w:after="0"/>
            </w:pPr>
            <w:r>
              <w:rPr>
                <w:sz w:val="19"/>
              </w:rPr>
              <w:t>Zweite Stadt Würzburg (I50–I52)</w:t>
            </w:r>
          </w:p>
        </w:tc>
        <w:tc>
          <w:tcPr>
            <w:tcW w:type="dxa" w:w="2690"/>
          </w:tcPr>
          <w:p>
            <w:pPr>
              <w:spacing w:after="0"/>
            </w:pPr>
            <w:r>
              <w:rPr>
                <w:sz w:val="19"/>
              </w:rPr>
              <w:t>siehe 5.9a</w:t>
            </w:r>
          </w:p>
        </w:tc>
        <w:tc>
          <w:tcPr>
            <w:tcW w:type="dxa" w:w="1588"/>
          </w:tcPr>
          <w:p>
            <w:pPr>
              <w:spacing w:after="0"/>
            </w:pPr>
            <w:r>
              <w:rPr>
                <w:sz w:val="19"/>
              </w:rPr>
              <w:t>Schritt 34</w:t>
            </w:r>
          </w:p>
        </w:tc>
        <w:tc>
          <w:tcPr>
            <w:tcW w:type="dxa" w:w="2050"/>
          </w:tcPr>
          <w:p>
            <w:pPr>
              <w:spacing w:after="0"/>
            </w:pPr>
            <w:r>
              <w:rPr>
                <w:sz w:val="19"/>
              </w:rPr>
              <w:t>erreicht 02.10.</w:t>
            </w:r>
          </w:p>
        </w:tc>
      </w:tr>
    </w:tbl>
    <w:p>
      <w:pPr>
        <w:spacing w:after="0" w:line="20" w:lineRule="exact"/>
      </w:pPr>
    </w:p>
    <w:p>
      <w:pPr>
        <w:pStyle w:val="Heading1"/>
        <w:pageBreakBefore/>
      </w:pPr>
      <w:r>
        <w:t>6. Entscheidungen und Abweichungen (chronologisch)</w:t>
      </w:r>
    </w:p>
    <w:p>
      <w:pPr>
        <w:spacing w:after="0" w:line="20" w:lineRule="exact"/>
      </w:pPr>
    </w:p>
    <w:tbl>
      <w:tblPr>
        <w:tblStyle w:val="TableGrid"/>
        <w:tblW w:type="auto" w:w="0"/>
        <w:jc w:val="center"/>
        <w:tblLayout w:type="fixed"/>
        <w:tblLook w:firstColumn="1" w:firstRow="1" w:lastColumn="0" w:lastRow="0" w:noHBand="0" w:noVBand="1" w:val="04A0"/>
      </w:tblPr>
      <w:tblGrid>
        <w:gridCol w:w="1273"/>
        <w:gridCol w:w="3961"/>
        <w:gridCol w:w="4177"/>
      </w:tblGrid>
      <w:tr>
        <w:trPr>
          <w:tblHeader/>
        </w:trPr>
        <w:tc>
          <w:tcPr>
            <w:tcW w:type="dxa" w:w="1273"/>
            <w:shd w:val="clear" w:color="auto" w:fill="D9E2F3"/>
          </w:tcPr>
          <w:p>
            <w:pPr>
              <w:spacing w:after="0"/>
            </w:pPr>
            <w:r>
              <w:rPr>
                <w:b/>
                <w:sz w:val="19"/>
              </w:rPr>
              <w:t>Datum</w:t>
            </w:r>
          </w:p>
        </w:tc>
        <w:tc>
          <w:tcPr>
            <w:tcW w:type="dxa" w:w="3961"/>
            <w:shd w:val="clear" w:color="auto" w:fill="D9E2F3"/>
          </w:tcPr>
          <w:p>
            <w:pPr>
              <w:spacing w:after="0"/>
            </w:pPr>
            <w:r>
              <w:rPr>
                <w:b/>
                <w:sz w:val="19"/>
              </w:rPr>
              <w:t>Entscheidung</w:t>
            </w:r>
          </w:p>
        </w:tc>
        <w:tc>
          <w:tcPr>
            <w:tcW w:type="dxa" w:w="4177"/>
            <w:shd w:val="clear" w:color="auto" w:fill="D9E2F3"/>
          </w:tcPr>
          <w:p>
            <w:pPr>
              <w:spacing w:after="0"/>
            </w:pPr>
            <w:r>
              <w:rPr>
                <w:b/>
                <w:sz w:val="19"/>
              </w:rPr>
              <w:t>Begründung</w:t>
            </w:r>
          </w:p>
        </w:tc>
      </w:tr>
      <w:tr>
        <w:trPr/>
        <w:tc>
          <w:tcPr>
            <w:tcW w:type="dxa" w:w="1273"/>
          </w:tcPr>
          <w:p>
            <w:pPr>
              <w:spacing w:after="0"/>
            </w:pPr>
            <w:r>
              <w:rPr>
                <w:sz w:val="19"/>
              </w:rPr>
              <w:t>24.09.2026</w:t>
            </w:r>
          </w:p>
        </w:tc>
        <w:tc>
          <w:tcPr>
            <w:tcW w:type="dxa" w:w="3961"/>
          </w:tcPr>
          <w:p>
            <w:pPr>
              <w:spacing w:after="0"/>
            </w:pPr>
            <w:r>
              <w:rPr>
                <w:sz w:val="19"/>
              </w:rPr>
              <w:t>Zugriff der Data Factory über verwaltete Identität, Rechte je Speicherkonto einzeln</w:t>
            </w:r>
          </w:p>
        </w:tc>
        <w:tc>
          <w:tcPr>
            <w:tcW w:type="dxa" w:w="4177"/>
          </w:tcPr>
          <w:p>
            <w:pPr>
              <w:spacing w:after="0"/>
            </w:pPr>
            <w:r>
              <w:rPr>
                <w:sz w:val="19"/>
              </w:rPr>
              <w:t>minimale Rechte, keine Schlüssel im Code</w:t>
            </w:r>
          </w:p>
        </w:tc>
      </w:tr>
      <w:tr>
        <w:trPr/>
        <w:tc>
          <w:tcPr>
            <w:tcW w:type="dxa" w:w="1273"/>
          </w:tcPr>
          <w:p>
            <w:pPr>
              <w:spacing w:after="0"/>
            </w:pPr>
            <w:r>
              <w:rPr>
                <w:sz w:val="19"/>
              </w:rPr>
              <w:t>24.09.2026</w:t>
            </w:r>
          </w:p>
        </w:tc>
        <w:tc>
          <w:tcPr>
            <w:tcW w:type="dxa" w:w="3961"/>
          </w:tcPr>
          <w:p>
            <w:pPr>
              <w:spacing w:after="0"/>
            </w:pPr>
            <w:r>
              <w:rPr>
                <w:sz w:val="19"/>
              </w:rPr>
              <w:t>Archiv mit Zeitstempel in UTC (</w:t>
            </w:r>
            <w:r>
              <w:rPr>
                <w:rFonts w:ascii="Courier New" w:hAnsi="Courier New"/>
                <w:sz w:val="17"/>
              </w:rPr>
              <w:t>HHmmss</w:t>
            </w:r>
            <w:r>
              <w:rPr>
                <w:sz w:val="19"/>
              </w:rPr>
              <w:t>, 24 Stunden)</w:t>
            </w:r>
          </w:p>
        </w:tc>
        <w:tc>
          <w:tcPr>
            <w:tcW w:type="dxa" w:w="4177"/>
          </w:tcPr>
          <w:p>
            <w:pPr>
              <w:spacing w:after="0"/>
            </w:pPr>
            <w:r>
              <w:rPr>
                <w:sz w:val="19"/>
              </w:rPr>
              <w:t>keine Doppelungen durch die Zeitumstellung</w:t>
            </w:r>
          </w:p>
        </w:tc>
      </w:tr>
      <w:tr>
        <w:trPr/>
        <w:tc>
          <w:tcPr>
            <w:tcW w:type="dxa" w:w="1273"/>
          </w:tcPr>
          <w:p>
            <w:pPr>
              <w:spacing w:after="0"/>
            </w:pPr>
            <w:r>
              <w:rPr>
                <w:sz w:val="19"/>
              </w:rPr>
              <w:t>25.09.2026</w:t>
            </w:r>
          </w:p>
        </w:tc>
        <w:tc>
          <w:tcPr>
            <w:tcW w:type="dxa" w:w="3961"/>
          </w:tcPr>
          <w:p>
            <w:pPr>
              <w:spacing w:after="0"/>
            </w:pPr>
            <w:r>
              <w:rPr>
                <w:sz w:val="19"/>
              </w:rPr>
              <w:t>Markieren statt löschen</w:t>
            </w:r>
          </w:p>
        </w:tc>
        <w:tc>
          <w:tcPr>
            <w:tcW w:type="dxa" w:w="4177"/>
          </w:tcPr>
          <w:p>
            <w:pPr>
              <w:spacing w:after="0"/>
            </w:pPr>
            <w:r>
              <w:rPr>
                <w:sz w:val="19"/>
              </w:rPr>
              <w:t>Nachvollziehbarkeit; Regeln später änderbar ohne neue Rohdaten</w:t>
            </w:r>
          </w:p>
        </w:tc>
      </w:tr>
      <w:tr>
        <w:trPr/>
        <w:tc>
          <w:tcPr>
            <w:tcW w:type="dxa" w:w="1273"/>
          </w:tcPr>
          <w:p>
            <w:pPr>
              <w:spacing w:after="0"/>
            </w:pPr>
            <w:r>
              <w:rPr>
                <w:sz w:val="19"/>
              </w:rPr>
              <w:t>25.09.2026</w:t>
            </w:r>
          </w:p>
        </w:tc>
        <w:tc>
          <w:tcPr>
            <w:tcW w:type="dxa" w:w="3961"/>
          </w:tcPr>
          <w:p>
            <w:pPr>
              <w:spacing w:after="0"/>
            </w:pPr>
            <w:r>
              <w:rPr>
                <w:sz w:val="19"/>
              </w:rPr>
              <w:t>N1: erst Datentypen/UTC, dann Duplikate (abweichend von der vorgegebenen Reihenfolge)</w:t>
            </w:r>
          </w:p>
        </w:tc>
        <w:tc>
          <w:tcPr>
            <w:tcW w:type="dxa" w:w="4177"/>
          </w:tcPr>
          <w:p>
            <w:pPr>
              <w:spacing w:after="0"/>
            </w:pPr>
            <w:r>
              <w:rPr>
                <w:sz w:val="19"/>
              </w:rPr>
              <w:t>doppelte Zeitstempel lassen sich erst nach der UTC-Umrechnung beurteilen (E1)</w:t>
            </w:r>
          </w:p>
        </w:tc>
      </w:tr>
      <w:tr>
        <w:trPr/>
        <w:tc>
          <w:tcPr>
            <w:tcW w:type="dxa" w:w="1273"/>
          </w:tcPr>
          <w:p>
            <w:pPr>
              <w:spacing w:after="0"/>
            </w:pPr>
            <w:r>
              <w:rPr>
                <w:sz w:val="19"/>
              </w:rPr>
              <w:t>25.09.2026</w:t>
            </w:r>
          </w:p>
        </w:tc>
        <w:tc>
          <w:tcPr>
            <w:tcW w:type="dxa" w:w="3961"/>
          </w:tcPr>
          <w:p>
            <w:pPr>
              <w:spacing w:after="0"/>
            </w:pPr>
            <w:r>
              <w:rPr>
                <w:rFonts w:ascii="Courier New" w:hAnsi="Courier New"/>
                <w:sz w:val="17"/>
              </w:rPr>
              <w:t>processing</w:t>
            </w:r>
            <w:r>
              <w:rPr>
                <w:sz w:val="19"/>
              </w:rPr>
              <w:t xml:space="preserve"> ohne, </w:t>
            </w:r>
            <w:r>
              <w:rPr>
                <w:rFonts w:ascii="Courier New" w:hAnsi="Courier New"/>
                <w:sz w:val="17"/>
              </w:rPr>
              <w:t>cleaned</w:t>
            </w:r>
            <w:r>
              <w:rPr>
                <w:sz w:val="19"/>
              </w:rPr>
              <w:t xml:space="preserve"> mit UTC-Zeitstempel; Ordner je Stadt und Sensor</w:t>
            </w:r>
          </w:p>
        </w:tc>
        <w:tc>
          <w:tcPr>
            <w:tcW w:type="dxa" w:w="4177"/>
          </w:tcPr>
          <w:p>
            <w:pPr>
              <w:spacing w:after="0"/>
            </w:pPr>
            <w:r>
              <w:rPr>
                <w:sz w:val="19"/>
              </w:rPr>
              <w:t>Arbeitskopie vs. Versionen für den Rückgriff; weitere Standorte möglich</w:t>
            </w:r>
          </w:p>
        </w:tc>
      </w:tr>
      <w:tr>
        <w:trPr/>
        <w:tc>
          <w:tcPr>
            <w:tcW w:type="dxa" w:w="1273"/>
          </w:tcPr>
          <w:p>
            <w:pPr>
              <w:spacing w:after="0"/>
            </w:pPr>
            <w:r>
              <w:rPr>
                <w:sz w:val="19"/>
              </w:rPr>
              <w:t>25.09.2026</w:t>
            </w:r>
          </w:p>
        </w:tc>
        <w:tc>
          <w:tcPr>
            <w:tcW w:type="dxa" w:w="3961"/>
          </w:tcPr>
          <w:p>
            <w:pPr>
              <w:spacing w:after="0"/>
            </w:pPr>
            <w:r>
              <w:rPr>
                <w:sz w:val="19"/>
              </w:rPr>
              <w:t>Master-Pipeline erst nach der Bereinigung</w:t>
            </w:r>
          </w:p>
        </w:tc>
        <w:tc>
          <w:tcPr>
            <w:tcW w:type="dxa" w:w="4177"/>
          </w:tcPr>
          <w:p>
            <w:pPr>
              <w:spacing w:after="0"/>
            </w:pPr>
            <w:r>
              <w:rPr>
                <w:sz w:val="19"/>
              </w:rPr>
              <w:t>Notebooks liefen zu diesem Zeitpunkt nur lokal</w:t>
            </w:r>
          </w:p>
        </w:tc>
      </w:tr>
      <w:tr>
        <w:trPr/>
        <w:tc>
          <w:tcPr>
            <w:tcW w:type="dxa" w:w="1273"/>
          </w:tcPr>
          <w:p>
            <w:pPr>
              <w:spacing w:after="0"/>
            </w:pPr>
            <w:r>
              <w:rPr>
                <w:sz w:val="19"/>
              </w:rPr>
              <w:t>28.09.2026</w:t>
            </w:r>
          </w:p>
        </w:tc>
        <w:tc>
          <w:tcPr>
            <w:tcW w:type="dxa" w:w="3961"/>
          </w:tcPr>
          <w:p>
            <w:pPr>
              <w:spacing w:after="0"/>
            </w:pPr>
            <w:r>
              <w:rPr>
                <w:sz w:val="19"/>
              </w:rPr>
              <w:t>Wetter vor Analyse: N3 = Wetter, N4 = Analyse; Nummer = Ausführungsreihenfolge</w:t>
            </w:r>
          </w:p>
        </w:tc>
        <w:tc>
          <w:tcPr>
            <w:tcW w:type="dxa" w:w="4177"/>
          </w:tcPr>
          <w:p>
            <w:pPr>
              <w:spacing w:after="0"/>
            </w:pPr>
            <w:r>
              <w:rPr>
                <w:sz w:val="19"/>
              </w:rPr>
              <w:t>Analyse braucht Außentemperatur und Sonnenzeiten</w:t>
            </w:r>
          </w:p>
        </w:tc>
      </w:tr>
      <w:tr>
        <w:trPr/>
        <w:tc>
          <w:tcPr>
            <w:tcW w:type="dxa" w:w="1273"/>
          </w:tcPr>
          <w:p>
            <w:pPr>
              <w:spacing w:after="0"/>
            </w:pPr>
            <w:r>
              <w:rPr>
                <w:sz w:val="19"/>
              </w:rPr>
              <w:t>28.09.2026</w:t>
            </w:r>
          </w:p>
        </w:tc>
        <w:tc>
          <w:tcPr>
            <w:tcW w:type="dxa" w:w="3961"/>
          </w:tcPr>
          <w:p>
            <w:pPr>
              <w:spacing w:after="0"/>
            </w:pPr>
            <w:r>
              <w:rPr>
                <w:sz w:val="19"/>
              </w:rPr>
              <w:t>Lücken nicht in Silver füllen (P6 = c); robuster z-Score nur markieren (R9); Mindestabweichung D2 = 1 °C</w:t>
            </w:r>
          </w:p>
        </w:tc>
        <w:tc>
          <w:tcPr>
            <w:tcW w:type="dxa" w:w="4177"/>
          </w:tcPr>
          <w:p>
            <w:pPr>
              <w:spacing w:after="0"/>
            </w:pPr>
            <w:r>
              <w:rPr>
                <w:sz w:val="19"/>
              </w:rPr>
              <w:t>erst visualisieren, dann entscheiden; Methode nachts zu streng</w:t>
            </w:r>
          </w:p>
        </w:tc>
      </w:tr>
      <w:tr>
        <w:trPr/>
        <w:tc>
          <w:tcPr>
            <w:tcW w:type="dxa" w:w="1273"/>
          </w:tcPr>
          <w:p>
            <w:pPr>
              <w:spacing w:after="0"/>
            </w:pPr>
            <w:r>
              <w:rPr>
                <w:sz w:val="19"/>
              </w:rPr>
              <w:t>28.09.2026</w:t>
            </w:r>
          </w:p>
        </w:tc>
        <w:tc>
          <w:tcPr>
            <w:tcW w:type="dxa" w:w="3961"/>
          </w:tcPr>
          <w:p>
            <w:pPr>
              <w:spacing w:after="0"/>
            </w:pPr>
            <w:r>
              <w:rPr>
                <w:sz w:val="19"/>
              </w:rPr>
              <w:t>Notebooks für Azure lokal vorbereiten, Azure-Lauf erst nach Kostenfreigabe</w:t>
            </w:r>
          </w:p>
        </w:tc>
        <w:tc>
          <w:tcPr>
            <w:tcW w:type="dxa" w:w="4177"/>
          </w:tcPr>
          <w:p>
            <w:pPr>
              <w:spacing w:after="0"/>
            </w:pPr>
            <w:r>
              <w:rPr>
                <w:sz w:val="19"/>
              </w:rPr>
              <w:t>Kostenkontrolle</w:t>
            </w:r>
          </w:p>
        </w:tc>
      </w:tr>
      <w:tr>
        <w:trPr/>
        <w:tc>
          <w:tcPr>
            <w:tcW w:type="dxa" w:w="1273"/>
          </w:tcPr>
          <w:p>
            <w:pPr>
              <w:spacing w:after="0"/>
            </w:pPr>
            <w:r>
              <w:rPr>
                <w:sz w:val="19"/>
              </w:rPr>
              <w:t>29.09.2026</w:t>
            </w:r>
          </w:p>
        </w:tc>
        <w:tc>
          <w:tcPr>
            <w:tcW w:type="dxa" w:w="3961"/>
          </w:tcPr>
          <w:p>
            <w:pPr>
              <w:spacing w:after="0"/>
            </w:pPr>
            <w:r>
              <w:rPr>
                <w:sz w:val="19"/>
              </w:rPr>
              <w:t>Pipeline Weg A: Bronze, Silver, Gold getrennt; Notebooks einzeln; sprechende Aktivitätsnamen; Archiv zuletzt</w:t>
            </w:r>
          </w:p>
        </w:tc>
        <w:tc>
          <w:tcPr>
            <w:tcW w:type="dxa" w:w="4177"/>
          </w:tcPr>
          <w:p>
            <w:pPr>
              <w:spacing w:after="0"/>
            </w:pPr>
            <w:r>
              <w:rPr>
                <w:sz w:val="19"/>
              </w:rPr>
              <w:t xml:space="preserve">jeder Schritt im Monitor sichtbar, Neustart ab Fehler; bei Fehler bleiben die Daten in </w:t>
            </w:r>
            <w:r>
              <w:rPr>
                <w:rFonts w:ascii="Courier New" w:hAnsi="Courier New"/>
                <w:sz w:val="17"/>
              </w:rPr>
              <w:t>bronze/new</w:t>
            </w:r>
          </w:p>
        </w:tc>
      </w:tr>
      <w:tr>
        <w:trPr/>
        <w:tc>
          <w:tcPr>
            <w:tcW w:type="dxa" w:w="1273"/>
          </w:tcPr>
          <w:p>
            <w:pPr>
              <w:spacing w:after="0"/>
            </w:pPr>
            <w:r>
              <w:rPr>
                <w:sz w:val="19"/>
              </w:rPr>
              <w:t>29.09.2026</w:t>
            </w:r>
          </w:p>
        </w:tc>
        <w:tc>
          <w:tcPr>
            <w:tcW w:type="dxa" w:w="3961"/>
          </w:tcPr>
          <w:p>
            <w:pPr>
              <w:spacing w:after="0"/>
            </w:pPr>
            <w:r>
              <w:rPr>
                <w:sz w:val="19"/>
              </w:rPr>
              <w:t xml:space="preserve">Mehrere Standorte über Parameter </w:t>
            </w:r>
            <w:r>
              <w:rPr>
                <w:rFonts w:ascii="Courier New" w:hAnsi="Courier New"/>
                <w:sz w:val="17"/>
              </w:rPr>
              <w:t>STADT</w:t>
            </w:r>
            <w:r>
              <w:rPr>
                <w:sz w:val="19"/>
              </w:rPr>
              <w:t xml:space="preserve"> und Standort-Tabelle</w:t>
            </w:r>
          </w:p>
        </w:tc>
        <w:tc>
          <w:tcPr>
            <w:tcW w:type="dxa" w:w="4177"/>
          </w:tcPr>
          <w:p>
            <w:pPr>
              <w:spacing w:after="0"/>
            </w:pPr>
            <w:r>
              <w:rPr>
                <w:sz w:val="19"/>
              </w:rPr>
              <w:t>feste Koordinaten hätten einer neuen Stadt falsches Wetter zugeordnet</w:t>
            </w:r>
          </w:p>
        </w:tc>
      </w:tr>
      <w:tr>
        <w:trPr/>
        <w:tc>
          <w:tcPr>
            <w:tcW w:type="dxa" w:w="1273"/>
          </w:tcPr>
          <w:p>
            <w:pPr>
              <w:spacing w:after="0"/>
            </w:pPr>
            <w:r>
              <w:rPr>
                <w:sz w:val="19"/>
              </w:rPr>
              <w:t>29.09.2026</w:t>
            </w:r>
          </w:p>
        </w:tc>
        <w:tc>
          <w:tcPr>
            <w:tcW w:type="dxa" w:w="3961"/>
          </w:tcPr>
          <w:p>
            <w:pPr>
              <w:spacing w:after="0"/>
            </w:pPr>
            <w:r>
              <w:rPr>
                <w:sz w:val="19"/>
              </w:rPr>
              <w:t>Analysen zusätzlich unter gleichen Bedingungen; Erwartungen mit Quelle</w:t>
            </w:r>
          </w:p>
        </w:tc>
        <w:tc>
          <w:tcPr>
            <w:tcW w:type="dxa" w:w="4177"/>
          </w:tcPr>
          <w:p>
            <w:pPr>
              <w:spacing w:after="0"/>
            </w:pPr>
            <w:r>
              <w:rPr>
                <w:sz w:val="19"/>
              </w:rPr>
              <w:t>Scheineffekte durch Jahres- und Tageszeit vermeiden</w:t>
            </w:r>
          </w:p>
        </w:tc>
      </w:tr>
      <w:tr>
        <w:trPr/>
        <w:tc>
          <w:tcPr>
            <w:tcW w:type="dxa" w:w="1273"/>
          </w:tcPr>
          <w:p>
            <w:pPr>
              <w:spacing w:after="0"/>
            </w:pPr>
            <w:r>
              <w:rPr>
                <w:sz w:val="19"/>
              </w:rPr>
              <w:t>29.09.2026</w:t>
            </w:r>
          </w:p>
        </w:tc>
        <w:tc>
          <w:tcPr>
            <w:tcW w:type="dxa" w:w="3961"/>
          </w:tcPr>
          <w:p>
            <w:pPr>
              <w:spacing w:after="0"/>
            </w:pPr>
            <w:r>
              <w:rPr>
                <w:sz w:val="19"/>
              </w:rPr>
              <w:t>Archiv in jedem Ordner, ältere Versionen automatisch archiviert</w:t>
            </w:r>
          </w:p>
        </w:tc>
        <w:tc>
          <w:tcPr>
            <w:tcW w:type="dxa" w:w="4177"/>
          </w:tcPr>
          <w:p>
            <w:pPr>
              <w:spacing w:after="0"/>
            </w:pPr>
            <w:r>
              <w:rPr>
                <w:sz w:val="19"/>
              </w:rPr>
              <w:t>alte Version liegt direkt neben der aktuellen</w:t>
            </w:r>
          </w:p>
        </w:tc>
      </w:tr>
      <w:tr>
        <w:trPr/>
        <w:tc>
          <w:tcPr>
            <w:tcW w:type="dxa" w:w="1273"/>
          </w:tcPr>
          <w:p>
            <w:pPr>
              <w:spacing w:after="0"/>
            </w:pPr>
            <w:r>
              <w:rPr>
                <w:sz w:val="19"/>
              </w:rPr>
              <w:t>29.09.2026</w:t>
            </w:r>
          </w:p>
        </w:tc>
        <w:tc>
          <w:tcPr>
            <w:tcW w:type="dxa" w:w="3961"/>
          </w:tcPr>
          <w:p>
            <w:pPr>
              <w:spacing w:after="0"/>
            </w:pPr>
            <w:r>
              <w:rPr>
                <w:sz w:val="19"/>
              </w:rPr>
              <w:t xml:space="preserve">Abweichung dokumentiert: </w:t>
            </w:r>
            <w:r>
              <w:rPr>
                <w:rFonts w:ascii="Courier New" w:hAnsi="Courier New"/>
                <w:sz w:val="17"/>
              </w:rPr>
              <w:t>silver/processing</w:t>
            </w:r>
            <w:r>
              <w:rPr>
                <w:sz w:val="19"/>
              </w:rPr>
              <w:t xml:space="preserve"> enthält unbereinigte Arbeitskopien (Vorgabe); nach Medallion-Definition gehören sie nach Bronze – Empfehlung für den Betrieb (FP-1)</w:t>
            </w:r>
          </w:p>
        </w:tc>
        <w:tc>
          <w:tcPr>
            <w:tcW w:type="dxa" w:w="4177"/>
          </w:tcPr>
          <w:p>
            <w:pPr>
              <w:spacing w:after="0"/>
            </w:pPr>
            <w:r>
              <w:rPr>
                <w:sz w:val="19"/>
              </w:rPr>
              <w:t>Schulprojekt bleibt vorgabekonform, Optimierung für den Betrieb sichtbar</w:t>
            </w:r>
          </w:p>
        </w:tc>
      </w:tr>
      <w:tr>
        <w:trPr/>
        <w:tc>
          <w:tcPr>
            <w:tcW w:type="dxa" w:w="1273"/>
          </w:tcPr>
          <w:p>
            <w:pPr>
              <w:spacing w:after="0"/>
            </w:pPr>
            <w:r>
              <w:rPr>
                <w:sz w:val="19"/>
              </w:rPr>
              <w:t>30.09.2026</w:t>
            </w:r>
          </w:p>
        </w:tc>
        <w:tc>
          <w:tcPr>
            <w:tcW w:type="dxa" w:w="3961"/>
          </w:tcPr>
          <w:p>
            <w:pPr>
              <w:spacing w:after="0"/>
            </w:pPr>
            <w:r>
              <w:rPr>
                <w:sz w:val="19"/>
              </w:rPr>
              <w:t xml:space="preserve">Word-Dokument als Hauptdokument, Markdown-Quelle in </w:t>
            </w:r>
            <w:r>
              <w:rPr>
                <w:rFonts w:ascii="Courier New" w:hAnsi="Courier New"/>
                <w:sz w:val="17"/>
              </w:rPr>
              <w:t>_md/</w:t>
            </w:r>
          </w:p>
        </w:tc>
        <w:tc>
          <w:tcPr>
            <w:tcW w:type="dxa" w:w="4177"/>
          </w:tcPr>
          <w:p>
            <w:pPr>
              <w:spacing w:after="0"/>
            </w:pPr>
            <w:r>
              <w:rPr>
                <w:sz w:val="19"/>
              </w:rPr>
              <w:t>lesbar für Stakeholder und Arbeitgeber; Änderungen in Git nachvollziehbar</w:t>
            </w:r>
          </w:p>
        </w:tc>
      </w:tr>
      <w:tr>
        <w:trPr/>
        <w:tc>
          <w:tcPr>
            <w:tcW w:type="dxa" w:w="1273"/>
          </w:tcPr>
          <w:p>
            <w:pPr>
              <w:spacing w:after="0"/>
            </w:pPr>
            <w:r>
              <w:rPr>
                <w:sz w:val="19"/>
              </w:rPr>
              <w:t>30.09.2026</w:t>
            </w:r>
          </w:p>
        </w:tc>
        <w:tc>
          <w:tcPr>
            <w:tcW w:type="dxa" w:w="3961"/>
          </w:tcPr>
          <w:p>
            <w:pPr>
              <w:spacing w:after="0"/>
            </w:pPr>
            <w:r>
              <w:rPr>
                <w:sz w:val="19"/>
              </w:rPr>
              <w:t xml:space="preserve">Projekt-Protokolle nach </w:t>
            </w:r>
            <w:r>
              <w:rPr>
                <w:rFonts w:ascii="Courier New" w:hAnsi="Courier New"/>
                <w:sz w:val="17"/>
              </w:rPr>
              <w:t>07_prozesse_QM/Protokolle/</w:t>
            </w:r>
            <w:r>
              <w:rPr>
                <w:sz w:val="19"/>
              </w:rPr>
              <w:t xml:space="preserve"> – </w:t>
            </w:r>
            <w:r>
              <w:rPr>
                <w:b/>
                <w:sz w:val="19"/>
              </w:rPr>
              <w:t>aufgehoben 05.10.2026</w:t>
            </w:r>
            <w:r>
              <w:rPr>
                <w:sz w:val="19"/>
              </w:rPr>
              <w:t xml:space="preserve">: bleiben in </w:t>
            </w:r>
            <w:r>
              <w:rPr>
                <w:rFonts w:ascii="Courier New" w:hAnsi="Courier New"/>
                <w:sz w:val="17"/>
              </w:rPr>
              <w:t>01_projektmanagement/Protokolle/</w:t>
            </w:r>
            <w:r>
              <w:rPr>
                <w:sz w:val="19"/>
              </w:rPr>
              <w:t xml:space="preserve"> (ST-QM-001)</w:t>
            </w:r>
          </w:p>
        </w:tc>
        <w:tc>
          <w:tcPr>
            <w:tcW w:type="dxa" w:w="4177"/>
          </w:tcPr>
          <w:p>
            <w:pPr>
              <w:spacing w:after="0"/>
            </w:pPr>
            <w:r>
              <w:rPr>
                <w:sz w:val="19"/>
              </w:rPr>
              <w:t>einheitlich in allen Projekten</w:t>
            </w:r>
          </w:p>
        </w:tc>
      </w:tr>
      <w:tr>
        <w:trPr/>
        <w:tc>
          <w:tcPr>
            <w:tcW w:type="dxa" w:w="1273"/>
          </w:tcPr>
          <w:p>
            <w:pPr>
              <w:spacing w:after="0"/>
            </w:pPr>
            <w:r>
              <w:rPr>
                <w:sz w:val="19"/>
              </w:rPr>
              <w:t>30.09.2026</w:t>
            </w:r>
          </w:p>
        </w:tc>
        <w:tc>
          <w:tcPr>
            <w:tcW w:type="dxa" w:w="3961"/>
          </w:tcPr>
          <w:p>
            <w:pPr>
              <w:spacing w:after="0"/>
            </w:pPr>
            <w:r>
              <w:rPr>
                <w:sz w:val="19"/>
              </w:rPr>
              <w:t>Befund E5: ganzer Zeitraum 28.04.–02.07.2018 ungültig (R5a), Grenze R5 bleibt 20 kg</w:t>
            </w:r>
          </w:p>
        </w:tc>
        <w:tc>
          <w:tcPr>
            <w:tcW w:type="dxa" w:w="4177"/>
          </w:tcPr>
          <w:p>
            <w:pPr>
              <w:spacing w:after="0"/>
            </w:pPr>
            <w:r>
              <w:rPr>
                <w:sz w:val="19"/>
              </w:rPr>
              <w:t>Stock nicht (vollständig) auf der Waage; Anheben träfe echte leichte Stöcke</w:t>
            </w:r>
          </w:p>
        </w:tc>
      </w:tr>
      <w:tr>
        <w:trPr/>
        <w:tc>
          <w:tcPr>
            <w:tcW w:type="dxa" w:w="1273"/>
          </w:tcPr>
          <w:p>
            <w:pPr>
              <w:spacing w:after="0"/>
            </w:pPr>
            <w:r>
              <w:rPr>
                <w:sz w:val="19"/>
              </w:rPr>
              <w:t>30.09.2026</w:t>
            </w:r>
          </w:p>
        </w:tc>
        <w:tc>
          <w:tcPr>
            <w:tcW w:type="dxa" w:w="3961"/>
          </w:tcPr>
          <w:p>
            <w:pPr>
              <w:spacing w:after="0"/>
            </w:pPr>
            <w:r>
              <w:rPr>
                <w:sz w:val="19"/>
              </w:rPr>
              <w:t>Pflichtenheft als Schritt-Karten; offene Schritte stehen im Projektplan und als vorbereitete Karten im Pflichtenheft</w:t>
            </w:r>
          </w:p>
        </w:tc>
        <w:tc>
          <w:tcPr>
            <w:tcW w:type="dxa" w:w="4177"/>
          </w:tcPr>
          <w:p>
            <w:pPr>
              <w:spacing w:after="0"/>
            </w:pPr>
            <w:r>
              <w:rPr>
                <w:sz w:val="19"/>
              </w:rPr>
              <w:t>ganzes Projekt nachvollziehbar, roter Faden mit Alternativen</w:t>
            </w:r>
          </w:p>
        </w:tc>
      </w:tr>
      <w:tr>
        <w:trPr/>
        <w:tc>
          <w:tcPr>
            <w:tcW w:type="dxa" w:w="1273"/>
          </w:tcPr>
          <w:p>
            <w:pPr>
              <w:spacing w:after="0"/>
            </w:pPr>
            <w:r>
              <w:rPr>
                <w:sz w:val="19"/>
              </w:rPr>
              <w:t>30.09.2026</w:t>
            </w:r>
          </w:p>
        </w:tc>
        <w:tc>
          <w:tcPr>
            <w:tcW w:type="dxa" w:w="3961"/>
          </w:tcPr>
          <w:p>
            <w:pPr>
              <w:spacing w:after="0"/>
            </w:pPr>
            <w:r>
              <w:rPr>
                <w:sz w:val="19"/>
              </w:rPr>
              <w:t>Grafiken in Dokumenten verlinken statt einbetten</w:t>
            </w:r>
          </w:p>
        </w:tc>
        <w:tc>
          <w:tcPr>
            <w:tcW w:type="dxa" w:w="4177"/>
          </w:tcPr>
          <w:p>
            <w:pPr>
              <w:spacing w:after="0"/>
            </w:pPr>
            <w:r>
              <w:rPr>
                <w:sz w:val="19"/>
              </w:rPr>
              <w:t>Dateien klein, Links funktionieren auf GitHub</w:t>
            </w:r>
          </w:p>
        </w:tc>
      </w:tr>
      <w:tr>
        <w:trPr/>
        <w:tc>
          <w:tcPr>
            <w:tcW w:type="dxa" w:w="1273"/>
          </w:tcPr>
          <w:p>
            <w:pPr>
              <w:spacing w:after="0"/>
            </w:pPr>
            <w:r>
              <w:rPr>
                <w:sz w:val="19"/>
              </w:rPr>
              <w:t>30.09.2026</w:t>
            </w:r>
          </w:p>
        </w:tc>
        <w:tc>
          <w:tcPr>
            <w:tcW w:type="dxa" w:w="3961"/>
          </w:tcPr>
          <w:p>
            <w:pPr>
              <w:spacing w:after="0"/>
            </w:pPr>
            <w:r>
              <w:rPr>
                <w:sz w:val="19"/>
              </w:rPr>
              <w:t>Befehlsmatrizen zentral in der Projektvorlage, im Projekt nur Anhang zur Anleitung</w:t>
            </w:r>
          </w:p>
        </w:tc>
        <w:tc>
          <w:tcPr>
            <w:tcW w:type="dxa" w:w="4177"/>
          </w:tcPr>
          <w:p>
            <w:pPr>
              <w:spacing w:after="0"/>
            </w:pPr>
            <w:r>
              <w:rPr>
                <w:sz w:val="19"/>
              </w:rPr>
              <w:t>Pflege an einer Stelle</w:t>
            </w:r>
          </w:p>
        </w:tc>
      </w:tr>
      <w:tr>
        <w:trPr/>
        <w:tc>
          <w:tcPr>
            <w:tcW w:type="dxa" w:w="1273"/>
          </w:tcPr>
          <w:p>
            <w:pPr>
              <w:spacing w:after="0"/>
            </w:pPr>
            <w:r>
              <w:rPr>
                <w:sz w:val="19"/>
              </w:rPr>
              <w:t>30.09.2026</w:t>
            </w:r>
          </w:p>
        </w:tc>
        <w:tc>
          <w:tcPr>
            <w:tcW w:type="dxa" w:w="3961"/>
          </w:tcPr>
          <w:p>
            <w:pPr>
              <w:spacing w:after="0"/>
            </w:pPr>
            <w:r>
              <w:rPr>
                <w:b/>
                <w:sz w:val="19"/>
              </w:rPr>
              <w:t>Änderung von Weg A:</w:t>
            </w:r>
            <w:r>
              <w:rPr>
                <w:sz w:val="19"/>
              </w:rPr>
              <w:t xml:space="preserve"> Notebooks nicht mehr je eine Aktivität, sondern Steuer-Notebook in einer Spark-Sitzung (K6 c); N4 Gold neu, Analyse → N5</w:t>
            </w:r>
          </w:p>
        </w:tc>
        <w:tc>
          <w:tcPr>
            <w:tcW w:type="dxa" w:w="4177"/>
          </w:tcPr>
          <w:p>
            <w:pPr>
              <w:spacing w:after="0"/>
            </w:pPr>
            <w:r>
              <w:rPr>
                <w:sz w:val="19"/>
              </w:rPr>
              <w:t>Hinweis Kursleitung (Notebook 04 = Automatisierung); eine Sitzung statt vier spart Startzeit und Kosten, Notebooks bleiben einzeln übersichtlich</w:t>
            </w:r>
          </w:p>
        </w:tc>
      </w:tr>
      <w:tr>
        <w:trPr/>
        <w:tc>
          <w:tcPr>
            <w:tcW w:type="dxa" w:w="1273"/>
          </w:tcPr>
          <w:p>
            <w:pPr>
              <w:spacing w:after="0"/>
            </w:pPr>
            <w:r>
              <w:rPr>
                <w:sz w:val="19"/>
              </w:rPr>
              <w:t>30.09.2026</w:t>
            </w:r>
          </w:p>
        </w:tc>
        <w:tc>
          <w:tcPr>
            <w:tcW w:type="dxa" w:w="3961"/>
          </w:tcPr>
          <w:p>
            <w:pPr>
              <w:spacing w:after="0"/>
            </w:pPr>
            <w:r>
              <w:rPr>
                <w:sz w:val="19"/>
              </w:rPr>
              <w:t xml:space="preserve">Lücken erst in Gold auffüllen (kurz, gleichmäßige Sensoren, Kennzeichen </w:t>
            </w:r>
            <w:r>
              <w:rPr>
                <w:rFonts w:ascii="Courier New" w:hAnsi="Courier New"/>
                <w:sz w:val="17"/>
              </w:rPr>
              <w:t>aufgefuellt</w:t>
            </w:r>
            <w:r>
              <w:rPr>
                <w:sz w:val="19"/>
              </w:rPr>
              <w:t>; flow nie) – ändert P6 = c für Gold</w:t>
            </w:r>
          </w:p>
        </w:tc>
        <w:tc>
          <w:tcPr>
            <w:tcW w:type="dxa" w:w="4177"/>
          </w:tcPr>
          <w:p>
            <w:pPr>
              <w:spacing w:after="0"/>
            </w:pPr>
            <w:r>
              <w:rPr>
                <w:sz w:val="19"/>
              </w:rPr>
              <w:t>Silver bleibt Messung; Analyse/ML brauchen lückenlose Daten</w:t>
            </w:r>
          </w:p>
        </w:tc>
      </w:tr>
      <w:tr>
        <w:trPr/>
        <w:tc>
          <w:tcPr>
            <w:tcW w:type="dxa" w:w="1273"/>
          </w:tcPr>
          <w:p>
            <w:pPr>
              <w:spacing w:after="0"/>
            </w:pPr>
            <w:r>
              <w:rPr>
                <w:sz w:val="19"/>
              </w:rPr>
              <w:t>30.09.2026</w:t>
            </w:r>
          </w:p>
        </w:tc>
        <w:tc>
          <w:tcPr>
            <w:tcW w:type="dxa" w:w="3961"/>
          </w:tcPr>
          <w:p>
            <w:pPr>
              <w:spacing w:after="0"/>
            </w:pPr>
            <w:r>
              <w:rPr>
                <w:sz w:val="19"/>
              </w:rPr>
              <w:t>Eigene UTC-Regel bleibt (Abweichung Kurs-Notebook)</w:t>
            </w:r>
          </w:p>
        </w:tc>
        <w:tc>
          <w:tcPr>
            <w:tcW w:type="dxa" w:w="4177"/>
          </w:tcPr>
          <w:p>
            <w:pPr>
              <w:spacing w:after="0"/>
            </w:pPr>
            <w:r>
              <w:rPr>
                <w:sz w:val="19"/>
              </w:rPr>
              <w:t>flow ist Ortszeit (R2); doppelte Oktober-Stunde ohne Datenverlust</w:t>
            </w:r>
          </w:p>
        </w:tc>
      </w:tr>
      <w:tr>
        <w:trPr/>
        <w:tc>
          <w:tcPr>
            <w:tcW w:type="dxa" w:w="1273"/>
          </w:tcPr>
          <w:p>
            <w:pPr>
              <w:spacing w:after="0"/>
            </w:pPr>
            <w:r>
              <w:rPr>
                <w:sz w:val="19"/>
              </w:rPr>
              <w:t>30.09.2026</w:t>
            </w:r>
          </w:p>
        </w:tc>
        <w:tc>
          <w:tcPr>
            <w:tcW w:type="dxa" w:w="3961"/>
          </w:tcPr>
          <w:p>
            <w:pPr>
              <w:spacing w:after="0"/>
            </w:pPr>
            <w:r>
              <w:rPr>
                <w:sz w:val="19"/>
              </w:rPr>
              <w:t>Vorzeichen flow belegt: positiv = Einflug, negativ = Ausflug (Kaggle/HOBOS) – Kurs-Notebook ordnet umgekehrt zu</w:t>
            </w:r>
          </w:p>
        </w:tc>
        <w:tc>
          <w:tcPr>
            <w:tcW w:type="dxa" w:w="4177"/>
          </w:tcPr>
          <w:p>
            <w:pPr>
              <w:spacing w:after="0"/>
            </w:pPr>
            <w:r>
              <w:rPr>
                <w:sz w:val="19"/>
              </w:rPr>
              <w:t>Datensatz-Beschreibung</w:t>
            </w:r>
          </w:p>
        </w:tc>
      </w:tr>
      <w:tr>
        <w:trPr/>
        <w:tc>
          <w:tcPr>
            <w:tcW w:type="dxa" w:w="1273"/>
          </w:tcPr>
          <w:p>
            <w:pPr>
              <w:spacing w:after="0"/>
            </w:pPr>
            <w:r>
              <w:rPr>
                <w:sz w:val="19"/>
              </w:rPr>
              <w:t>30.09.2026</w:t>
            </w:r>
          </w:p>
        </w:tc>
        <w:tc>
          <w:tcPr>
            <w:tcW w:type="dxa" w:w="3961"/>
          </w:tcPr>
          <w:p>
            <w:pPr>
              <w:spacing w:after="0"/>
            </w:pPr>
            <w:r>
              <w:rPr>
                <w:sz w:val="19"/>
              </w:rPr>
              <w:t>Rohdaten nicht veröffentlichen (Lizenz unbekannt)</w:t>
            </w:r>
          </w:p>
        </w:tc>
        <w:tc>
          <w:tcPr>
            <w:tcW w:type="dxa" w:w="4177"/>
          </w:tcPr>
          <w:p>
            <w:pPr>
              <w:spacing w:after="0"/>
            </w:pPr>
            <w:r>
              <w:rPr>
                <w:sz w:val="19"/>
              </w:rPr>
              <w:t>Datensatz-Beschreibung; Recht &amp; Compliance</w:t>
            </w:r>
          </w:p>
        </w:tc>
      </w:tr>
      <w:tr>
        <w:trPr/>
        <w:tc>
          <w:tcPr>
            <w:tcW w:type="dxa" w:w="1273"/>
          </w:tcPr>
          <w:p>
            <w:pPr>
              <w:spacing w:after="0"/>
            </w:pPr>
            <w:r>
              <w:rPr>
                <w:sz w:val="19"/>
              </w:rPr>
              <w:t>30.09.2026</w:t>
            </w:r>
          </w:p>
        </w:tc>
        <w:tc>
          <w:tcPr>
            <w:tcW w:type="dxa" w:w="3961"/>
          </w:tcPr>
          <w:p>
            <w:pPr>
              <w:spacing w:after="0"/>
            </w:pPr>
            <w:r>
              <w:rPr>
                <w:sz w:val="19"/>
              </w:rPr>
              <w:t xml:space="preserve">Test mit zweiter Stadt Würzburg (Umsetzung geändert am 01.10.: Einheit und Grenzen in </w:t>
            </w:r>
            <w:r>
              <w:rPr>
                <w:rFonts w:ascii="Courier New" w:hAnsi="Courier New"/>
                <w:sz w:val="17"/>
              </w:rPr>
              <w:t>sensoren.csv</w:t>
            </w:r>
            <w:r>
              <w:rPr>
                <w:sz w:val="19"/>
              </w:rPr>
              <w:t>; Trennung nach Vorzeichen mit der Kursfassung nicht nötig)</w:t>
            </w:r>
          </w:p>
        </w:tc>
        <w:tc>
          <w:tcPr>
            <w:tcW w:type="dxa" w:w="4177"/>
          </w:tcPr>
          <w:p>
            <w:pPr>
              <w:spacing w:after="0"/>
            </w:pPr>
            <w:r>
              <w:rPr>
                <w:sz w:val="19"/>
              </w:rPr>
              <w:t>Würzburg: Gewicht in kg/minütlich</w:t>
            </w:r>
          </w:p>
        </w:tc>
      </w:tr>
      <w:tr>
        <w:trPr/>
        <w:tc>
          <w:tcPr>
            <w:tcW w:type="dxa" w:w="1273"/>
          </w:tcPr>
          <w:p>
            <w:pPr>
              <w:spacing w:after="0"/>
            </w:pPr>
            <w:r>
              <w:rPr>
                <w:sz w:val="19"/>
              </w:rPr>
              <w:t>30.09.2026</w:t>
            </w:r>
          </w:p>
        </w:tc>
        <w:tc>
          <w:tcPr>
            <w:tcW w:type="dxa" w:w="3961"/>
          </w:tcPr>
          <w:p>
            <w:pPr>
              <w:spacing w:after="0"/>
            </w:pPr>
            <w:r>
              <w:rPr>
                <w:sz w:val="19"/>
              </w:rPr>
              <w:t>Eine Gesamt-Anleitung AN-ITS-001 (Phase 1 Azure, 2 Notebooks, 3 Automatisierung) statt zwei</w:t>
            </w:r>
          </w:p>
        </w:tc>
        <w:tc>
          <w:tcPr>
            <w:tcW w:type="dxa" w:w="4177"/>
          </w:tcPr>
          <w:p>
            <w:pPr>
              <w:spacing w:after="0"/>
            </w:pPr>
            <w:r>
              <w:rPr>
                <w:sz w:val="19"/>
              </w:rPr>
              <w:t>Mitarbeitende folgen dem Projekt in einer Reihenfolge</w:t>
            </w:r>
          </w:p>
        </w:tc>
      </w:tr>
      <w:tr>
        <w:trPr/>
        <w:tc>
          <w:tcPr>
            <w:tcW w:type="dxa" w:w="1273"/>
          </w:tcPr>
          <w:p>
            <w:pPr>
              <w:spacing w:after="0"/>
            </w:pPr>
            <w:r>
              <w:rPr>
                <w:sz w:val="19"/>
              </w:rPr>
              <w:t>30.09.2026</w:t>
            </w:r>
          </w:p>
        </w:tc>
        <w:tc>
          <w:tcPr>
            <w:tcW w:type="dxa" w:w="3961"/>
          </w:tcPr>
          <w:p>
            <w:pPr>
              <w:spacing w:after="0"/>
            </w:pPr>
            <w:r>
              <w:rPr>
                <w:sz w:val="19"/>
              </w:rPr>
              <w:t>Erweiterung aus dem Abgleich mit der Kurs-Zusammenfassung: Schritte 5.15–5.24 (Zuordnung 05.10.: erreicht oder Folgeprojekt)</w:t>
            </w:r>
          </w:p>
        </w:tc>
        <w:tc>
          <w:tcPr>
            <w:tcW w:type="dxa" w:w="4177"/>
          </w:tcPr>
          <w:p>
            <w:pPr>
              <w:spacing w:after="0"/>
            </w:pPr>
            <w:r>
              <w:rPr>
                <w:sz w:val="19"/>
              </w:rPr>
              <w:t>Praxis: Fehlerpfad, Prüfung der Lieferungen, JSON-Archiv, Wetter-Pipeline, Trigger, Sternschema, Rollen, Test, zweite Stadt</w:t>
            </w:r>
          </w:p>
        </w:tc>
      </w:tr>
      <w:tr>
        <w:trPr/>
        <w:tc>
          <w:tcPr>
            <w:tcW w:type="dxa" w:w="1273"/>
          </w:tcPr>
          <w:p>
            <w:pPr>
              <w:spacing w:after="0"/>
            </w:pPr>
            <w:r>
              <w:rPr>
                <w:sz w:val="19"/>
              </w:rPr>
              <w:t>30.09.2026</w:t>
            </w:r>
          </w:p>
        </w:tc>
        <w:tc>
          <w:tcPr>
            <w:tcW w:type="dxa" w:w="3961"/>
          </w:tcPr>
          <w:p>
            <w:pPr>
              <w:spacing w:after="0"/>
            </w:pPr>
            <w:r>
              <w:rPr>
                <w:sz w:val="19"/>
              </w:rPr>
              <w:t xml:space="preserve">Synapse-Notebooks: </w:t>
            </w:r>
            <w:r>
              <w:rPr>
                <w:rFonts w:ascii="Courier New" w:hAnsi="Courier New"/>
                <w:sz w:val="17"/>
              </w:rPr>
              <w:t>storage_options</w:t>
            </w:r>
            <w:r>
              <w:rPr>
                <w:sz w:val="19"/>
              </w:rPr>
              <w:t xml:space="preserve"> in Azure immer </w:t>
            </w:r>
            <w:r>
              <w:rPr>
                <w:rFonts w:ascii="Courier New" w:hAnsi="Courier New"/>
                <w:sz w:val="17"/>
              </w:rPr>
              <w:t>{}</w:t>
            </w:r>
            <w:r>
              <w:rPr>
                <w:sz w:val="19"/>
              </w:rPr>
              <w:t xml:space="preserve"> statt </w:t>
            </w:r>
            <w:r>
              <w:rPr>
                <w:rFonts w:ascii="Courier New" w:hAnsi="Courier New"/>
                <w:sz w:val="17"/>
              </w:rPr>
              <w:t>None</w:t>
            </w:r>
            <w:r>
              <w:rPr>
                <w:sz w:val="19"/>
              </w:rPr>
              <w:t xml:space="preserve"> (Generator)</w:t>
            </w:r>
          </w:p>
        </w:tc>
        <w:tc>
          <w:tcPr>
            <w:tcW w:type="dxa" w:w="4177"/>
          </w:tcPr>
          <w:p>
            <w:pPr>
              <w:spacing w:after="0"/>
            </w:pPr>
            <w:r>
              <w:rPr>
                <w:sz w:val="19"/>
              </w:rPr>
              <w:t xml:space="preserve">mit </w:t>
            </w:r>
            <w:r>
              <w:rPr>
                <w:rFonts w:ascii="Courier New" w:hAnsi="Courier New"/>
                <w:sz w:val="17"/>
              </w:rPr>
              <w:t>None</w:t>
            </w:r>
            <w:r>
              <w:rPr>
                <w:sz w:val="19"/>
              </w:rPr>
              <w:t xml:space="preserve"> versucht pandas beim Parquet-Schreiben pyarrow direkt mit </w:t>
            </w:r>
            <w:r>
              <w:rPr>
                <w:rFonts w:ascii="Courier New" w:hAnsi="Courier New"/>
                <w:sz w:val="17"/>
              </w:rPr>
              <w:t>abfss://</w:t>
            </w:r>
            <w:r>
              <w:rPr>
                <w:sz w:val="19"/>
              </w:rPr>
              <w:t xml:space="preserve"> – in Synapse nicht unterstützt (</w:t>
            </w:r>
            <w:r>
              <w:rPr>
                <w:rFonts w:ascii="Courier New" w:hAnsi="Courier New"/>
                <w:sz w:val="17"/>
              </w:rPr>
              <w:t>ArrowNotImplementedError</w:t>
            </w:r>
            <w:r>
              <w:rPr>
                <w:sz w:val="19"/>
              </w:rPr>
              <w:t xml:space="preserve">); mit </w:t>
            </w:r>
            <w:r>
              <w:rPr>
                <w:rFonts w:ascii="Courier New" w:hAnsi="Courier New"/>
                <w:sz w:val="17"/>
              </w:rPr>
              <w:t>{}</w:t>
            </w:r>
            <w:r>
              <w:rPr>
                <w:sz w:val="19"/>
              </w:rPr>
              <w:t xml:space="preserve"> läuft der Zugriff über fsspec wie beim CSV-Lesen</w:t>
            </w:r>
          </w:p>
        </w:tc>
      </w:tr>
      <w:tr>
        <w:trPr/>
        <w:tc>
          <w:tcPr>
            <w:tcW w:type="dxa" w:w="1273"/>
          </w:tcPr>
          <w:p>
            <w:pPr>
              <w:spacing w:after="0"/>
            </w:pPr>
            <w:r>
              <w:rPr>
                <w:sz w:val="19"/>
              </w:rPr>
              <w:t>30.09.2026</w:t>
            </w:r>
          </w:p>
        </w:tc>
        <w:tc>
          <w:tcPr>
            <w:tcW w:type="dxa" w:w="3961"/>
          </w:tcPr>
          <w:p>
            <w:pPr>
              <w:spacing w:after="0"/>
            </w:pPr>
            <w:r>
              <w:rPr>
                <w:sz w:val="19"/>
              </w:rPr>
              <w:t>Reihenfolge in Azure fest: erst Silver-Stufe (Steuer-Notebook), dann N4 Gold</w:t>
            </w:r>
          </w:p>
        </w:tc>
        <w:tc>
          <w:tcPr>
            <w:tcW w:type="dxa" w:w="4177"/>
          </w:tcPr>
          <w:p>
            <w:pPr>
              <w:spacing w:after="0"/>
            </w:pPr>
            <w:r>
              <w:rPr>
                <w:sz w:val="19"/>
              </w:rPr>
              <w:t xml:space="preserve">N4 liest nur </w:t>
            </w:r>
            <w:r>
              <w:rPr>
                <w:rFonts w:ascii="Courier New" w:hAnsi="Courier New"/>
                <w:sz w:val="17"/>
              </w:rPr>
              <w:t>silver/cleaned</w:t>
            </w:r>
            <w:r>
              <w:rPr>
                <w:sz w:val="19"/>
              </w:rPr>
              <w:t xml:space="preserve"> (Parquet); in Azure war der Ordner vor dem ersten Lauf leer</w:t>
            </w:r>
          </w:p>
        </w:tc>
      </w:tr>
      <w:tr>
        <w:trPr/>
        <w:tc>
          <w:tcPr>
            <w:tcW w:type="dxa" w:w="1273"/>
          </w:tcPr>
          <w:p>
            <w:pPr>
              <w:spacing w:after="0"/>
            </w:pPr>
            <w:r>
              <w:rPr>
                <w:sz w:val="19"/>
              </w:rPr>
              <w:t>30.09.2026</w:t>
            </w:r>
          </w:p>
        </w:tc>
        <w:tc>
          <w:tcPr>
            <w:tcW w:type="dxa" w:w="3961"/>
          </w:tcPr>
          <w:p>
            <w:pPr>
              <w:spacing w:after="0"/>
            </w:pPr>
            <w:r>
              <w:rPr>
                <w:sz w:val="19"/>
              </w:rPr>
              <w:t>Nur eine Spark-Sitzung gleichzeitig (Kontingent 12 vCores, Pool Small mit 3 Knoten belegt alles)</w:t>
            </w:r>
          </w:p>
        </w:tc>
        <w:tc>
          <w:tcPr>
            <w:tcW w:type="dxa" w:w="4177"/>
          </w:tcPr>
          <w:p>
            <w:pPr>
              <w:spacing w:after="0"/>
            </w:pPr>
            <w:r>
              <w:rPr>
                <w:sz w:val="19"/>
              </w:rPr>
              <w:t>jede Notebook-Registerkarte startet eine eigene Sitzung; zweite Sitzung scheitert (</w:t>
            </w:r>
            <w:r>
              <w:rPr>
                <w:rFonts w:ascii="Courier New" w:hAnsi="Courier New"/>
                <w:sz w:val="17"/>
              </w:rPr>
              <w:t>AVAILABLE_WORKSPACE_CAPACITY_EXCEEDED</w:t>
            </w:r>
            <w:r>
              <w:rPr>
                <w:sz w:val="19"/>
              </w:rPr>
              <w:t>) – in der Pipeline laufen die Schritte ohnehin nacheinander</w:t>
            </w:r>
          </w:p>
        </w:tc>
      </w:tr>
      <w:tr>
        <w:trPr/>
        <w:tc>
          <w:tcPr>
            <w:tcW w:type="dxa" w:w="1273"/>
          </w:tcPr>
          <w:p>
            <w:pPr>
              <w:spacing w:after="0"/>
            </w:pPr>
            <w:r>
              <w:rPr>
                <w:sz w:val="19"/>
              </w:rPr>
              <w:t>01.10.2026</w:t>
            </w:r>
          </w:p>
        </w:tc>
        <w:tc>
          <w:tcPr>
            <w:tcW w:type="dxa" w:w="3961"/>
          </w:tcPr>
          <w:p>
            <w:pPr>
              <w:spacing w:after="0"/>
            </w:pPr>
            <w:r>
              <w:rPr>
                <w:sz w:val="19"/>
              </w:rPr>
              <w:t>Rechte der Data Factory in Synapse: Synapse Compute Operator, Artifact User, Credential User statt Synapse Administrator</w:t>
            </w:r>
          </w:p>
        </w:tc>
        <w:tc>
          <w:tcPr>
            <w:tcW w:type="dxa" w:w="4177"/>
          </w:tcPr>
          <w:p>
            <w:pPr>
              <w:spacing w:after="0"/>
            </w:pPr>
            <w:r>
              <w:rPr>
                <w:sz w:val="19"/>
              </w:rPr>
              <w:t>Prinzip der geringsten Rechte (Least Privilege)</w:t>
            </w:r>
          </w:p>
        </w:tc>
      </w:tr>
      <w:tr>
        <w:trPr/>
        <w:tc>
          <w:tcPr>
            <w:tcW w:type="dxa" w:w="1273"/>
          </w:tcPr>
          <w:p>
            <w:pPr>
              <w:spacing w:after="0"/>
            </w:pPr>
            <w:r>
              <w:rPr>
                <w:sz w:val="19"/>
              </w:rPr>
              <w:t>01.10.2026</w:t>
            </w:r>
          </w:p>
        </w:tc>
        <w:tc>
          <w:tcPr>
            <w:tcW w:type="dxa" w:w="3961"/>
          </w:tcPr>
          <w:p>
            <w:pPr>
              <w:spacing w:after="0"/>
            </w:pPr>
            <w:r>
              <w:rPr>
                <w:sz w:val="19"/>
              </w:rPr>
              <w:t xml:space="preserve">Erfolgspfad: nach erfolgreichem Silver-Lauf </w:t>
            </w:r>
            <w:r>
              <w:rPr>
                <w:rFonts w:ascii="Courier New" w:hAnsi="Courier New"/>
                <w:sz w:val="17"/>
              </w:rPr>
              <w:t>silver/processing</w:t>
            </w:r>
            <w:r>
              <w:rPr>
                <w:sz w:val="19"/>
              </w:rPr>
              <w:t xml:space="preserve"> leeren; bei Fehler Dateien liegen lassen</w:t>
            </w:r>
          </w:p>
        </w:tc>
        <w:tc>
          <w:tcPr>
            <w:tcW w:type="dxa" w:w="4177"/>
          </w:tcPr>
          <w:p>
            <w:pPr>
              <w:spacing w:after="0"/>
            </w:pPr>
            <w:r>
              <w:rPr>
                <w:sz w:val="19"/>
              </w:rPr>
              <w:t>Kursaufgabe „Handling Success and Failure“; Arbeitskorb für den nächsten Lauf leer</w:t>
            </w:r>
          </w:p>
        </w:tc>
      </w:tr>
      <w:tr>
        <w:trPr/>
        <w:tc>
          <w:tcPr>
            <w:tcW w:type="dxa" w:w="1273"/>
          </w:tcPr>
          <w:p>
            <w:pPr>
              <w:spacing w:after="0"/>
            </w:pPr>
            <w:r>
              <w:rPr>
                <w:sz w:val="19"/>
              </w:rPr>
              <w:t>01.10.2026</w:t>
            </w:r>
          </w:p>
        </w:tc>
        <w:tc>
          <w:tcPr>
            <w:tcW w:type="dxa" w:w="3961"/>
          </w:tcPr>
          <w:p>
            <w:pPr>
              <w:spacing w:after="0"/>
            </w:pPr>
            <w:r>
              <w:rPr>
                <w:sz w:val="19"/>
              </w:rPr>
              <w:t>Gold je Stadt über Standort-Tabelle (Lookup → ForEach sequenziell → Notebook); Gold-Steuer-Notebook erst ab ca. 3 Städten</w:t>
            </w:r>
          </w:p>
        </w:tc>
        <w:tc>
          <w:tcPr>
            <w:tcW w:type="dxa" w:w="4177"/>
          </w:tcPr>
          <w:p>
            <w:pPr>
              <w:spacing w:after="0"/>
            </w:pPr>
            <w:r>
              <w:rPr>
                <w:sz w:val="19"/>
              </w:rPr>
              <w:t>neue Stadt ohne Pipeline-Umbau; Pool erlaubt nur eine Sitzung</w:t>
            </w:r>
          </w:p>
        </w:tc>
      </w:tr>
      <w:tr>
        <w:trPr/>
        <w:tc>
          <w:tcPr>
            <w:tcW w:type="dxa" w:w="1273"/>
          </w:tcPr>
          <w:p>
            <w:pPr>
              <w:spacing w:after="0"/>
            </w:pPr>
            <w:r>
              <w:rPr>
                <w:sz w:val="19"/>
              </w:rPr>
              <w:t>01.10.2026</w:t>
            </w:r>
          </w:p>
        </w:tc>
        <w:tc>
          <w:tcPr>
            <w:tcW w:type="dxa" w:w="3961"/>
          </w:tcPr>
          <w:p>
            <w:pPr>
              <w:spacing w:after="0"/>
            </w:pPr>
            <w:r>
              <w:rPr>
                <w:sz w:val="19"/>
              </w:rPr>
              <w:t>Kursfassung der Würzburg-Daten (flow ohne Stunde 00:00–00:59 ab 02.01.2019) statt Kaggle-Fassung</w:t>
            </w:r>
          </w:p>
        </w:tc>
        <w:tc>
          <w:tcPr>
            <w:tcW w:type="dxa" w:w="4177"/>
          </w:tcPr>
          <w:p>
            <w:pPr>
              <w:spacing w:after="0"/>
            </w:pPr>
            <w:r>
              <w:rPr>
                <w:sz w:val="19"/>
              </w:rPr>
              <w:t>vergleichbar mit der Kursleitung; Lücke dokumentiert</w:t>
            </w:r>
          </w:p>
        </w:tc>
      </w:tr>
      <w:tr>
        <w:trPr/>
        <w:tc>
          <w:tcPr>
            <w:tcW w:type="dxa" w:w="1273"/>
          </w:tcPr>
          <w:p>
            <w:pPr>
              <w:spacing w:after="0"/>
            </w:pPr>
            <w:r>
              <w:rPr>
                <w:sz w:val="19"/>
              </w:rPr>
              <w:t>01.10.2026</w:t>
            </w:r>
          </w:p>
        </w:tc>
        <w:tc>
          <w:tcPr>
            <w:tcW w:type="dxa" w:w="3961"/>
          </w:tcPr>
          <w:p>
            <w:pPr>
              <w:spacing w:after="0"/>
            </w:pPr>
            <w:r>
              <w:rPr>
                <w:sz w:val="19"/>
              </w:rPr>
              <w:t>Standortregeln (Einheit, Grenzen, Ausfallzeiträume) in Konfigurationstabellen statt im Code</w:t>
            </w:r>
          </w:p>
        </w:tc>
        <w:tc>
          <w:tcPr>
            <w:tcW w:type="dxa" w:w="4177"/>
          </w:tcPr>
          <w:p>
            <w:pPr>
              <w:spacing w:after="0"/>
            </w:pPr>
            <w:r>
              <w:rPr>
                <w:sz w:val="19"/>
              </w:rPr>
              <w:t>Würzburg liefert Gewicht in kg, Schwartau in g; „neue Stadt = neue Zeilen“</w:t>
            </w:r>
          </w:p>
        </w:tc>
      </w:tr>
      <w:tr>
        <w:trPr/>
        <w:tc>
          <w:tcPr>
            <w:tcW w:type="dxa" w:w="1273"/>
          </w:tcPr>
          <w:p>
            <w:pPr>
              <w:spacing w:after="0"/>
            </w:pPr>
            <w:r>
              <w:rPr>
                <w:sz w:val="19"/>
              </w:rPr>
              <w:t>02.10.2026</w:t>
            </w:r>
          </w:p>
        </w:tc>
        <w:tc>
          <w:tcPr>
            <w:tcW w:type="dxa" w:w="3961"/>
          </w:tcPr>
          <w:p>
            <w:pPr>
              <w:spacing w:after="0"/>
            </w:pPr>
            <w:r>
              <w:rPr>
                <w:sz w:val="19"/>
              </w:rPr>
              <w:t>Trigger täglich 00:00 UTC angelegt, aber gestoppt; Nebenläufigkeit 1; Laufzeit-Grenze 30 Min.</w:t>
            </w:r>
          </w:p>
        </w:tc>
        <w:tc>
          <w:tcPr>
            <w:tcW w:type="dxa" w:w="4177"/>
          </w:tcPr>
          <w:p>
            <w:pPr>
              <w:spacing w:after="0"/>
            </w:pPr>
            <w:r>
              <w:rPr>
                <w:sz w:val="19"/>
              </w:rPr>
              <w:t>Kosten nur nach Freigabe; keine überlappenden Läufe; hängende Läufe erkennen</w:t>
            </w:r>
          </w:p>
        </w:tc>
      </w:tr>
      <w:tr>
        <w:trPr/>
        <w:tc>
          <w:tcPr>
            <w:tcW w:type="dxa" w:w="1273"/>
          </w:tcPr>
          <w:p>
            <w:pPr>
              <w:spacing w:after="0"/>
            </w:pPr>
            <w:r>
              <w:rPr>
                <w:sz w:val="19"/>
              </w:rPr>
              <w:t>02.10.2026</w:t>
            </w:r>
          </w:p>
        </w:tc>
        <w:tc>
          <w:tcPr>
            <w:tcW w:type="dxa" w:w="3961"/>
          </w:tcPr>
          <w:p>
            <w:pPr>
              <w:spacing w:after="0"/>
            </w:pPr>
            <w:r>
              <w:rPr>
                <w:sz w:val="19"/>
              </w:rPr>
              <w:t>Fehler-E-Mail über Azure Monitor (2 Warnregeln, eine Aktionsgruppe)</w:t>
            </w:r>
          </w:p>
        </w:tc>
        <w:tc>
          <w:tcPr>
            <w:tcW w:type="dxa" w:w="4177"/>
          </w:tcPr>
          <w:p>
            <w:pPr>
              <w:spacing w:after="0"/>
            </w:pPr>
            <w:r>
              <w:rPr>
                <w:sz w:val="19"/>
              </w:rPr>
              <w:t>Fehler sofort bemerken (Betriebsbaustein)</w:t>
            </w:r>
          </w:p>
        </w:tc>
      </w:tr>
      <w:tr>
        <w:trPr/>
        <w:tc>
          <w:tcPr>
            <w:tcW w:type="dxa" w:w="1273"/>
          </w:tcPr>
          <w:p>
            <w:pPr>
              <w:spacing w:after="0"/>
            </w:pPr>
            <w:r>
              <w:rPr>
                <w:sz w:val="19"/>
              </w:rPr>
              <w:t>02.10.2026</w:t>
            </w:r>
          </w:p>
        </w:tc>
        <w:tc>
          <w:tcPr>
            <w:tcW w:type="dxa" w:w="3961"/>
          </w:tcPr>
          <w:p>
            <w:pPr>
              <w:spacing w:after="0"/>
            </w:pPr>
            <w:r>
              <w:rPr>
                <w:sz w:val="19"/>
              </w:rPr>
              <w:t>Gegenprobe Azure ↔ lokal über CSV-Größe, Parquet ±1 % tolerieren</w:t>
            </w:r>
          </w:p>
        </w:tc>
        <w:tc>
          <w:tcPr>
            <w:tcW w:type="dxa" w:w="4177"/>
          </w:tcPr>
          <w:p>
            <w:pPr>
              <w:spacing w:after="0"/>
            </w:pPr>
            <w:r>
              <w:rPr>
                <w:sz w:val="19"/>
              </w:rPr>
              <w:t>andere pyarrow-Version in Synapse</w:t>
            </w:r>
          </w:p>
        </w:tc>
      </w:tr>
      <w:tr>
        <w:trPr/>
        <w:tc>
          <w:tcPr>
            <w:tcW w:type="dxa" w:w="1273"/>
          </w:tcPr>
          <w:p>
            <w:pPr>
              <w:spacing w:after="0"/>
            </w:pPr>
            <w:r>
              <w:rPr>
                <w:sz w:val="19"/>
              </w:rPr>
              <w:t>05.10.2026</w:t>
            </w:r>
          </w:p>
        </w:tc>
        <w:tc>
          <w:tcPr>
            <w:tcW w:type="dxa" w:w="3961"/>
          </w:tcPr>
          <w:p>
            <w:pPr>
              <w:spacing w:after="0"/>
            </w:pPr>
            <w:r>
              <w:rPr>
                <w:sz w:val="19"/>
              </w:rPr>
              <w:t>Projektabschluss: Ideen und Fragen abgeglichen, sieben Folgeprojekte, sechs Handlungsempfehlungen</w:t>
            </w:r>
          </w:p>
        </w:tc>
        <w:tc>
          <w:tcPr>
            <w:tcW w:type="dxa" w:w="4177"/>
          </w:tcPr>
          <w:p>
            <w:pPr>
              <w:spacing w:after="0"/>
            </w:pPr>
            <w:r>
              <w:rPr>
                <w:sz w:val="19"/>
              </w:rPr>
              <w:t>am Ende nichts offen; Übergabe an die zuständigen Bereiche (WB-QM-001 Abschn. 10)</w:t>
            </w:r>
          </w:p>
        </w:tc>
      </w:tr>
    </w:tbl>
    <w:p>
      <w:pPr>
        <w:spacing w:after="0" w:line="20" w:lineRule="exact"/>
      </w:pPr>
    </w:p>
    <w:p>
      <w:pPr>
        <w:pStyle w:val="Heading1"/>
        <w:pageBreakBefore/>
      </w:pPr>
      <w:r>
        <w:t>7. Restaufgaben bis zum Projektabschluss</w:t>
      </w:r>
    </w:p>
    <w:p>
      <w:pPr>
        <w:spacing w:after="0" w:line="20" w:lineRule="exact"/>
      </w:pPr>
    </w:p>
    <w:p>
      <w:r>
        <w:t>Alle Restaufgaben stehen feingranular in Kap. 5 (M5, Schritte 5.11–5.14.6) – mit Status „bis Abschluss“ oder „nach Kursende“. Weitere offene Punkte gibt es nicht: Ideen und Fragen aus dem Brainstorming sind erledigt, einem Folgeprojekt zugeordnet oder mit Grund verworfen (BS-ITS-002 v1.9).</w:t>
      </w:r>
    </w:p>
    <w:p>
      <w:pPr>
        <w:pStyle w:val="Heading1"/>
      </w:pPr>
      <w:r>
        <w:t>8. Folgeprojekte</w:t>
      </w:r>
    </w:p>
    <w:p>
      <w:pPr>
        <w:spacing w:after="0" w:line="20" w:lineRule="exact"/>
      </w:pPr>
    </w:p>
    <w:p>
      <w:r>
        <w:t>Was über den Projektauftrag hinausgeht, wird an die fachlich zuständige Abteilung oder Stabsstelle übergeben und in der Gesamtprojektplanung (Aufgaben-Liste) eingetragen. Ideen-Nummern siehe Brainstorming Kap. 8. Die Nummern bleiben unverändert, damit Verweise gültig bleiben.</w:t>
      </w:r>
    </w:p>
    <w:tbl>
      <w:tblPr>
        <w:tblStyle w:val="TableGrid"/>
        <w:tblW w:type="auto" w:w="0"/>
        <w:jc w:val="center"/>
        <w:tblLayout w:type="fixed"/>
        <w:tblLook w:firstColumn="1" w:firstRow="1" w:lastColumn="0" w:lastRow="0" w:noHBand="0" w:noVBand="1" w:val="04A0"/>
      </w:tblPr>
      <w:tblGrid>
        <w:gridCol w:w="555"/>
        <w:gridCol w:w="1644"/>
        <w:gridCol w:w="1870"/>
        <w:gridCol w:w="2280"/>
        <w:gridCol w:w="1569"/>
        <w:gridCol w:w="1493"/>
      </w:tblGrid>
      <w:tr>
        <w:trPr>
          <w:tblHeader/>
        </w:trPr>
        <w:tc>
          <w:tcPr>
            <w:tcW w:type="dxa" w:w="555"/>
            <w:shd w:val="clear" w:color="auto" w:fill="D9E2F3"/>
          </w:tcPr>
          <w:p>
            <w:pPr>
              <w:spacing w:after="0"/>
            </w:pPr>
            <w:r>
              <w:rPr>
                <w:b/>
                <w:sz w:val="19"/>
              </w:rPr>
              <w:t>Nr.</w:t>
            </w:r>
          </w:p>
        </w:tc>
        <w:tc>
          <w:tcPr>
            <w:tcW w:type="dxa" w:w="1644"/>
            <w:shd w:val="clear" w:color="auto" w:fill="D9E2F3"/>
          </w:tcPr>
          <w:p>
            <w:pPr>
              <w:spacing w:after="0"/>
            </w:pPr>
            <w:r>
              <w:rPr>
                <w:b/>
                <w:sz w:val="19"/>
              </w:rPr>
              <w:t>Folgeprojekt</w:t>
            </w:r>
          </w:p>
        </w:tc>
        <w:tc>
          <w:tcPr>
            <w:tcW w:type="dxa" w:w="1870"/>
            <w:shd w:val="clear" w:color="auto" w:fill="D9E2F3"/>
          </w:tcPr>
          <w:p>
            <w:pPr>
              <w:spacing w:after="0"/>
            </w:pPr>
            <w:r>
              <w:rPr>
                <w:b/>
                <w:sz w:val="19"/>
              </w:rPr>
              <w:t>Zuständig</w:t>
            </w:r>
          </w:p>
        </w:tc>
        <w:tc>
          <w:tcPr>
            <w:tcW w:type="dxa" w:w="2280"/>
            <w:shd w:val="clear" w:color="auto" w:fill="D9E2F3"/>
          </w:tcPr>
          <w:p>
            <w:pPr>
              <w:spacing w:after="0"/>
            </w:pPr>
            <w:r>
              <w:rPr>
                <w:b/>
                <w:sz w:val="19"/>
              </w:rPr>
              <w:t>Inhalt</w:t>
            </w:r>
          </w:p>
        </w:tc>
        <w:tc>
          <w:tcPr>
            <w:tcW w:type="dxa" w:w="1569"/>
            <w:shd w:val="clear" w:color="auto" w:fill="D9E2F3"/>
          </w:tcPr>
          <w:p>
            <w:pPr>
              <w:spacing w:after="0"/>
            </w:pPr>
            <w:r>
              <w:rPr>
                <w:b/>
                <w:sz w:val="19"/>
              </w:rPr>
              <w:t>Nutzen</w:t>
            </w:r>
          </w:p>
        </w:tc>
        <w:tc>
          <w:tcPr>
            <w:tcW w:type="dxa" w:w="1493"/>
            <w:shd w:val="clear" w:color="auto" w:fill="D9E2F3"/>
          </w:tcPr>
          <w:p>
            <w:pPr>
              <w:spacing w:after="0"/>
            </w:pPr>
            <w:r>
              <w:rPr>
                <w:b/>
                <w:sz w:val="19"/>
              </w:rPr>
              <w:t>Voraussetzung</w:t>
            </w:r>
          </w:p>
        </w:tc>
      </w:tr>
      <w:tr>
        <w:trPr/>
        <w:tc>
          <w:tcPr>
            <w:tcW w:type="dxa" w:w="555"/>
          </w:tcPr>
          <w:p>
            <w:pPr>
              <w:spacing w:after="0"/>
            </w:pPr>
            <w:r>
              <w:rPr>
                <w:sz w:val="19"/>
              </w:rPr>
              <w:t>FP-1</w:t>
            </w:r>
          </w:p>
        </w:tc>
        <w:tc>
          <w:tcPr>
            <w:tcW w:type="dxa" w:w="1644"/>
          </w:tcPr>
          <w:p>
            <w:pPr>
              <w:spacing w:after="0"/>
            </w:pPr>
            <w:r>
              <w:rPr>
                <w:sz w:val="19"/>
              </w:rPr>
              <w:t>Betrieb und Automatisierung der Pipeline</w:t>
            </w:r>
          </w:p>
        </w:tc>
        <w:tc>
          <w:tcPr>
            <w:tcW w:type="dxa" w:w="1870"/>
          </w:tcPr>
          <w:p>
            <w:pPr>
              <w:spacing w:after="0"/>
            </w:pPr>
            <w:r>
              <w:rPr>
                <w:sz w:val="19"/>
              </w:rPr>
              <w:t>IT &amp; Security (Data Engineer, IT-Systemadministrator)</w:t>
            </w:r>
          </w:p>
        </w:tc>
        <w:tc>
          <w:tcPr>
            <w:tcW w:type="dxa" w:w="2280"/>
          </w:tcPr>
          <w:p>
            <w:pPr>
              <w:spacing w:after="0"/>
            </w:pPr>
            <w:r>
              <w:rPr>
                <w:sz w:val="19"/>
              </w:rPr>
              <w:t>inkrementelle Verarbeitung nur neuer Tage; Prüfung der Lieferungen (Dateiname, Doppellieferung); Prüfordner im Fehlerfall; Rückgabewert des Steuer-Notebooks mit automatischer Gegenprobe; Git-Anbindung Data Factory und Synapse; Wetter-Rohantwort als JSON; Wetter-Pipeline für den Vortag; Ereignis-Trigger; Gold-Steuer-Notebook ab ca. drei Städten</w:t>
            </w:r>
          </w:p>
        </w:tc>
        <w:tc>
          <w:tcPr>
            <w:tcW w:type="dxa" w:w="1569"/>
          </w:tcPr>
          <w:p>
            <w:pPr>
              <w:spacing w:after="0"/>
            </w:pPr>
            <w:r>
              <w:rPr>
                <w:sz w:val="19"/>
              </w:rPr>
              <w:t>weniger Spark-Zeit und Kosten je Lauf, weniger Handarbeit, sichere Änderungen</w:t>
            </w:r>
          </w:p>
        </w:tc>
        <w:tc>
          <w:tcPr>
            <w:tcW w:type="dxa" w:w="1493"/>
          </w:tcPr>
          <w:p>
            <w:pPr>
              <w:spacing w:after="0"/>
            </w:pPr>
            <w:r>
              <w:rPr>
                <w:sz w:val="19"/>
              </w:rPr>
              <w:t>Entscheidung über Dauerbetrieb</w:t>
            </w:r>
          </w:p>
        </w:tc>
      </w:tr>
      <w:tr>
        <w:trPr/>
        <w:tc>
          <w:tcPr>
            <w:tcW w:type="dxa" w:w="555"/>
          </w:tcPr>
          <w:p>
            <w:pPr>
              <w:spacing w:after="0"/>
            </w:pPr>
            <w:r>
              <w:rPr>
                <w:sz w:val="19"/>
              </w:rPr>
              <w:t>FP-2</w:t>
            </w:r>
          </w:p>
        </w:tc>
        <w:tc>
          <w:tcPr>
            <w:tcW w:type="dxa" w:w="1644"/>
          </w:tcPr>
          <w:p>
            <w:pPr>
              <w:spacing w:after="0"/>
            </w:pPr>
            <w:r>
              <w:rPr>
                <w:sz w:val="19"/>
              </w:rPr>
              <w:t>Dashboard und fachliche Warnungen</w:t>
            </w:r>
          </w:p>
        </w:tc>
        <w:tc>
          <w:tcPr>
            <w:tcW w:type="dxa" w:w="1870"/>
          </w:tcPr>
          <w:p>
            <w:pPr>
              <w:spacing w:after="0"/>
            </w:pPr>
            <w:r>
              <w:rPr>
                <w:sz w:val="19"/>
              </w:rPr>
              <w:t>IT &amp; Security (Data Analyst), UX</w:t>
            </w:r>
          </w:p>
        </w:tc>
        <w:tc>
          <w:tcPr>
            <w:tcW w:type="dxa" w:w="2280"/>
          </w:tcPr>
          <w:p>
            <w:pPr>
              <w:spacing w:after="0"/>
            </w:pPr>
            <w:r>
              <w:rPr>
                <w:sz w:val="19"/>
              </w:rPr>
              <w:t>Kennzahlen je Standort (Gewicht, Honig, Flug, Wetter), Warnungen (Temperaturabfall im Stock, ungewöhnlicher Gewichtsverlust, Wetterstation zu weit entfernt), Grenzwerte und Ernte-Erkennung mit einer Imkerei fachlich bestätigen, Sternschema für Power BI</w:t>
            </w:r>
          </w:p>
        </w:tc>
        <w:tc>
          <w:tcPr>
            <w:tcW w:type="dxa" w:w="1569"/>
          </w:tcPr>
          <w:p>
            <w:pPr>
              <w:spacing w:after="0"/>
            </w:pPr>
            <w:r>
              <w:rPr>
                <w:sz w:val="19"/>
              </w:rPr>
              <w:t>Zustand der Völker auf einen Blick (5-Sekunden-Regel)</w:t>
            </w:r>
          </w:p>
        </w:tc>
        <w:tc>
          <w:tcPr>
            <w:tcW w:type="dxa" w:w="1493"/>
          </w:tcPr>
          <w:p>
            <w:pPr>
              <w:spacing w:after="0"/>
            </w:pPr>
            <w:r>
              <w:rPr>
                <w:sz w:val="19"/>
              </w:rPr>
              <w:t>Kennzahlen-Konzept (5.11)</w:t>
            </w:r>
          </w:p>
        </w:tc>
      </w:tr>
      <w:tr>
        <w:trPr/>
        <w:tc>
          <w:tcPr>
            <w:tcW w:type="dxa" w:w="555"/>
          </w:tcPr>
          <w:p>
            <w:pPr>
              <w:spacing w:after="0"/>
            </w:pPr>
            <w:r>
              <w:rPr>
                <w:sz w:val="19"/>
              </w:rPr>
              <w:t>FP-3</w:t>
            </w:r>
          </w:p>
        </w:tc>
        <w:tc>
          <w:tcPr>
            <w:tcW w:type="dxa" w:w="1644"/>
          </w:tcPr>
          <w:p>
            <w:pPr>
              <w:spacing w:after="0"/>
            </w:pPr>
            <w:r>
              <w:rPr>
                <w:sz w:val="19"/>
              </w:rPr>
              <w:t>Machine Learning: Einzelwirkungen und Prognose</w:t>
            </w:r>
          </w:p>
        </w:tc>
        <w:tc>
          <w:tcPr>
            <w:tcW w:type="dxa" w:w="1870"/>
          </w:tcPr>
          <w:p>
            <w:pPr>
              <w:spacing w:after="0"/>
            </w:pPr>
            <w:r>
              <w:rPr>
                <w:sz w:val="19"/>
              </w:rPr>
              <w:t>IT &amp; Security (Data Scientist)</w:t>
            </w:r>
          </w:p>
        </w:tc>
        <w:tc>
          <w:tcPr>
            <w:tcW w:type="dxa" w:w="2280"/>
          </w:tcPr>
          <w:p>
            <w:pPr>
              <w:spacing w:after="0"/>
            </w:pPr>
            <w:r>
              <w:rPr>
                <w:sz w:val="19"/>
              </w:rPr>
              <w:t>Einfluss von Sonne, Temperatur, Feuchte und Jahreszeit auf Flug und Honig trennen; Prognose des Honigertrags</w:t>
            </w:r>
          </w:p>
        </w:tc>
        <w:tc>
          <w:tcPr>
            <w:tcW w:type="dxa" w:w="1569"/>
          </w:tcPr>
          <w:p>
            <w:pPr>
              <w:spacing w:after="0"/>
            </w:pPr>
            <w:r>
              <w:rPr>
                <w:sz w:val="19"/>
              </w:rPr>
              <w:t>belastbare Aussagen statt Einzelvergleiche</w:t>
            </w:r>
          </w:p>
        </w:tc>
        <w:tc>
          <w:tcPr>
            <w:tcW w:type="dxa" w:w="1493"/>
          </w:tcPr>
          <w:p>
            <w:pPr>
              <w:spacing w:after="0"/>
            </w:pPr>
            <w:r>
              <w:rPr>
                <w:sz w:val="19"/>
              </w:rPr>
              <w:t>Gold-Tabellen (vorhanden)</w:t>
            </w:r>
          </w:p>
        </w:tc>
      </w:tr>
      <w:tr>
        <w:trPr/>
        <w:tc>
          <w:tcPr>
            <w:tcW w:type="dxa" w:w="555"/>
          </w:tcPr>
          <w:p>
            <w:pPr>
              <w:spacing w:after="0"/>
            </w:pPr>
            <w:r>
              <w:rPr>
                <w:sz w:val="19"/>
              </w:rPr>
              <w:t>FP-5</w:t>
            </w:r>
          </w:p>
        </w:tc>
        <w:tc>
          <w:tcPr>
            <w:tcW w:type="dxa" w:w="1644"/>
          </w:tcPr>
          <w:p>
            <w:pPr>
              <w:spacing w:after="0"/>
            </w:pPr>
            <w:r>
              <w:rPr>
                <w:sz w:val="19"/>
              </w:rPr>
              <w:t>Berechtigungskonzept</w:t>
            </w:r>
          </w:p>
        </w:tc>
        <w:tc>
          <w:tcPr>
            <w:tcW w:type="dxa" w:w="1870"/>
          </w:tcPr>
          <w:p>
            <w:pPr>
              <w:spacing w:after="0"/>
            </w:pPr>
            <w:r>
              <w:rPr>
                <w:sz w:val="19"/>
              </w:rPr>
              <w:t>IT &amp; Security, Stabsstelle Informationssicherheit</w:t>
            </w:r>
          </w:p>
        </w:tc>
        <w:tc>
          <w:tcPr>
            <w:tcW w:type="dxa" w:w="2280"/>
          </w:tcPr>
          <w:p>
            <w:pPr>
              <w:spacing w:after="0"/>
            </w:pPr>
            <w:r>
              <w:rPr>
                <w:sz w:val="19"/>
              </w:rPr>
              <w:t>Rollen für mehrere Personen und Identitäten, Firewall auf eigene IP-Bereiche, verwaltetes virtuelles Netzwerk</w:t>
            </w:r>
          </w:p>
        </w:tc>
        <w:tc>
          <w:tcPr>
            <w:tcW w:type="dxa" w:w="1569"/>
          </w:tcPr>
          <w:p>
            <w:pPr>
              <w:spacing w:after="0"/>
            </w:pPr>
            <w:r>
              <w:rPr>
                <w:sz w:val="19"/>
              </w:rPr>
              <w:t>Betrieb nach Sicherheitsstandard</w:t>
            </w:r>
          </w:p>
        </w:tc>
        <w:tc>
          <w:tcPr>
            <w:tcW w:type="dxa" w:w="1493"/>
          </w:tcPr>
          <w:p>
            <w:pPr>
              <w:spacing w:after="0"/>
            </w:pPr>
            <w:r>
              <w:rPr>
                <w:sz w:val="19"/>
              </w:rPr>
              <w:t>Entscheidung über Dauerbetrieb</w:t>
            </w:r>
          </w:p>
        </w:tc>
      </w:tr>
      <w:tr>
        <w:trPr/>
        <w:tc>
          <w:tcPr>
            <w:tcW w:type="dxa" w:w="555"/>
          </w:tcPr>
          <w:p>
            <w:pPr>
              <w:spacing w:after="0"/>
            </w:pPr>
            <w:r>
              <w:rPr>
                <w:sz w:val="19"/>
              </w:rPr>
              <w:t>FP-6</w:t>
            </w:r>
          </w:p>
        </w:tc>
        <w:tc>
          <w:tcPr>
            <w:tcW w:type="dxa" w:w="1644"/>
          </w:tcPr>
          <w:p>
            <w:pPr>
              <w:spacing w:after="0"/>
            </w:pPr>
            <w:r>
              <w:rPr>
                <w:sz w:val="19"/>
              </w:rPr>
              <w:t>Stammdaten-Standard für Orte</w:t>
            </w:r>
          </w:p>
        </w:tc>
        <w:tc>
          <w:tcPr>
            <w:tcW w:type="dxa" w:w="1870"/>
          </w:tcPr>
          <w:p>
            <w:pPr>
              <w:spacing w:after="0"/>
            </w:pPr>
            <w:r>
              <w:rPr>
                <w:sz w:val="19"/>
              </w:rPr>
              <w:t>Stabsstelle QM mit IT &amp; Security</w:t>
            </w:r>
          </w:p>
        </w:tc>
        <w:tc>
          <w:tcPr>
            <w:tcW w:type="dxa" w:w="2280"/>
          </w:tcPr>
          <w:p>
            <w:pPr>
              <w:spacing w:after="0"/>
            </w:pPr>
            <w:r>
              <w:rPr>
                <w:sz w:val="19"/>
              </w:rPr>
              <w:t xml:space="preserve">fester Schlüssel </w:t>
            </w:r>
            <w:r>
              <w:rPr>
                <w:rFonts w:ascii="Courier New" w:hAnsi="Courier New"/>
                <w:sz w:val="17"/>
              </w:rPr>
              <w:t>standort_id</w:t>
            </w:r>
            <w:r>
              <w:rPr>
                <w:sz w:val="19"/>
              </w:rPr>
              <w:t>, ISO-3166-Codes, Amtlicher Gemeindeschlüssel bzw. GeoNames-ID, Koordinaten – auch für Kunden und Lieferanten</w:t>
            </w:r>
          </w:p>
        </w:tc>
        <w:tc>
          <w:tcPr>
            <w:tcW w:type="dxa" w:w="1569"/>
          </w:tcPr>
          <w:p>
            <w:pPr>
              <w:spacing w:after="0"/>
            </w:pPr>
            <w:r>
              <w:rPr>
                <w:sz w:val="19"/>
              </w:rPr>
              <w:t>eindeutige Orte betriebsweit</w:t>
            </w:r>
          </w:p>
        </w:tc>
        <w:tc>
          <w:tcPr>
            <w:tcW w:type="dxa" w:w="1493"/>
          </w:tcPr>
          <w:p>
            <w:pPr>
              <w:spacing w:after="0"/>
            </w:pPr>
            <w:r>
              <w:rPr>
                <w:sz w:val="19"/>
              </w:rPr>
              <w:t>–</w:t>
            </w:r>
          </w:p>
        </w:tc>
      </w:tr>
      <w:tr>
        <w:trPr/>
        <w:tc>
          <w:tcPr>
            <w:tcW w:type="dxa" w:w="555"/>
          </w:tcPr>
          <w:p>
            <w:pPr>
              <w:spacing w:after="0"/>
            </w:pPr>
            <w:r>
              <w:rPr>
                <w:sz w:val="19"/>
              </w:rPr>
              <w:t>FP-7</w:t>
            </w:r>
          </w:p>
        </w:tc>
        <w:tc>
          <w:tcPr>
            <w:tcW w:type="dxa" w:w="1644"/>
          </w:tcPr>
          <w:p>
            <w:pPr>
              <w:spacing w:after="0"/>
            </w:pPr>
            <w:r>
              <w:rPr>
                <w:sz w:val="19"/>
              </w:rPr>
              <w:t>Prozessdokumentation Datenpipeline</w:t>
            </w:r>
          </w:p>
        </w:tc>
        <w:tc>
          <w:tcPr>
            <w:tcW w:type="dxa" w:w="1870"/>
          </w:tcPr>
          <w:p>
            <w:pPr>
              <w:spacing w:after="0"/>
            </w:pPr>
            <w:r>
              <w:rPr>
                <w:sz w:val="19"/>
              </w:rPr>
              <w:t>Stabsstelle QM (QS-Agent)</w:t>
            </w:r>
          </w:p>
        </w:tc>
        <w:tc>
          <w:tcPr>
            <w:tcW w:type="dxa" w:w="2280"/>
          </w:tcPr>
          <w:p>
            <w:pPr>
              <w:spacing w:after="0"/>
            </w:pPr>
            <w:r>
              <w:rPr>
                <w:sz w:val="19"/>
              </w:rPr>
              <w:t xml:space="preserve">BPMN-Ablauf, Zuständigkeiten (RACI) und Prüfablauf in die Prozesslandkarte übernehmen (Grundlage: </w:t>
            </w:r>
            <w:r>
              <w:rPr>
                <w:rFonts w:ascii="Courier New" w:hAnsi="Courier New"/>
                <w:sz w:val="17"/>
              </w:rPr>
              <w:t>07_prozesse_QM</w:t>
            </w:r>
            <w:r>
              <w:rPr>
                <w:sz w:val="19"/>
              </w:rPr>
              <w:t>)</w:t>
            </w:r>
          </w:p>
        </w:tc>
        <w:tc>
          <w:tcPr>
            <w:tcW w:type="dxa" w:w="1569"/>
          </w:tcPr>
          <w:p>
            <w:pPr>
              <w:spacing w:after="0"/>
            </w:pPr>
            <w:r>
              <w:rPr>
                <w:sz w:val="19"/>
              </w:rPr>
              <w:t>Ablauf für alle Datenquellen wiederverwendbar</w:t>
            </w:r>
          </w:p>
        </w:tc>
        <w:tc>
          <w:tcPr>
            <w:tcW w:type="dxa" w:w="1493"/>
          </w:tcPr>
          <w:p>
            <w:pPr>
              <w:spacing w:after="0"/>
            </w:pPr>
            <w:r>
              <w:rPr>
                <w:sz w:val="19"/>
              </w:rPr>
              <w:t>5.12.7</w:t>
            </w:r>
          </w:p>
        </w:tc>
      </w:tr>
    </w:tbl>
    <w:p>
      <w:pPr>
        <w:spacing w:after="0" w:line="20" w:lineRule="exact"/>
      </w:pPr>
    </w:p>
    <w:p>
      <w:pPr>
        <w:shd w:val="clear" w:color="auto" w:fill="F2F2F2"/>
        <w:pBdr>
          <w:left w:val="single" w:sz="18" w:space="8" w:color="1F3A5F"/>
        </w:pBdr>
      </w:pPr>
      <w:r>
        <w:rPr>
          <w:b/>
        </w:rPr>
        <w:t>FP-4 „Fachliche Prüfung mit einer Imkerei und Nutzungsrechte“ entfällt</w:t>
      </w:r>
      <w:r>
        <w:t xml:space="preserve"> (Entscheidung Geschäftsführung 05.10.2026, PR-QM-011 Nr. 67): Die Rohdaten werden nicht veröffentlicht, eine Nutzungsrechte-Anfrage ist daher nicht nötig. Die fachliche Bestätigung der Warnregeln und der Ernte-Erkennung gehört zum Dashboard (FP-2).</w:t>
      </w:r>
    </w:p>
    <w:p>
      <w:pPr>
        <w:pStyle w:val="Heading1"/>
        <w:pageBreakBefore/>
      </w:pPr>
      <w:r>
        <w:t>9. Handlungsempfehlungen an die Geschäftsleitung</w:t>
      </w:r>
    </w:p>
    <w:p>
      <w:pPr>
        <w:spacing w:after="0" w:line="20" w:lineRule="exact"/>
      </w:pPr>
    </w:p>
    <w:p>
      <w:r>
        <w:t>Gleiche Empfehlungen wie in der Präsentation PS-ITS-001 (Folie 12). HE-2 bis HE-6 greifen die Vertiefungen der Kurszusammenfassung Kapitel 9 (Abschnitt 8.23) auf. Zur Entscheidung stehen zuerst HE-1 und HE-2 (Präsentation Folie 13).</w:t>
      </w:r>
    </w:p>
    <w:tbl>
      <w:tblPr>
        <w:tblStyle w:val="TableGrid"/>
        <w:tblW w:type="auto" w:w="0"/>
        <w:jc w:val="center"/>
        <w:tblLayout w:type="fixed"/>
        <w:tblLook w:firstColumn="1" w:firstRow="1" w:lastColumn="0" w:lastRow="0" w:noHBand="0" w:noVBand="1" w:val="04A0"/>
      </w:tblPr>
      <w:tblGrid>
        <w:gridCol w:w="689"/>
        <w:gridCol w:w="2185"/>
        <w:gridCol w:w="2546"/>
        <w:gridCol w:w="2229"/>
        <w:gridCol w:w="1762"/>
      </w:tblGrid>
      <w:tr>
        <w:trPr>
          <w:tblHeader/>
        </w:trPr>
        <w:tc>
          <w:tcPr>
            <w:tcW w:type="dxa" w:w="689"/>
            <w:shd w:val="clear" w:color="auto" w:fill="D9E2F3"/>
          </w:tcPr>
          <w:p>
            <w:pPr>
              <w:spacing w:after="0"/>
            </w:pPr>
            <w:r>
              <w:rPr>
                <w:b/>
                <w:sz w:val="19"/>
              </w:rPr>
              <w:t>Nr.</w:t>
            </w:r>
          </w:p>
        </w:tc>
        <w:tc>
          <w:tcPr>
            <w:tcW w:type="dxa" w:w="2185"/>
            <w:shd w:val="clear" w:color="auto" w:fill="D9E2F3"/>
          </w:tcPr>
          <w:p>
            <w:pPr>
              <w:spacing w:after="0"/>
            </w:pPr>
            <w:r>
              <w:rPr>
                <w:b/>
                <w:sz w:val="19"/>
              </w:rPr>
              <w:t>Empfehlung</w:t>
            </w:r>
          </w:p>
        </w:tc>
        <w:tc>
          <w:tcPr>
            <w:tcW w:type="dxa" w:w="2546"/>
            <w:shd w:val="clear" w:color="auto" w:fill="D9E2F3"/>
          </w:tcPr>
          <w:p>
            <w:pPr>
              <w:spacing w:after="0"/>
            </w:pPr>
            <w:r>
              <w:rPr>
                <w:b/>
                <w:sz w:val="19"/>
              </w:rPr>
              <w:t>Begründung (Ergebnis des Projekts)</w:t>
            </w:r>
          </w:p>
        </w:tc>
        <w:tc>
          <w:tcPr>
            <w:tcW w:type="dxa" w:w="2229"/>
            <w:shd w:val="clear" w:color="auto" w:fill="D9E2F3"/>
          </w:tcPr>
          <w:p>
            <w:pPr>
              <w:spacing w:after="0"/>
            </w:pPr>
            <w:r>
              <w:rPr>
                <w:b/>
                <w:sz w:val="19"/>
              </w:rPr>
              <w:t>Zuständig</w:t>
            </w:r>
          </w:p>
        </w:tc>
        <w:tc>
          <w:tcPr>
            <w:tcW w:type="dxa" w:w="1762"/>
            <w:shd w:val="clear" w:color="auto" w:fill="D9E2F3"/>
          </w:tcPr>
          <w:p>
            <w:pPr>
              <w:spacing w:after="0"/>
            </w:pPr>
            <w:r>
              <w:rPr>
                <w:b/>
                <w:sz w:val="19"/>
              </w:rPr>
              <w:t>Nächster Schritt</w:t>
            </w:r>
          </w:p>
        </w:tc>
      </w:tr>
      <w:tr>
        <w:trPr/>
        <w:tc>
          <w:tcPr>
            <w:tcW w:type="dxa" w:w="689"/>
          </w:tcPr>
          <w:p>
            <w:pPr>
              <w:spacing w:after="0"/>
            </w:pPr>
            <w:r>
              <w:rPr>
                <w:sz w:val="19"/>
              </w:rPr>
              <w:t>HE-1</w:t>
            </w:r>
          </w:p>
        </w:tc>
        <w:tc>
          <w:tcPr>
            <w:tcW w:type="dxa" w:w="2185"/>
          </w:tcPr>
          <w:p>
            <w:pPr>
              <w:spacing w:after="0"/>
            </w:pPr>
            <w:r>
              <w:rPr>
                <w:sz w:val="19"/>
              </w:rPr>
              <w:t>Die Plattform als Standard für weitere Datenquellen nutzen – zuerst als Pilot mit einer Datenquelle eines Fachbereichs (z. B. Finanzen)</w:t>
            </w:r>
          </w:p>
        </w:tc>
        <w:tc>
          <w:tcPr>
            <w:tcW w:type="dxa" w:w="2546"/>
          </w:tcPr>
          <w:p>
            <w:pPr>
              <w:spacing w:after="0"/>
            </w:pPr>
            <w:r>
              <w:rPr>
                <w:sz w:val="19"/>
              </w:rPr>
              <w:t>Ein zweiter Standort kam ohne neuen Code hinzu (nur neue Konfigurationszeilen); Gegenprobe Azure = lokale Berechnung</w:t>
            </w:r>
          </w:p>
        </w:tc>
        <w:tc>
          <w:tcPr>
            <w:tcW w:type="dxa" w:w="2229"/>
          </w:tcPr>
          <w:p>
            <w:pPr>
              <w:spacing w:after="0"/>
            </w:pPr>
            <w:r>
              <w:rPr>
                <w:sz w:val="19"/>
              </w:rPr>
              <w:t>Geschäftsleitung, IT &amp; Security</w:t>
            </w:r>
          </w:p>
        </w:tc>
        <w:tc>
          <w:tcPr>
            <w:tcW w:type="dxa" w:w="1762"/>
          </w:tcPr>
          <w:p>
            <w:pPr>
              <w:spacing w:after="0"/>
            </w:pPr>
            <w:r>
              <w:rPr>
                <w:sz w:val="19"/>
              </w:rPr>
              <w:t>Pilot-Datenquelle auswählen</w:t>
            </w:r>
          </w:p>
        </w:tc>
      </w:tr>
      <w:tr>
        <w:trPr/>
        <w:tc>
          <w:tcPr>
            <w:tcW w:type="dxa" w:w="689"/>
          </w:tcPr>
          <w:p>
            <w:pPr>
              <w:spacing w:after="0"/>
            </w:pPr>
            <w:r>
              <w:rPr>
                <w:sz w:val="19"/>
              </w:rPr>
              <w:t>HE-2</w:t>
            </w:r>
          </w:p>
        </w:tc>
        <w:tc>
          <w:tcPr>
            <w:tcW w:type="dxa" w:w="2185"/>
          </w:tcPr>
          <w:p>
            <w:pPr>
              <w:spacing w:after="0"/>
            </w:pPr>
            <w:r>
              <w:rPr>
                <w:sz w:val="19"/>
              </w:rPr>
              <w:t>Nur neue Daten verarbeiten (inkrementelle Verarbeitung)</w:t>
            </w:r>
          </w:p>
        </w:tc>
        <w:tc>
          <w:tcPr>
            <w:tcW w:type="dxa" w:w="2546"/>
          </w:tcPr>
          <w:p>
            <w:pPr>
              <w:spacing w:after="0"/>
            </w:pPr>
            <w:r>
              <w:rPr>
                <w:sz w:val="19"/>
              </w:rPr>
              <w:t>Heute rechnet jeder Lauf alle 2,5 Jahre neu: ca. 13 Minuten, ca. 0,50 € je Tageslauf, Hochrechnung ca. 15 € je Monat; die Bereinigung (Bronze → Silver) braucht fast zwei Drittel der Laufzeit</w:t>
            </w:r>
          </w:p>
        </w:tc>
        <w:tc>
          <w:tcPr>
            <w:tcW w:type="dxa" w:w="2229"/>
          </w:tcPr>
          <w:p>
            <w:pPr>
              <w:spacing w:after="0"/>
            </w:pPr>
            <w:r>
              <w:rPr>
                <w:sz w:val="19"/>
              </w:rPr>
              <w:t>IT &amp; Security (Data Engineer)</w:t>
            </w:r>
          </w:p>
        </w:tc>
        <w:tc>
          <w:tcPr>
            <w:tcW w:type="dxa" w:w="1762"/>
          </w:tcPr>
          <w:p>
            <w:pPr>
              <w:spacing w:after="0"/>
            </w:pPr>
            <w:r>
              <w:rPr>
                <w:sz w:val="19"/>
              </w:rPr>
              <w:t>FP-1 beauftragen; bis dahin Trigger gestoppt lassen</w:t>
            </w:r>
          </w:p>
        </w:tc>
      </w:tr>
      <w:tr>
        <w:trPr/>
        <w:tc>
          <w:tcPr>
            <w:tcW w:type="dxa" w:w="689"/>
          </w:tcPr>
          <w:p>
            <w:pPr>
              <w:spacing w:after="0"/>
            </w:pPr>
            <w:r>
              <w:rPr>
                <w:sz w:val="19"/>
              </w:rPr>
              <w:t>HE-3</w:t>
            </w:r>
          </w:p>
        </w:tc>
        <w:tc>
          <w:tcPr>
            <w:tcW w:type="dxa" w:w="2185"/>
          </w:tcPr>
          <w:p>
            <w:pPr>
              <w:spacing w:after="0"/>
            </w:pPr>
            <w:r>
              <w:rPr>
                <w:sz w:val="19"/>
              </w:rPr>
              <w:t>Eingang absichern: Dateinamen prüfen, Doppellieferungen (Duplikate) regeln, nur neue Dateien verarbeiten; im Fehlerfall Prüfordner</w:t>
            </w:r>
          </w:p>
        </w:tc>
        <w:tc>
          <w:tcPr>
            <w:tcW w:type="dxa" w:w="2546"/>
          </w:tcPr>
          <w:p>
            <w:pPr>
              <w:spacing w:after="0"/>
            </w:pPr>
            <w:r>
              <w:rPr>
                <w:sz w:val="19"/>
              </w:rPr>
              <w:t>Fehlerhafte Lieferungen sollen nicht unbemerkt durchlaufen</w:t>
            </w:r>
          </w:p>
        </w:tc>
        <w:tc>
          <w:tcPr>
            <w:tcW w:type="dxa" w:w="2229"/>
          </w:tcPr>
          <w:p>
            <w:pPr>
              <w:spacing w:after="0"/>
            </w:pPr>
            <w:r>
              <w:rPr>
                <w:sz w:val="19"/>
              </w:rPr>
              <w:t>IT &amp; Security (Data Engineer)</w:t>
            </w:r>
          </w:p>
        </w:tc>
        <w:tc>
          <w:tcPr>
            <w:tcW w:type="dxa" w:w="1762"/>
          </w:tcPr>
          <w:p>
            <w:pPr>
              <w:spacing w:after="0"/>
            </w:pPr>
            <w:r>
              <w:rPr>
                <w:sz w:val="19"/>
              </w:rPr>
              <w:t>Teil von FP-1</w:t>
            </w:r>
          </w:p>
        </w:tc>
      </w:tr>
      <w:tr>
        <w:trPr/>
        <w:tc>
          <w:tcPr>
            <w:tcW w:type="dxa" w:w="689"/>
          </w:tcPr>
          <w:p>
            <w:pPr>
              <w:spacing w:after="0"/>
            </w:pPr>
            <w:r>
              <w:rPr>
                <w:sz w:val="19"/>
              </w:rPr>
              <w:t>HE-4</w:t>
            </w:r>
          </w:p>
        </w:tc>
        <w:tc>
          <w:tcPr>
            <w:tcW w:type="dxa" w:w="2185"/>
          </w:tcPr>
          <w:p>
            <w:pPr>
              <w:spacing w:after="0"/>
            </w:pPr>
            <w:r>
              <w:rPr>
                <w:sz w:val="19"/>
              </w:rPr>
              <w:t>Starten, sobald Daten ankommen (ereignisbasierter Trigger); Wetter täglich über eine eigene Pipeline für den Vortag</w:t>
            </w:r>
          </w:p>
        </w:tc>
        <w:tc>
          <w:tcPr>
            <w:tcW w:type="dxa" w:w="2546"/>
          </w:tcPr>
          <w:p>
            <w:pPr>
              <w:spacing w:after="0"/>
            </w:pPr>
            <w:r>
              <w:rPr>
                <w:sz w:val="19"/>
              </w:rPr>
              <w:t>Keine leeren Läufe, aktuelle Kennzahlen am Morgen</w:t>
            </w:r>
          </w:p>
        </w:tc>
        <w:tc>
          <w:tcPr>
            <w:tcW w:type="dxa" w:w="2229"/>
          </w:tcPr>
          <w:p>
            <w:pPr>
              <w:spacing w:after="0"/>
            </w:pPr>
            <w:r>
              <w:rPr>
                <w:sz w:val="19"/>
              </w:rPr>
              <w:t>IT &amp; Security (Data Engineer)</w:t>
            </w:r>
          </w:p>
        </w:tc>
        <w:tc>
          <w:tcPr>
            <w:tcW w:type="dxa" w:w="1762"/>
          </w:tcPr>
          <w:p>
            <w:pPr>
              <w:spacing w:after="0"/>
            </w:pPr>
            <w:r>
              <w:rPr>
                <w:sz w:val="19"/>
              </w:rPr>
              <w:t>Teil von FP-1</w:t>
            </w:r>
          </w:p>
        </w:tc>
      </w:tr>
      <w:tr>
        <w:trPr/>
        <w:tc>
          <w:tcPr>
            <w:tcW w:type="dxa" w:w="689"/>
          </w:tcPr>
          <w:p>
            <w:pPr>
              <w:spacing w:after="0"/>
            </w:pPr>
            <w:r>
              <w:rPr>
                <w:sz w:val="19"/>
              </w:rPr>
              <w:t>HE-5</w:t>
            </w:r>
          </w:p>
        </w:tc>
        <w:tc>
          <w:tcPr>
            <w:tcW w:type="dxa" w:w="2185"/>
          </w:tcPr>
          <w:p>
            <w:pPr>
              <w:spacing w:after="0"/>
            </w:pPr>
            <w:r>
              <w:rPr>
                <w:sz w:val="19"/>
              </w:rPr>
              <w:t>Gold-Ebene als Sternschema für Berichte (Power BI)</w:t>
            </w:r>
          </w:p>
        </w:tc>
        <w:tc>
          <w:tcPr>
            <w:tcW w:type="dxa" w:w="2546"/>
          </w:tcPr>
          <w:p>
            <w:pPr>
              <w:spacing w:after="0"/>
            </w:pPr>
            <w:r>
              <w:rPr>
                <w:sz w:val="19"/>
              </w:rPr>
              <w:t>Kennzahlen (Fakten) und Merkmale (Dimensionen wie Standort, Datum) getrennt – einfache Auswertung im Dashboard</w:t>
            </w:r>
          </w:p>
        </w:tc>
        <w:tc>
          <w:tcPr>
            <w:tcW w:type="dxa" w:w="2229"/>
          </w:tcPr>
          <w:p>
            <w:pPr>
              <w:spacing w:after="0"/>
            </w:pPr>
            <w:r>
              <w:rPr>
                <w:sz w:val="19"/>
              </w:rPr>
              <w:t>IT &amp; Security (Data Analyst)</w:t>
            </w:r>
          </w:p>
        </w:tc>
        <w:tc>
          <w:tcPr>
            <w:tcW w:type="dxa" w:w="1762"/>
          </w:tcPr>
          <w:p>
            <w:pPr>
              <w:spacing w:after="0"/>
            </w:pPr>
            <w:r>
              <w:rPr>
                <w:sz w:val="19"/>
              </w:rPr>
              <w:t>Teil von FP-2</w:t>
            </w:r>
          </w:p>
        </w:tc>
      </w:tr>
      <w:tr>
        <w:trPr/>
        <w:tc>
          <w:tcPr>
            <w:tcW w:type="dxa" w:w="689"/>
          </w:tcPr>
          <w:p>
            <w:pPr>
              <w:spacing w:after="0"/>
            </w:pPr>
            <w:r>
              <w:rPr>
                <w:sz w:val="19"/>
              </w:rPr>
              <w:t>HE-6</w:t>
            </w:r>
          </w:p>
        </w:tc>
        <w:tc>
          <w:tcPr>
            <w:tcW w:type="dxa" w:w="2185"/>
          </w:tcPr>
          <w:p>
            <w:pPr>
              <w:spacing w:after="0"/>
            </w:pPr>
            <w:r>
              <w:rPr>
                <w:sz w:val="19"/>
              </w:rPr>
              <w:t>Rechte nach Rollen (RBAC, Role-Based Access Control – rollenbasierte Zugriffssteuerung) und Versionsverwaltung (Git)</w:t>
            </w:r>
          </w:p>
        </w:tc>
        <w:tc>
          <w:tcPr>
            <w:tcW w:type="dxa" w:w="2546"/>
          </w:tcPr>
          <w:p>
            <w:pPr>
              <w:spacing w:after="0"/>
            </w:pPr>
            <w:r>
              <w:rPr>
                <w:sz w:val="19"/>
              </w:rPr>
              <w:t>Heute eine Person mit allen Rechten, Firewall offen für alle IP-Adressen, Änderungen per Import statt Versionsverwaltung</w:t>
            </w:r>
          </w:p>
        </w:tc>
        <w:tc>
          <w:tcPr>
            <w:tcW w:type="dxa" w:w="2229"/>
          </w:tcPr>
          <w:p>
            <w:pPr>
              <w:spacing w:after="0"/>
            </w:pPr>
            <w:r>
              <w:rPr>
                <w:sz w:val="19"/>
              </w:rPr>
              <w:t>IT &amp; Security, Stabsstelle Informationssicherheit</w:t>
            </w:r>
          </w:p>
        </w:tc>
        <w:tc>
          <w:tcPr>
            <w:tcW w:type="dxa" w:w="1762"/>
          </w:tcPr>
          <w:p>
            <w:pPr>
              <w:spacing w:after="0"/>
            </w:pPr>
            <w:r>
              <w:rPr>
                <w:sz w:val="19"/>
              </w:rPr>
              <w:t>FP-5; Git-Anbindung in FP-1</w:t>
            </w:r>
          </w:p>
        </w:tc>
      </w:tr>
    </w:tbl>
    <w:p>
      <w:pPr>
        <w:spacing w:after="0" w:line="20" w:lineRule="exact"/>
      </w:pPr>
    </w:p>
    <w:p>
      <w:pPr>
        <w:shd w:val="clear" w:color="auto" w:fill="F2F2F2"/>
        <w:pBdr>
          <w:left w:val="single" w:sz="18" w:space="8" w:color="1F3A5F"/>
        </w:pBdr>
      </w:pPr>
      <w:r>
        <w:rPr>
          <w:b/>
        </w:rPr>
        <w:t>Unabhängig von den Empfehlungen:</w:t>
      </w:r>
      <w:r>
        <w:t xml:space="preserve"> Azure-Ressourcen nach Kursende sichern und nach Freigabe löschen (Guthaben endet am 18.10.2026; Abschnitt 5.14.3–5.14.5, IT-Systemadministrator mit Abteilung Finanzen).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PP-ITS-002_Projektplan_Azure-Datenplattform_v1.11  ·  Seite </w:t>
    </w:r>
    <w:r>
      <w:rPr>
        <w:color w:val="595959"/>
        <w:sz w:val="16"/>
      </w:rPr>
      <w:fldChar w:fldCharType="begin"/>
      <w:instrText xml:space="preserve">PAGE</w:instrText>
      <w:fldChar w:fldCharType="end"/>
    </w:r>
    <w:r>
      <w:rPr>
        <w:color w:val="595959"/>
        <w:sz w:val="16"/>
      </w:rPr>
      <w:t xml:space="preserve"> von </w:t>
    </w:r>
    <w:r>
      <w:rPr>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