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120" w:before="0" w:line="276" w:lineRule="auto"/>
        <w:jc w:val="center"/>
      </w:pPr>
      <w:r>
        <w:rPr>
          <w:rFonts w:ascii="Calibri" w:hAnsi="Calibri" w:eastAsia="Calibri"/>
          <w:b/>
          <w:color w:val="1F4E79"/>
          <w:sz w:val="56"/>
        </w:rPr>
        <w:t>MY WORKS APP</w:t>
      </w:r>
    </w:p>
    <w:p>
      <w:pPr>
        <w:spacing w:after="360" w:before="0" w:line="276" w:lineRule="auto"/>
        <w:jc w:val="center"/>
      </w:pPr>
      <w:r>
        <w:rPr>
          <w:rFonts w:ascii="Calibri" w:hAnsi="Calibri" w:eastAsia="Calibri"/>
          <w:b/>
          <w:color w:val="464646"/>
          <w:sz w:val="36"/>
        </w:rPr>
        <w:t>Diccionario de Base de Datos</w:t>
      </w:r>
    </w:p>
    <w:p>
      <w:pPr>
        <w:spacing w:after="80" w:before="0" w:line="276" w:lineRule="auto"/>
        <w:jc w:val="center"/>
      </w:pPr>
      <w:r>
        <w:rPr>
          <w:rFonts w:ascii="Calibri" w:hAnsi="Calibri" w:eastAsia="Calibri"/>
          <w:b w:val="0"/>
          <w:color w:val="5A5A5A"/>
          <w:sz w:val="22"/>
        </w:rPr>
        <w:t>Documento técnico de esquema · PostgreSQL / Supabase</w:t>
        <w:br/>
        <w:t>Versión 1.1 · 14 de septiembre de 2026</w:t>
        <w:br/>
        <w:t>Convención: español · snake_case</w:t>
      </w:r>
    </w:p>
    <w:p>
      <w:pPr>
        <w:spacing w:after="160" w:before="480" w:line="276" w:lineRule="auto"/>
        <w:jc w:val="center"/>
      </w:pPr>
      <w:r>
        <w:rPr>
          <w:rFonts w:ascii="Calibri" w:hAnsi="Calibri" w:eastAsia="Calibri"/>
          <w:b w:val="0"/>
          <w:color w:val="646464"/>
          <w:sz w:val="20"/>
        </w:rPr>
        <w:t>Uso académico y de desarrollo. Describe el esquema public consumido por las aplicaciones móvil, web y escritorio.</w:t>
      </w:r>
    </w:p>
    <w:p>
      <w:r>
        <w:br w:type="page"/>
      </w:r>
    </w:p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32"/>
        </w:rPr>
        <w:t>1. Identificación del documento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703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Proyecto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My Works App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Proyecto Supabase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wxqrfcqifkfgawrnqmnj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Motor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PostgreSQL (Supabase)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Esquema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public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Convención de nombres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Español + snake_case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Versión del documento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1.1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Fecha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2026-09-14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Estado de migraciones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Rename ES (04) + catálogo (02). RLS (05) versionada en repo; confirmar aplicación remota.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Tipado observado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Híbrido: IDs uuid y text; booleanos como int 0/1; fechas a menudo text ISO.</w:t>
            </w:r>
          </w:p>
        </w:tc>
      </w:tr>
    </w:tbl>
    <w:p/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32"/>
        </w:rPr>
        <w:t>2. Propósito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sz w:val="22"/>
        </w:rPr>
        <w:t>Este diccionario constituye el contrato canónico de datos de negocio del sistema My Works App. Documenta tablas, columnas, significados, códigos de dominio, relaciones lógicas, artefactos de seguridad (triggers, RLS, RPC) y los clientes que consumen cada entidad. Está orientado a defensa académica, onboarding técnico y control de cambios tras el rename del esquema a español.</w:t>
      </w:r>
    </w:p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32"/>
        </w:rPr>
        <w:t>3. Inventario de tablas (28)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sz w:val="22"/>
        </w:rPr>
        <w:t>Todas las tablas de negocio listadas pertenecen al esquema public. La columna «Origen EN» indica el nombre previo al rename.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2351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Tabla</w:t>
            </w:r>
          </w:p>
        </w:tc>
        <w:tc>
          <w:tcPr>
            <w:tcW w:type="dxa" w:w="2351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Origen EN</w:t>
            </w:r>
          </w:p>
        </w:tc>
        <w:tc>
          <w:tcPr>
            <w:tcW w:type="dxa" w:w="2351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Propósito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perfiles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profiles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Identidad de aplicación ligada a Auth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trabajadores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workers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Perfil profesional 1:1 con usuario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servicios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services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Catálogo de oficios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trabajos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jobs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Solicitud y ciclo de vida del servicio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5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pagos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payments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Escrow / pagos (pasarela simulada en clientes)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6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mensajes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messages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Chat asociado a un trabajo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7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disputas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disputes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Conflictos y mediación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8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notificaciones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notifications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Bandeja in-app / Realtime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9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calificaciones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ratings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Puntaje 1–5 post-servicio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10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reportes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Denuncias entre usuarios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11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propuestas_cotizacion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quote_proposals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Cotizaciones abiertas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12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ordenes_cambio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change_orders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Cambios de alcance / extras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13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fotos_trabajo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job_photos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Evidencia fotográfica o video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14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portafolio_trabajador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worker_portfolio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Galería del profesional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15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trabajador_servicios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worker_services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Relación N:M categorías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16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cancelaciones_trabajo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job_cancellations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Auditoría de cancelación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17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registros_error_app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app_error_logs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Telemetría de errores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18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eventos_abuso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abuse_events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Detección antiabuso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19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acciones_pendientes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pending_actions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Cola de sync offline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bloqueos_usuario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user_blocks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Bloqueos mutuos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21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consentimientos_usuario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user_consents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Términos / GDPR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22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banderas_funcionalidad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feature_flags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Feature flags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23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suscripciones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subscriptions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Planes de monetización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24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impulsos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boosts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Boost de visibilidad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25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eventos_analitica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analytics_events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Analítica de producto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26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configuraciones_servicio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service_configs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Schema UI por servicio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27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codigos_restablecimiento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password_reset_codes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Códigos reset password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28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tickets_soporte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tickets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Mesa de soporte / desk</w:t>
            </w:r>
          </w:p>
        </w:tc>
      </w:tr>
    </w:tbl>
    <w:p/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32"/>
        </w:rPr>
        <w:t>4. Glosario de códigos de dominio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sz w:val="22"/>
        </w:rPr>
        <w:t>Los valores siguientes son los códigos almacenados en base de datos tras la migración a español. Las aplicaciones deben usar estos literales (no los antiguos en inglés).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Dominio</w:t>
            </w:r>
          </w:p>
        </w:tc>
        <w:tc>
          <w:tcPr>
            <w:tcW w:type="dxa" w:w="4703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Valores permitidos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Rol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usuario | trabajador | administrador (is_admin también acepta admin)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Estado de cuenta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activo | suspendido | bloqueado | eliminado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Estado de trabajo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pendiente | aceptado | en_curso | completado | cancelado | expirado | no_asistio | esperando_pago | esperando_cotizaciones | cotizacion_seleccionada | pausado_orden_cambio | esperando_aprobacion_cliente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Estado de pago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ninguno | pendiente | autorizado | retenido | liberado | reembolsado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Modalidad de cobro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legado | precio_fijo | bloque_horas | cotizacion_abierta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Tipo de pago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principal | orden_cambio | horas_extra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Disputa (estado)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abierta | en_revision | resuelta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Disputa (motivo)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calidad | pago | conducta | otro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Reporte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pendiente | revisado | resuelto | descartado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Categoría de servicio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construccion | plomeria | electricidad | limpieza | ensamblaje | soporte_tecnico | jardinera | mudanza | general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Modelo de precio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por_hora | fijo | por_item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Cotización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enviada | retirada | aceptada | rechazada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Orden de cambio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pendiente_cliente | aprobada | rechazada | pagada | cancelada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Mensaje / medio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texto | imagen · foto | video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Error de app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nuevo | reconocido | resuelto | ignorado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Sync offline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pendiente_sync | sincronizando | sincronizado | fallido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Suscripción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activa | cancelada | expirada · planes: gratuito | basico | premium | empresarial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Impulso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visibilidad | prioridad | destacado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Ticket soporte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pendiente | resuelto</w:t>
            </w:r>
          </w:p>
        </w:tc>
      </w:tr>
    </w:tbl>
    <w:p/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32"/>
        </w:rPr>
        <w:t>5. Detalle de tablas núcleo</w:t>
      </w:r>
    </w:p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26"/>
        </w:rPr>
        <w:t>5.1 perfiles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sz w:val="22"/>
        </w:rPr>
        <w:t>Perfil de aplicación vinculado a auth.users. La clave primaria coincide con el identificador de Auth.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Columna</w:t>
            </w:r>
          </w:p>
        </w:tc>
        <w:tc>
          <w:tcPr>
            <w:tcW w:type="dxa" w:w="2351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Tipo lógico</w:t>
            </w:r>
          </w:p>
        </w:tc>
        <w:tc>
          <w:tcPr>
            <w:tcW w:type="dxa" w:w="2351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Nulo</w:t>
            </w:r>
          </w:p>
        </w:tc>
        <w:tc>
          <w:tcPr>
            <w:tcW w:type="dxa" w:w="2351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id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uuid (típico)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PK = auth.users.id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nombre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text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Nombre visible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correo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text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Correo electrónico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rol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text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Ver glosario de roles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estado_cuenta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text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Ver glosario de estados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ruta_foto_perfil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text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Sí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URL o ruta de foto</w:t>
            </w:r>
          </w:p>
        </w:tc>
      </w:tr>
      <w:tr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creado_en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text / timestamptz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</w:t>
            </w:r>
          </w:p>
        </w:tc>
        <w:tc>
          <w:tcPr>
            <w:tcW w:type="dxa" w:w="2351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Fecha de alta</w:t>
            </w:r>
          </w:p>
        </w:tc>
      </w:tr>
    </w:tbl>
    <w:p/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sz w:val="22"/>
        </w:rPr>
        <w:t>Índice: idx_perfiles_rol. Triggers: handle_new_user (alta segura sin auto-admin); protect_profiles_sensitive (impide cambio de rol/estado_cuenta sin is_admin).</w:t>
      </w:r>
    </w:p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26"/>
        </w:rPr>
        <w:t>5.2 trabajadores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Columna</w:t>
            </w:r>
          </w:p>
        </w:tc>
        <w:tc>
          <w:tcPr>
            <w:tcW w:type="dxa" w:w="3135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135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id_usuario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PK / FK → perfiles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Identificador del profesional</w:t>
            </w:r>
          </w:p>
        </w:tc>
      </w:tr>
      <w:tr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profesion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text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Oficio declarado</w:t>
            </w:r>
          </w:p>
        </w:tc>
      </w:tr>
      <w:tr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descripcion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text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Biografía profesional</w:t>
            </w:r>
          </w:p>
        </w:tc>
      </w:tr>
      <w:tr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calificacion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numeric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Rating agregado</w:t>
            </w:r>
          </w:p>
        </w:tc>
      </w:tr>
      <w:tr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disponible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 0/1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Disponibilidad para nuevos trabajos</w:t>
            </w:r>
          </w:p>
        </w:tc>
      </w:tr>
      <w:tr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tarifa_visita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numeric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Tarifa de visita en CLP</w:t>
            </w:r>
          </w:p>
        </w:tc>
      </w:tr>
      <w:tr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categoria_servicio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text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Categoría principal</w:t>
            </w:r>
          </w:p>
        </w:tc>
      </w:tr>
      <w:tr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niveles_precio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Tiers de precio</w:t>
            </w:r>
          </w:p>
        </w:tc>
      </w:tr>
      <w:tr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servicios_personalizados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Servicios adicionales</w:t>
            </w:r>
          </w:p>
        </w:tc>
      </w:tr>
      <w:tr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precios_configurados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 0/1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Indica si completó setup de precios</w:t>
            </w:r>
          </w:p>
        </w:tc>
      </w:tr>
      <w:tr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zona_trabajo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text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Comuna o zona de cobertura</w:t>
            </w:r>
          </w:p>
        </w:tc>
      </w:tr>
      <w:tr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conteo_rechazos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Penaliza el orden en listados</w:t>
            </w:r>
          </w:p>
        </w:tc>
      </w:tr>
    </w:tbl>
    <w:p/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sz w:val="22"/>
        </w:rPr>
        <w:t>FK documentada: trabajadores_id_usuario_fkey. Índice: idx_trabajadores_categoria.</w:t>
      </w:r>
    </w:p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26"/>
        </w:rPr>
        <w:t>5.3 servicios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sz w:val="22"/>
        </w:rPr>
        <w:t>Catálogo: id, nombre, descripcion, categoria, activo, requiere_certificacion, modelo_precio (por_hora | fijo | por_item), aviso_legal, creado_en, actualizado_en.</w:t>
      </w:r>
    </w:p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26"/>
        </w:rPr>
        <w:t>5.4 trabajos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sz w:val="22"/>
        </w:rPr>
        <w:t>Entidad operativa central. Columnas: id (frecuentemente text), id_usuario, id_trabajador, id_servicio, estado, direccion, latitud, longitud, descripcion, fecha_programada, metadatos_servicio, modalidad_cobro, estado_pago, id_comuna, instantanea_precio, id_sku_servicio, horas_bloque, id_cotizacion_seleccionada, creado_en, actualizado_en. Índices: estado, id_usuario, id_trabajador, creado_en.</w:t>
      </w:r>
    </w:p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26"/>
        </w:rPr>
        <w:t>5.5 pagos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sz w:val="22"/>
        </w:rPr>
        <w:t>id, id_trabajo, id_orden_cambio, tipo_pago, monto, moneda (CLP), estado, metodo_pago, id_transaccion, autorizado_en, liberado_en, reembolsado_en, creado_en, actualizado_en. Importante: en las aplicaciones cliente el flujo de pasarela es simulación académica; no hay cobro real integrado.</w:t>
      </w:r>
    </w:p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26"/>
        </w:rPr>
        <w:t>5.6 mensajes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sz w:val="22"/>
        </w:rPr>
        <w:t>id_trabajo, id_remitente, id_destinatario, contenido, tipo (texto|imagen), ruta_imagen, leido, creado_en.</w:t>
      </w:r>
    </w:p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26"/>
        </w:rPr>
        <w:t>5.7 disputas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sz w:val="22"/>
        </w:rPr>
        <w:t>id_trabajo, abierta_por, motivo, descripcion, estado, resolucion, resuelta_por, resuelta_en, creado_en, actualizado_en. Actualización de resolución reservada a administradores (policy + RPC admin_actualizar_estado_disputa).</w:t>
      </w:r>
    </w:p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26"/>
        </w:rPr>
        <w:t>5.8 notificaciones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sz w:val="22"/>
        </w:rPr>
        <w:t>id_usuario, tipo (códigos de evento aún en inglés, p. ej. job_accepted), titulo, cuerpo, id_relacionado, leido, creado_en. Canal Realtime: notificaciones.</w:t>
      </w:r>
    </w:p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26"/>
        </w:rPr>
        <w:t>5.9 calificaciones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sz w:val="22"/>
        </w:rPr>
        <w:t>id_trabajo, id_usuario, puntaje (1–5), comentario, creado_en.</w:t>
      </w:r>
    </w:p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26"/>
        </w:rPr>
        <w:t>5.10 reportes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sz w:val="22"/>
        </w:rPr>
        <w:t>id_reportante, id_usuario_reportado, motivo, descripcion, estado, creado_en.</w:t>
      </w:r>
    </w:p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32"/>
        </w:rPr>
        <w:t>6. Tablas secundarias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Tabla</w:t>
            </w:r>
          </w:p>
        </w:tc>
        <w:tc>
          <w:tcPr>
            <w:tcW w:type="dxa" w:w="4703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Columnas clave / nota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propuestas_cotizacion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id_trabajo, id_trabajador, monto_total_clp, estado, validez_hasta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ordenes_cambio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id_trabajo, id_trabajador, monto_clp, estado, id_pago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fotos_trabajo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id_trabajo, ruta_foto, tipo_medio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portafolio_trabajador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id_trabajador, ruta_foto, tipo_medio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trabajador_servicios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N:M id_trabajador + categoria_servicio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cancelaciones_trabajo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id_trabajo, cancelado_por, motivo, cancelado_en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registros_error_app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Telemetría; policy INSERT autenticado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eventos_abuso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Antiabuso; códigos de tipo aún EN en modelo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acciones_pendientes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Cola sync offline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bloqueos_usuario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id_bloqueador, id_bloqueado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consentimientos_usuario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GDPR / versión de consentimiento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banderas_funcionalidad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Feature flags por rol/versión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suscripciones / impulsos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Monetización y boost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eventos_analitica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Product analytics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configuraciones_servicio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esquema_config por servicio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codigos_restablecimiento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Reset password (sin model Dart dedicado)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tickets_soporte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Mesa de ayuda; UI desktop parcialmente DEMO</w:t>
            </w:r>
          </w:p>
        </w:tc>
      </w:tr>
    </w:tbl>
    <w:p/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32"/>
        </w:rPr>
        <w:t>7. Seguridad y funciones (migración 05)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sz w:val="22"/>
        </w:rPr>
        <w:t>La migración 20260914000005_rls_politicas_negocio.sql habilita Row Level Security en las tablas de negocio y define helpers y RPC administrativos. Debido al tipado híbrido uuid/text, las comparaciones de identidad usan ::text en ambos lados.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Artefacto</w:t>
            </w:r>
          </w:p>
        </w:tc>
        <w:tc>
          <w:tcPr>
            <w:tcW w:type="dxa" w:w="4703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Efecto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is_admin()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True si el perfil autenticado es admin/administrador y cuenta activa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es_parte_trabajo(text)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Cliente o trabajador del trabajo, o admin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RLS policies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Lectura/escritura restringida a propio, parte del trabajo, admin o marketplace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admin_metricas_resumen()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de métricas; solo administradores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admin_actualizar_estado_disputa(...)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Cambia estado/resolución de disputa; solo admin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handle_new_user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Crea perfiles en signup; no permite auto-asignarse administrador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protect_profile_sensitive_fields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Bloquea cambio de rol/estado_cuenta sin admin</w:t>
            </w:r>
          </w:p>
        </w:tc>
      </w:tr>
    </w:tbl>
    <w:p/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32"/>
        </w:rPr>
        <w:t>8. Aplicaciones consumidoras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Aplicación</w:t>
            </w:r>
          </w:p>
        </w:tc>
        <w:tc>
          <w:tcPr>
            <w:tcW w:type="dxa" w:w="4703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Consumo principal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Flutter (móvil)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Repositories sobre casi todas las tablas de negocio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Web (React)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Catálogo, trabajadores, trabajos; checkout de pago simulado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Desktop (Tauri/React)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Disputas y métricas vía RPC; paneles DEMO etiquetados</w:t>
            </w:r>
          </w:p>
        </w:tc>
      </w:tr>
      <w:tr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Paquete shared</w:t>
            </w:r>
          </w:p>
        </w:tc>
        <w:tc>
          <w:tcPr>
            <w:tcW w:type="dxa" w:w="4703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tipada, repos TS, métricas y disputas admin</w:t>
            </w:r>
          </w:p>
        </w:tc>
      </w:tr>
    </w:tbl>
    <w:p/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32"/>
        </w:rPr>
        <w:t>9. Limitaciones y gaps conocidos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Gap</w:t>
            </w:r>
          </w:p>
        </w:tc>
        <w:tc>
          <w:tcPr>
            <w:tcW w:type="dxa" w:w="3135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Severidad</w:t>
            </w:r>
          </w:p>
        </w:tc>
        <w:tc>
          <w:tcPr>
            <w:tcW w:type="dxa" w:w="3135"/>
            <w:shd w:fill="1F4E79" w:val="clear"/>
          </w:tcPr>
          <w:p>
            <w:pPr>
              <w:spacing w:after="40" w:before="40" w:line="240" w:lineRule="auto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Comentario</w:t>
            </w:r>
          </w:p>
        </w:tc>
      </w:tr>
      <w:tr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Confirmar RLS 05 en proyecto remoto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Alta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El script está en el repositorio; la seguridad efectiva depende de aplicarlo en Supabase.</w:t>
            </w:r>
          </w:p>
        </w:tc>
      </w:tr>
      <w:tr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Tipado híbrido uuid / text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Media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Policies y RPC usan casts ::text. Falta dump CREATE TABLE histórico versionado.</w:t>
            </w:r>
          </w:p>
        </w:tc>
      </w:tr>
      <w:tr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Códigos de notificación / abuso en inglés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Baja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migrados a español en datos.</w:t>
            </w:r>
          </w:p>
        </w:tc>
      </w:tr>
      <w:tr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Tabla service_pricing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Baja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Existe model/TODO en código sin tabla en el rename.</w:t>
            </w:r>
          </w:p>
        </w:tc>
      </w:tr>
      <w:tr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Clave publishable en Flutter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Media</w:t>
            </w:r>
          </w:p>
        </w:tc>
        <w:tc>
          <w:tcPr>
            <w:tcW w:type="dxa" w:w="3135"/>
          </w:tcPr>
          <w:p>
            <w:pPr>
              <w:spacing w:after="40" w:before="40" w:line="240" w:lineRule="auto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Web y desktop usan variables de entorno; Flutter aún embebe la clave pública.</w:t>
            </w:r>
          </w:p>
        </w:tc>
      </w:tr>
    </w:tbl>
    <w:p/>
    <w:p>
      <w:pPr>
        <w:spacing w:after="200" w:before="280" w:line="276" w:lineRule="auto"/>
      </w:pPr>
      <w:r>
        <w:rPr>
          <w:rFonts w:ascii="Calibri" w:hAnsi="Calibri" w:eastAsia="Calibri"/>
          <w:b/>
          <w:color w:val="1F4E79"/>
          <w:sz w:val="32"/>
        </w:rPr>
        <w:t>10. Referencias</w:t>
      </w:r>
    </w:p>
    <w:p>
      <w:pPr>
        <w:spacing w:after="160" w:before="0" w:line="276" w:lineRule="auto"/>
        <w:jc w:val="both"/>
      </w:pPr>
      <w:r>
        <w:rPr>
          <w:rFonts w:ascii="Calibri" w:hAnsi="Calibri" w:eastAsia="Calibri"/>
          <w:b w:val="0"/>
          <w:sz w:val="22"/>
        </w:rPr>
        <w:t>docs/mapa_esquema_en_es.md · docs/APLICAR_MIGRACION_ES.md · docs/AUDITORIA_PROYECTO.md · myworksapp_app/supabase/migrations/20260914000004_aplicar_rename_es.sql · 20260914000002_catalogo_datos_es.sql · 20260914000005_rls_politicas_negocio.sql</w:t>
      </w:r>
    </w:p>
    <w:p>
      <w:pPr>
        <w:spacing w:after="160" w:before="360" w:line="276" w:lineRule="auto"/>
        <w:jc w:val="center"/>
      </w:pPr>
      <w:r>
        <w:rPr>
          <w:rFonts w:ascii="Calibri" w:hAnsi="Calibri" w:eastAsia="Calibri"/>
          <w:b w:val="0"/>
          <w:color w:val="787878"/>
          <w:sz w:val="18"/>
        </w:rPr>
        <w:t>— Fin del diccionario · My Works App · Documento confidencial de proyecto —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