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76" w:lineRule="auto"/>
        <w:jc w:val="right"/>
      </w:pPr>
      <w:r>
        <w:drawing>
          <wp:inline xmlns:a="http://schemas.openxmlformats.org/drawingml/2006/main" xmlns:pic="http://schemas.openxmlformats.org/drawingml/2006/picture">
            <wp:extent cx="1512000" cy="338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uoc-uc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338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720" w:line="276" w:lineRule="auto"/>
        <w:jc w:val="center"/>
      </w:pPr>
      <w:r>
        <w:rPr>
          <w:rFonts w:ascii="Calibri" w:hAnsi="Calibri" w:eastAsia="Calibri"/>
          <w:b/>
          <w:color w:val="003366"/>
          <w:sz w:val="32"/>
        </w:rPr>
        <w:t>DUOC UC</w:t>
      </w:r>
    </w:p>
    <w:p>
      <w:pPr>
        <w:spacing w:after="80" w:before="0" w:line="276" w:lineRule="auto"/>
        <w:jc w:val="center"/>
      </w:pPr>
      <w:r>
        <w:rPr>
          <w:rFonts w:ascii="Calibri" w:hAnsi="Calibri" w:eastAsia="Calibri"/>
          <w:b w:val="0"/>
          <w:color w:val="404040"/>
          <w:sz w:val="24"/>
        </w:rPr>
        <w:t>Sede Puerto Montt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color w:val="404040"/>
          <w:sz w:val="22"/>
        </w:rPr>
        <w:t>Capstone / Proyecto de Título Profesional — PTY4614 (APT)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color w:val="E65100"/>
          <w:sz w:val="20"/>
        </w:rPr>
        <w:t>━━━━━━━━━━━━━━━━━━━━━━━━━━━━━━━━━━━━</w:t>
      </w:r>
    </w:p>
    <w:p>
      <w:pPr>
        <w:spacing w:after="160" w:before="0" w:line="276" w:lineRule="auto"/>
        <w:jc w:val="center"/>
      </w:pPr>
      <w:r>
        <w:rPr>
          <w:rFonts w:ascii="Calibri" w:hAnsi="Calibri" w:eastAsia="Calibri"/>
          <w:b/>
          <w:color w:val="E65100"/>
          <w:sz w:val="28"/>
        </w:rPr>
        <w:t>INFORME TÉCNICO</w:t>
      </w:r>
    </w:p>
    <w:p>
      <w:pPr>
        <w:spacing w:after="120" w:before="0" w:line="276" w:lineRule="auto"/>
        <w:jc w:val="center"/>
      </w:pPr>
      <w:r>
        <w:rPr>
          <w:rFonts w:ascii="Calibri" w:hAnsi="Calibri" w:eastAsia="Calibri"/>
          <w:b/>
          <w:color w:val="003366"/>
          <w:sz w:val="36"/>
        </w:rPr>
        <w:t>Pruebas de carga y estimación de capacidad</w:t>
      </w:r>
    </w:p>
    <w:p>
      <w:pPr>
        <w:spacing w:after="480" w:before="0" w:line="276" w:lineRule="auto"/>
        <w:jc w:val="center"/>
      </w:pPr>
      <w:r>
        <w:rPr>
          <w:rFonts w:ascii="Calibri" w:hAnsi="Calibri" w:eastAsia="Calibri"/>
          <w:b/>
          <w:color w:val="404040"/>
          <w:sz w:val="28"/>
        </w:rPr>
        <w:t>Proyecto: My Works App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Asignatura / programa: </w:t>
      </w:r>
      <w:r>
        <w:rPr>
          <w:rFonts w:ascii="Calibri" w:hAnsi="Calibri" w:eastAsia="Calibri"/>
          <w:b w:val="0"/>
          <w:color w:val="404040"/>
          <w:sz w:val="20"/>
        </w:rPr>
        <w:t>Capstone PTY4614 (APT)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Institución: </w:t>
      </w:r>
      <w:r>
        <w:rPr>
          <w:rFonts w:ascii="Calibri" w:hAnsi="Calibri" w:eastAsia="Calibri"/>
          <w:b w:val="0"/>
          <w:color w:val="404040"/>
          <w:sz w:val="20"/>
        </w:rPr>
        <w:t>Duoc UC — Sede Puerto Montt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Equipo: </w:t>
      </w:r>
      <w:r>
        <w:rPr>
          <w:rFonts w:ascii="Calibri" w:hAnsi="Calibri" w:eastAsia="Calibri"/>
          <w:b w:val="0"/>
          <w:color w:val="404040"/>
          <w:sz w:val="20"/>
        </w:rPr>
        <w:t>Mathias Alejandro Jara Alvarado · Nicolas Chiguay · Gabriel Valderas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Fecha de las pruebas: </w:t>
      </w:r>
      <w:r>
        <w:rPr>
          <w:rFonts w:ascii="Calibri" w:hAnsi="Calibri" w:eastAsia="Calibri"/>
          <w:b w:val="0"/>
          <w:color w:val="404040"/>
          <w:sz w:val="20"/>
        </w:rPr>
        <w:t>20 de septiembre de 2026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Herramienta: </w:t>
      </w:r>
      <w:r>
        <w:rPr>
          <w:rFonts w:ascii="Calibri" w:hAnsi="Calibri" w:eastAsia="Calibri"/>
          <w:b w:val="0"/>
          <w:color w:val="404040"/>
          <w:sz w:val="20"/>
        </w:rPr>
        <w:t>Grafana k6 v2.2.0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Ambiente: </w:t>
      </w:r>
      <w:r>
        <w:rPr>
          <w:rFonts w:ascii="Calibri" w:hAnsi="Calibri" w:eastAsia="Calibri"/>
          <w:b w:val="0"/>
          <w:color w:val="404040"/>
          <w:sz w:val="20"/>
        </w:rPr>
        <w:t>Supabase (proyecto de integración / demo)</w:t>
      </w:r>
    </w:p>
    <w:p>
      <w:pPr>
        <w:spacing w:after="40" w:before="0" w:line="264" w:lineRule="auto"/>
        <w:jc w:val="center"/>
      </w:pPr>
      <w:r>
        <w:rPr>
          <w:rFonts w:ascii="Calibri" w:hAnsi="Calibri" w:eastAsia="Calibri"/>
          <w:b/>
          <w:color w:val="003366"/>
          <w:sz w:val="20"/>
        </w:rPr>
        <w:t xml:space="preserve">Versión del informe: </w:t>
      </w:r>
      <w:r>
        <w:rPr>
          <w:rFonts w:ascii="Calibri" w:hAnsi="Calibri" w:eastAsia="Calibri"/>
          <w:b w:val="0"/>
          <w:color w:val="404040"/>
          <w:sz w:val="20"/>
        </w:rPr>
        <w:t>1.0</w:t>
      </w:r>
    </w:p>
    <w:p>
      <w:r>
        <w:br w:type="page"/>
      </w:r>
    </w:p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1. Resumen ejecutivo (lenguaje claro)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Este informe responde una pregunta práctica del proyecto de título: ¿cuánta gente puede usar a la vez el backend de My Works App hoy, y qué falta para crecer hacia una base de al menos 20.000 personas?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Se ejecutaron pruebas de carga (stress) con la herramienta k6 sobre el API de Supabase. Se midió la lectura del catálogo de profesionales (lo que ve un visitante en la app o la web). No se martilló Transbank ni se crearon usuarios masivos, para no dañar el ambiente de integración.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Resultado principal: con hasta 200 usuarios virtuales concurrentes leyendo profesionales, el sistema respondió sin errores (0 %) y con tiempo de respuesta bajo medio segundo (percentil 95 ≈ 0,22 s). Eso supera con holgura una demo académica y un piloto regional pequeño.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Importante: “20.000 personas” se interpreta aquí como usuarios de la plataforma (cuentas / base de clientes potenciales), no como 20.000 personas conectadas exactamente al mismo segundo. En productos reales, solo una fracción está activa a la vez. El plan de escala de este informe apunta a sostener esa base con picos de cientos a unos pocos miles de concurrentes, con margen.</w:t>
      </w:r>
    </w:p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2. Objetivo y alcance de las pruebas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2.1 Objetivo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Obtener un estimado medible de capacidad de lectura del backend actual y documentar hallazgos, limitaciones y una hoja de ruta hacia 20.000 usuarios.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2.2 Qué se midió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4394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Smoke (5 VUs)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Comprobación rápida de que el API responde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Baseline (hasta 50 VUs)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Carga típica de una demo / piloto chico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Stress (hasta 200 VUs)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Presión alta de usuarios mirando el catálogo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Techo de RPS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Hasta ~100 peticiones por segundo sostenidas</w:t>
            </w:r>
          </w:p>
        </w:tc>
      </w:tr>
    </w:tbl>
    <w:p/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2.3 Qué no se midió (a propósito)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Fuera de alcance</w:t>
            </w:r>
          </w:p>
        </w:tc>
        <w:tc>
          <w:tcPr>
            <w:tcW w:type="dxa" w:w="4394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Pagos Webpay / Transbank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No saturar la pasarela ni crear cobros falsos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Guest-checkout masivo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Crearía cuentas reales en Auth</w:t>
            </w:r>
          </w:p>
        </w:tc>
      </w:tr>
      <w:tr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Chat, GPS, escritorio UI</w:t>
            </w:r>
          </w:p>
        </w:tc>
        <w:tc>
          <w:tcPr>
            <w:tcW w:type="dxa" w:w="4394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No son el cuello de botella del servidor hoy</w:t>
            </w:r>
          </w:p>
        </w:tc>
      </w:tr>
    </w:tbl>
    <w:p/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3. Resultados de la corrida (20-09-2026)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Primera batería: la tabla servicios (oficios) respondía error 401 con clave anónima; trabajadores (profesionales) respondía bien. Se corrigió el script para medir el marketplace que sí funcionaba y se re-ejecutó la batería completa. El error de servicios quedó registrado como hallazgo a reparar en base de datos (política RLS / privilegios).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3.1 Tabla de resultados (corrida válida)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VUs máx.</w:t>
            </w:r>
          </w:p>
        </w:tc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Peticiones</w:t>
            </w:r>
          </w:p>
        </w:tc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Errores</w:t>
            </w:r>
          </w:p>
        </w:tc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p95 latencia</w:t>
            </w:r>
          </w:p>
        </w:tc>
        <w:tc>
          <w:tcPr>
            <w:tcW w:type="dxa" w:w="1465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Umbrales</w:t>
            </w:r>
          </w:p>
        </w:tc>
      </w:tr>
      <w:tr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Smoke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5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202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0 %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473 ms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OK</w:t>
            </w:r>
          </w:p>
        </w:tc>
      </w:tr>
      <w:tr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Baseline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50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8.548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0 %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248 ms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OK</w:t>
            </w:r>
          </w:p>
        </w:tc>
      </w:tr>
      <w:tr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Stress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200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63.198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0 %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222 ms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OK</w:t>
            </w:r>
          </w:p>
        </w:tc>
      </w:tr>
      <w:tr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Techo RPS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≈100 req/s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13.875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0 %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221 ms</w:t>
            </w:r>
          </w:p>
        </w:tc>
        <w:tc>
          <w:tcPr>
            <w:tcW w:type="dxa" w:w="1465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OK</w:t>
            </w:r>
          </w:p>
        </w:tc>
      </w:tr>
    </w:tbl>
    <w:p/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3.2 Cómo leer estos números (para evaluadores no informáticos)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Usuarios virtuales (VUs): personas simuladas usando la app al mismo tiempo. p95: el 95 % de las respuestas fue más rápido que ese tiempo. 0 % de errores: ninguna petición falló en la corrida válida. En conjunto: el listado de profesionales aguanta al menos doscientas personas concurrentes con buena fluidez.</w:t>
      </w:r>
    </w:p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4. Hallazgos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4.1 Positivos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Latencia estable (~200–250 ms en p95) incluso a 200 VUs. Cero errores en la corrida corregida. El techo de ~100 lecturas/segundo se sostuvo sin fallos. Para un MVP Capstone, la capacidad de lectura ya está por encima de la demanda esperada de las primeras etapas.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4.2 Problema detectado: catálogo de oficios (servicios)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Con la misma clave pública (anon), la tabla servicios devolvía HTTP 401 (no autorizado), mientras trabajadores devolvía 200. Eso indica un problema de permisos o de política de seguridad (RLS) en servicios, no un límite de capacidad. Impacto: el home que lista oficios podía fallar para visitantes sin sesión.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Estado al cierre de este informe: se aplicó la migración 20260925000001_fix_servicios_anon_scale_indexes.sql (política pública sin is_admin() + GRANT SELECT + índices). Verificación posterior: servicios responde HTTP 200 y el smoke k6 con oficios + profesionales pasó al 100 % (0 % errores, p95 ≈ 220 ms).</w:t>
      </w:r>
    </w:p>
    <w:p>
      <w:pPr>
        <w:spacing w:after="160" w:before="200" w:line="276" w:lineRule="auto"/>
      </w:pPr>
      <w:r>
        <w:rPr>
          <w:rFonts w:ascii="Calibri" w:hAnsi="Calibri" w:eastAsia="Calibri"/>
          <w:b/>
          <w:color w:val="003366"/>
          <w:sz w:val="24"/>
        </w:rPr>
        <w:t>4.3 Interpretación de “20.000 personas”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Meta orientativa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Usuarios registrados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Cuentas en la plataforma (clientes + profesionales)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≥ 20.000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Concurrentes en punta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Personas usando la app en el mismo minuto pico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≈ 1–5 % de activos → cientos a ~1.000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Medido hoy (lectura)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VUs en k6 sobre listado de profesionales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200 VUs OK; ~100 RPS OK</w:t>
            </w:r>
          </w:p>
        </w:tc>
      </w:tr>
    </w:tbl>
    <w:p/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5. Hoja de ruta para soportar ≥ 20.000 usuarios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Orden práctico: primero arreglar lo que está roto, luego ganar capacidad barata (índices, caché, plan), después arquitectura más robusta.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Fase</w:t>
            </w:r>
          </w:p>
        </w:tc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929"/>
            <w:shd w:fill="003366" w:val="clear"/>
          </w:tcPr>
          <w:p>
            <w:pPr>
              <w:spacing w:after="40" w:before="40" w:line="240" w:lineRule="auto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color w:val="FFFFFF"/>
                <w:sz w:val="18"/>
              </w:rPr>
              <w:t>Para qué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0 — Ya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Reparar RLS/GRANT de servicios; índices de lectura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Catálogo público sano + consultas más baratas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1 — Corto plazo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Plan Supabase Pro; connection pooling; caché web del catálogo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Más CPU/conexiones; menos hits a la base en el home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2 — Medio plazo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Rate-limit Edge; colas para liquidaciones; monitoreo (latencia/errores)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Proteger pagos y ver cuellos antes de tumbar el servicio</w:t>
            </w:r>
          </w:p>
        </w:tc>
      </w:tr>
      <w:tr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3 — Crecimiento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CDN, réplicas de lectura, separar tráfico lectura/escritura</w:t>
            </w:r>
          </w:p>
        </w:tc>
        <w:tc>
          <w:tcPr>
            <w:tcW w:type="dxa" w:w="2929"/>
          </w:tcPr>
          <w:p>
            <w:pPr>
              <w:spacing w:after="40" w:before="40" w:line="240" w:lineRule="auto"/>
            </w:pPr>
            <w:r/>
            <w:r>
              <w:rPr>
                <w:rFonts w:ascii="Calibri" w:hAnsi="Calibri" w:eastAsia="Calibri"/>
                <w:b w:val="0"/>
                <w:color w:val="404040"/>
                <w:sz w:val="18"/>
              </w:rPr>
              <w:t>Escalar hacia picos mayores sin reescribir el producto</w:t>
            </w:r>
          </w:p>
        </w:tc>
      </w:tr>
    </w:tbl>
    <w:p/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Con la medición actual (200 concurrentes en lectura sin error), el salto a 20.000 cuentas es viable si se ejecutan las fases 0–2 antes de campañas de marketing masivas. Los pagos seguirán limitados por Transbank y por el plan de Edge Functions: se validan con pruebas funcionales controladas, no con stress agresivo sobre la pasarela.</w:t>
      </w:r>
    </w:p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6. Conclusiones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1) El backend de lecturas del MVP demuestra holgura para demos y piloto (≥ 200 usuarios concurrentes en catálogo de profesionales).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2) Existe un defecto de autorización en la tabla servicios que debe corregirse de inmediato para el flujo público de oficios.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3) La meta de 20.000 personas es alcanzable con un plan de escala por fases (índices, plan Pro, caché, monitoreo), sin confundir usuarios registrados con usuarios concurrentes.</w:t>
      </w:r>
    </w:p>
    <w:p>
      <w:pPr>
        <w:spacing w:after="160" w:before="0" w:line="276" w:lineRule="auto"/>
        <w:ind w:firstLine="425"/>
        <w:jc w:val="both"/>
      </w:pPr>
      <w:r>
        <w:rPr>
          <w:rFonts w:ascii="Calibri" w:hAnsi="Calibri" w:eastAsia="Calibri"/>
          <w:b w:val="0"/>
          <w:color w:val="404040"/>
          <w:sz w:val="22"/>
        </w:rPr>
        <w:t>4) Este informe forma parte de la evidencia Capstone de calidad y operación profesional del producto My Works App.</w:t>
      </w:r>
    </w:p>
    <w:p>
      <w:pPr>
        <w:spacing w:after="160" w:before="280" w:line="276" w:lineRule="auto"/>
      </w:pPr>
      <w:r>
        <w:rPr>
          <w:rFonts w:ascii="Calibri" w:hAnsi="Calibri" w:eastAsia="Calibri"/>
          <w:b/>
          <w:color w:val="003366"/>
          <w:sz w:val="28"/>
        </w:rPr>
        <w:t>7. Referencias técnicas en el repositorio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color w:val="404040"/>
          <w:sz w:val="20"/>
        </w:rPr>
        <w:t>docs/RUNBOOK_CAPACIDAD_CARGA.md — cómo repetir las pruebas.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color w:val="404040"/>
          <w:sz w:val="20"/>
        </w:rPr>
        <w:t>scripts/load/k6/ — scripts Grafana k6.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color w:val="404040"/>
          <w:sz w:val="20"/>
        </w:rPr>
        <w:t>scripts/load/results/ — resúmenes JSON de las corridas.</w:t>
      </w:r>
    </w:p>
    <w:p>
      <w:pPr>
        <w:spacing w:after="160" w:before="0" w:line="276" w:lineRule="auto"/>
        <w:jc w:val="left"/>
      </w:pPr>
      <w:r>
        <w:rPr>
          <w:rFonts w:ascii="Calibri" w:hAnsi="Calibri" w:eastAsia="Calibri"/>
          <w:b w:val="0"/>
          <w:color w:val="404040"/>
          <w:sz w:val="20"/>
        </w:rPr>
        <w:t>myworksapp_app/supabase/migrations/20260925000001_fix_servicios_anon_scale_indexes.sql — fix + índices.</w:t>
      </w:r>
    </w:p>
    <w:p>
      <w:pPr>
        <w:spacing w:after="160" w:before="480" w:line="276" w:lineRule="auto"/>
        <w:jc w:val="center"/>
      </w:pPr>
      <w:r>
        <w:rPr>
          <w:rFonts w:ascii="Calibri" w:hAnsi="Calibri" w:eastAsia="Calibri"/>
          <w:b w:val="0"/>
          <w:color w:val="787878"/>
          <w:sz w:val="20"/>
        </w:rPr>
        <w:t>— Fin del informe —</w:t>
      </w:r>
    </w:p>
    <w:sectPr w:rsidR="00FC693F" w:rsidRPr="0006063C" w:rsidSect="00034616">
      <w:footerReference w:type="default" r:id="rId9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before="0" w:line="276" w:lineRule="auto"/>
      <w:jc w:val="center"/>
    </w:pPr>
    <w:r>
      <w:rPr>
        <w:rFonts w:ascii="Calibri" w:hAnsi="Calibri" w:eastAsia="Calibri"/>
        <w:b w:val="0"/>
        <w:color w:val="787878"/>
        <w:sz w:val="16"/>
      </w:rPr>
      <w:t>Duoc UC — Sede Puerto Montt  ·  Capstone PTY4614  ·  www.duoc.cl  ·  My Works App — Informe de capacidad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