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B1" w:rsidRDefault="003532DA" w:rsidP="00F322B1">
      <w:pPr>
        <w:pStyle w:val="Cm"/>
        <w:jc w:val="center"/>
      </w:pPr>
      <w:r>
        <w:t>Spin</w:t>
      </w:r>
      <w:bookmarkStart w:id="0" w:name="_GoBack"/>
      <w:bookmarkEnd w:id="0"/>
      <w:r w:rsidR="00F322B1">
        <w:t>-súlyos gömbharmonikusok</w:t>
      </w:r>
    </w:p>
    <w:p w:rsidR="00F322B1" w:rsidRDefault="00EC58EB" w:rsidP="00EC58EB">
      <w:pPr>
        <w:pStyle w:val="Cmsor1"/>
        <w:numPr>
          <w:ilvl w:val="0"/>
          <w:numId w:val="1"/>
        </w:numPr>
      </w:pPr>
      <w:r>
        <w:t>Analitikus hókusz-pókusz</w:t>
      </w:r>
    </w:p>
    <w:p w:rsidR="00EC58EB" w:rsidRPr="00EC58EB" w:rsidRDefault="00EC58EB" w:rsidP="00EC58EB">
      <w:pPr>
        <w:pStyle w:val="Cmsor2"/>
        <w:numPr>
          <w:ilvl w:val="1"/>
          <w:numId w:val="1"/>
        </w:numPr>
      </w:pPr>
      <w:r>
        <w:t>Zárt alak</w:t>
      </w:r>
    </w:p>
    <w:p w:rsidR="00F322B1" w:rsidRPr="00EC58EB" w:rsidRDefault="00F322B1" w:rsidP="00F322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θ,ϕ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imϕ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2l+1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2l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l-s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l-s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l+s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r+s-m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l-r-s+m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2r+s-m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EC58EB" w:rsidRDefault="00EC58EB" w:rsidP="00EC58EB">
      <w:pPr>
        <w:pStyle w:val="Cmsor2"/>
        <w:numPr>
          <w:ilvl w:val="1"/>
          <w:numId w:val="1"/>
        </w:numPr>
      </w:pPr>
      <w:r>
        <w:t>Ortogonalitás és teljesség</w:t>
      </w:r>
    </w:p>
    <w:p w:rsidR="00EC58EB" w:rsidRPr="00EC3305" w:rsidRDefault="00EC58EB" w:rsidP="00EC58EB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ajorEastAsia" w:hAnsi="Cambria Math" w:cstheme="majorBidi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dϕ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sPre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θ,ϕ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sPre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θ,ϕ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θ,ϕ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&amp;=</m:t>
              </m:r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EC3305" w:rsidRDefault="00EC3305" w:rsidP="00EC3305">
      <w:pPr>
        <w:pStyle w:val="Cmsor2"/>
        <w:numPr>
          <w:ilvl w:val="1"/>
          <w:numId w:val="1"/>
        </w:numPr>
      </w:pPr>
      <w:r>
        <w:t>Komplex konjugálás és paritás</w:t>
      </w:r>
    </w:p>
    <w:p w:rsidR="00EC3305" w:rsidRPr="0008249E" w:rsidRDefault="0008249E" w:rsidP="00EC3305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s+m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</w:rPr>
                    <m:t>l-m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π-θ,ϕ+π</m:t>
                  </m:r>
                </m:e>
              </m:d>
              <m:r>
                <w:rPr>
                  <w:rFonts w:ascii="Cambria Math" w:hAnsi="Cambria Math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sPre>
                </m:e>
                <m:sub>
                  <m:r>
                    <w:rPr>
                      <w:rFonts w:ascii="Cambria Math" w:hAnsi="Cambria Math"/>
                    </w:rPr>
                    <m:t>lm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</m:e>
          </m:eqArr>
        </m:oMath>
      </m:oMathPara>
    </w:p>
    <w:p w:rsidR="0008249E" w:rsidRDefault="0008249E" w:rsidP="0008249E">
      <w:pPr>
        <w:pStyle w:val="Cmsor2"/>
        <w:numPr>
          <w:ilvl w:val="1"/>
          <w:numId w:val="1"/>
        </w:numPr>
      </w:pPr>
      <w:r>
        <w:t>Kapcsolat a Wigner D-mátrixszal</w:t>
      </w:r>
    </w:p>
    <w:p w:rsidR="0008249E" w:rsidRPr="000732F1" w:rsidRDefault="0008249E" w:rsidP="0008249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α,β,γ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2l+1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-s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sPre>
            </m:e>
            <m:sub>
              <m:r>
                <w:rPr>
                  <w:rFonts w:ascii="Cambria Math" w:hAnsi="Cambria Math"/>
                </w:rPr>
                <m:t>lm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-isγ</m:t>
              </m:r>
            </m:sup>
          </m:sSup>
        </m:oMath>
      </m:oMathPara>
    </w:p>
    <w:p w:rsidR="00687310" w:rsidRDefault="00687310" w:rsidP="00687310">
      <w:pPr>
        <w:pStyle w:val="Cmsor3"/>
        <w:numPr>
          <w:ilvl w:val="2"/>
          <w:numId w:val="1"/>
        </w:numPr>
      </w:pPr>
      <w:r>
        <w:t>Wigner D-mátrix keresztszorzat</w:t>
      </w:r>
    </w:p>
    <w:p w:rsidR="00687310" w:rsidRPr="002D6D7E" w:rsidRDefault="00687310" w:rsidP="0068731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mk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α,β,γ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α,β,γ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</w:rPr>
                <m:t>j+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M=-J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K=-J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α,β,γ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687310" w:rsidRDefault="00687310" w:rsidP="00687310">
      <w:pPr>
        <w:pStyle w:val="Cmsor4"/>
        <w:numPr>
          <w:ilvl w:val="3"/>
          <w:numId w:val="1"/>
        </w:numPr>
      </w:pPr>
      <w:r>
        <w:t>Clebsch-Gordan együtthatók</w:t>
      </w:r>
    </w:p>
    <w:p w:rsidR="00687310" w:rsidRPr="00687310" w:rsidRDefault="00687310" w:rsidP="00687310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JM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+M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2J+1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</m:mr>
              </m:m>
            </m:e>
          </m:d>
        </m:oMath>
      </m:oMathPara>
    </w:p>
    <w:p w:rsidR="00687310" w:rsidRDefault="00687310" w:rsidP="00687310">
      <w:pPr>
        <w:pStyle w:val="Cmsor5"/>
        <w:numPr>
          <w:ilvl w:val="4"/>
          <w:numId w:val="1"/>
        </w:numPr>
      </w:pPr>
      <w:r>
        <w:t>Wigner 3j szimbólum</w:t>
      </w:r>
    </w:p>
    <w:p w:rsidR="00687310" w:rsidRPr="00687310" w:rsidRDefault="00687310" w:rsidP="00687310">
      <w:r>
        <w:t>Zárt alakban felírható. GSL-ben benne van.</w:t>
      </w:r>
    </w:p>
    <w:p w:rsidR="000732F1" w:rsidRDefault="000732F1" w:rsidP="00687310">
      <w:pPr>
        <w:pStyle w:val="Cmsor3"/>
        <w:numPr>
          <w:ilvl w:val="2"/>
          <w:numId w:val="1"/>
        </w:numPr>
      </w:pPr>
      <w:r>
        <w:t>Wigner D-mátrix ortogonalitás</w:t>
      </w:r>
    </w:p>
    <w:p w:rsidR="00687310" w:rsidRPr="00687310" w:rsidRDefault="00687310" w:rsidP="0068731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dα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dγ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α,β,γ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α,β,γ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2l+1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JM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\JK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MK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α,β,γ</m:t>
              </m:r>
            </m:e>
          </m:d>
        </m:oMath>
      </m:oMathPara>
    </w:p>
    <w:p w:rsidR="00687310" w:rsidRPr="00687310" w:rsidRDefault="00687310" w:rsidP="00687310">
      <w:r>
        <w:t>Ami az Clebsch-Gordan együtthatók ortogonalitása nyomán egyszerűsíthető.</w:t>
      </w:r>
    </w:p>
    <w:p w:rsidR="000732F1" w:rsidRPr="000732F1" w:rsidRDefault="000732F1" w:rsidP="000732F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dα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dγ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α,β,γ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α,β,γ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2l+1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,s</m:t>
              </m:r>
            </m:sub>
          </m:sSub>
        </m:oMath>
      </m:oMathPara>
    </w:p>
    <w:sectPr w:rsidR="000732F1" w:rsidRPr="00073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76D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52A8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FC21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B1"/>
    <w:rsid w:val="000732F1"/>
    <w:rsid w:val="0008249E"/>
    <w:rsid w:val="002D6D7E"/>
    <w:rsid w:val="003532DA"/>
    <w:rsid w:val="00687310"/>
    <w:rsid w:val="009C7353"/>
    <w:rsid w:val="00EC3305"/>
    <w:rsid w:val="00EC58EB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7259A-A406-47E9-B1AC-1DFF6559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C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73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87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873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32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32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F322B1"/>
    <w:rPr>
      <w:color w:val="808080"/>
    </w:rPr>
  </w:style>
  <w:style w:type="character" w:customStyle="1" w:styleId="Cmsor2Char">
    <w:name w:val="Címsor 2 Char"/>
    <w:basedOn w:val="Bekezdsalapbettpusa"/>
    <w:link w:val="Cmsor2"/>
    <w:uiPriority w:val="9"/>
    <w:rsid w:val="00EC5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732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873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6873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68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Nagy-Egri Máté Ferenc</dc:creator>
  <cp:keywords/>
  <dc:description/>
  <cp:lastModifiedBy>Nagy-Egri Máté Ferenc</cp:lastModifiedBy>
  <cp:revision>2</cp:revision>
  <dcterms:created xsi:type="dcterms:W3CDTF">2015-09-07T09:40:00Z</dcterms:created>
  <dcterms:modified xsi:type="dcterms:W3CDTF">2015-09-07T13:00:00Z</dcterms:modified>
</cp:coreProperties>
</file>