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color w:val="555555"/>
          <w:sz w:val="17"/>
        </w:rPr>
        <w:t>UNMSM · FISI · E.P. Ingeniería de Software — Inteligencia de Negocios</w:t>
      </w:r>
    </w:p>
    <w:p>
      <w:pPr>
        <w:spacing w:after="20"/>
        <w:jc w:val="center"/>
      </w:pPr>
      <w:r>
        <w:rPr>
          <w:b/>
          <w:color w:val="1F3A5F"/>
          <w:sz w:val="28"/>
        </w:rPr>
        <w:t>Laboratorio 1: Del dato crudo a la decisión gerencial</w:t>
      </w:r>
    </w:p>
    <w:p>
      <w:pPr>
        <w:spacing w:after="160"/>
        <w:jc w:val="center"/>
      </w:pPr>
      <w:r>
        <w:rPr>
          <w:color w:val="555555"/>
          <w:sz w:val="18"/>
        </w:rPr>
        <w:t>Diagnóstico de fuentes, definición única de métricas y construcción de indicadores</w:t>
        <w:br/>
        <w:t>Caso: Comercial Los Andes S.A.C. — Agosto 2026</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608"/>
            <w:shd w:val="clear" w:fill="1F3A5F"/>
          </w:tcPr>
          <w:p>
            <w:pPr>
              <w:spacing w:after="20" w:before="20"/>
            </w:pPr>
            <w:r/>
            <w:r>
              <w:rPr>
                <w:b/>
                <w:color w:val="FFFFFF"/>
                <w:sz w:val="17"/>
              </w:rPr>
              <w:t>Estudiante</w:t>
            </w:r>
          </w:p>
        </w:tc>
        <w:tc>
          <w:tcPr>
            <w:tcW w:type="dxa" w:w="2608"/>
            <w:shd w:val="clear" w:fill="1F3A5F"/>
          </w:tcPr>
          <w:p>
            <w:pPr>
              <w:spacing w:after="20" w:before="20"/>
            </w:pPr>
            <w:r/>
            <w:r>
              <w:rPr>
                <w:b/>
                <w:color w:val="FFFFFF"/>
                <w:sz w:val="17"/>
              </w:rPr>
              <w:t>Curso</w:t>
            </w:r>
          </w:p>
        </w:tc>
        <w:tc>
          <w:tcPr>
            <w:tcW w:type="dxa" w:w="2381"/>
            <w:shd w:val="clear" w:fill="1F3A5F"/>
          </w:tcPr>
          <w:p>
            <w:pPr>
              <w:spacing w:after="20" w:before="20"/>
            </w:pPr>
            <w:r/>
            <w:r>
              <w:rPr>
                <w:b/>
                <w:color w:val="FFFFFF"/>
                <w:sz w:val="17"/>
              </w:rPr>
              <w:t>Docente</w:t>
            </w:r>
          </w:p>
        </w:tc>
        <w:tc>
          <w:tcPr>
            <w:tcW w:type="dxa" w:w="1701"/>
            <w:shd w:val="clear" w:fill="1F3A5F"/>
          </w:tcPr>
          <w:p>
            <w:pPr>
              <w:spacing w:after="20" w:before="20"/>
            </w:pPr>
            <w:r/>
            <w:r>
              <w:rPr>
                <w:b/>
                <w:color w:val="FFFFFF"/>
                <w:sz w:val="17"/>
              </w:rPr>
              <w:t>Fecha</w:t>
            </w:r>
          </w:p>
        </w:tc>
      </w:tr>
      <w:tr>
        <w:tc>
          <w:tcPr>
            <w:tcW w:type="dxa" w:w="2608"/>
          </w:tcPr>
          <w:p>
            <w:pPr>
              <w:spacing w:after="20" w:before="20"/>
            </w:pPr>
            <w:r/>
            <w:r>
              <w:rPr>
                <w:sz w:val="17"/>
              </w:rPr>
              <w:t>Mathias Torres Lezama</w:t>
            </w:r>
          </w:p>
        </w:tc>
        <w:tc>
          <w:tcPr>
            <w:tcW w:type="dxa" w:w="2608"/>
          </w:tcPr>
          <w:p>
            <w:pPr>
              <w:spacing w:after="20" w:before="20"/>
            </w:pPr>
            <w:r/>
            <w:r>
              <w:rPr>
                <w:sz w:val="17"/>
              </w:rPr>
              <w:t>Inteligencia de Negocios</w:t>
            </w:r>
          </w:p>
        </w:tc>
        <w:tc>
          <w:tcPr>
            <w:tcW w:type="dxa" w:w="2381"/>
          </w:tcPr>
          <w:p>
            <w:pPr>
              <w:spacing w:after="20" w:before="20"/>
            </w:pPr>
            <w:r/>
            <w:r>
              <w:rPr>
                <w:sz w:val="17"/>
              </w:rPr>
              <w:t>Juan Gamarra Moreno</w:t>
            </w:r>
          </w:p>
        </w:tc>
        <w:tc>
          <w:tcPr>
            <w:tcW w:type="dxa" w:w="1701"/>
          </w:tcPr>
          <w:p>
            <w:pPr>
              <w:spacing w:after="20" w:before="20"/>
            </w:pPr>
            <w:r/>
            <w:r>
              <w:rPr>
                <w:sz w:val="17"/>
              </w:rPr>
              <w:t>Setiembre 2026</w:t>
            </w:r>
          </w:p>
        </w:tc>
      </w:tr>
    </w:tbl>
    <w:p>
      <w:pPr>
        <w:spacing w:after="40"/>
      </w:pPr>
    </w:p>
    <w:p>
      <w:pPr>
        <w:spacing w:before="0" w:after="60"/>
      </w:pPr>
      <w:r>
        <w:rPr>
          <w:b/>
          <w:color w:val="1F3A5F"/>
          <w:sz w:val="22"/>
        </w:rPr>
        <w:t>1. Resumen ejecutivo</w:t>
      </w:r>
    </w:p>
    <w:p>
      <w:pPr>
        <w:spacing w:after="80"/>
        <w:jc w:val="both"/>
      </w:pPr>
      <w:r>
        <w:rPr>
          <w:sz w:val="19"/>
        </w:rPr>
        <w:t>Las tres cifras de venta reportadas para agosto de 2026 son todas correctas dentro de la definición que cada área aplica; la discrepancia de S/ 896 138,91 (23,1 %) no proviene de errores de cálculo sino de la ausencia de una definición corporativa única de «venta». El 78,4 % de la brecha entre Comercial y Finanzas se explica únicamente por el IGV. Aplicadas ocho reglas de limpieza trazables sobre 34 912 líneas de pedido —de las que se descartaron 483 (1,4 %)— y adoptada la definición corporativa, la venta neta de agosto de 2026 asciende a S/ 3 855 828,30. Se entrega un panel de seis indicadores, de los cuales cinco superan la prueba de accionabilidad y uno se identifica como métrica descriptiva.</w:t>
      </w:r>
    </w:p>
    <w:p>
      <w:pPr>
        <w:spacing w:before="160" w:after="60"/>
      </w:pPr>
      <w:r>
        <w:rPr>
          <w:b/>
          <w:color w:val="1F3A5F"/>
          <w:sz w:val="22"/>
        </w:rPr>
        <w:t>2. Reconocimiento de las fuentes (Tabla 3)</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2381"/>
            <w:shd w:val="clear" w:fill="1F3A5F"/>
          </w:tcPr>
          <w:p>
            <w:pPr>
              <w:spacing w:after="20" w:before="20"/>
            </w:pPr>
            <w:r/>
            <w:r>
              <w:rPr>
                <w:b/>
                <w:color w:val="FFFFFF"/>
                <w:sz w:val="16"/>
              </w:rPr>
              <w:t>Archivo</w:t>
            </w:r>
          </w:p>
        </w:tc>
        <w:tc>
          <w:tcPr>
            <w:tcW w:type="dxa" w:w="850"/>
            <w:shd w:val="clear" w:fill="1F3A5F"/>
          </w:tcPr>
          <w:p>
            <w:pPr>
              <w:spacing w:after="20" w:before="20"/>
            </w:pPr>
            <w:r/>
            <w:r>
              <w:rPr>
                <w:b/>
                <w:color w:val="FFFFFF"/>
                <w:sz w:val="16"/>
              </w:rPr>
              <w:t>Filas</w:t>
            </w:r>
          </w:p>
        </w:tc>
        <w:tc>
          <w:tcPr>
            <w:tcW w:type="dxa" w:w="624"/>
            <w:shd w:val="clear" w:fill="1F3A5F"/>
          </w:tcPr>
          <w:p>
            <w:pPr>
              <w:spacing w:after="20" w:before="20"/>
            </w:pPr>
            <w:r/>
            <w:r>
              <w:rPr>
                <w:b/>
                <w:color w:val="FFFFFF"/>
                <w:sz w:val="16"/>
              </w:rPr>
              <w:t>Col.</w:t>
            </w:r>
          </w:p>
        </w:tc>
        <w:tc>
          <w:tcPr>
            <w:tcW w:type="dxa" w:w="2608"/>
            <w:shd w:val="clear" w:fill="1F3A5F"/>
          </w:tcPr>
          <w:p>
            <w:pPr>
              <w:spacing w:after="20" w:before="20"/>
            </w:pPr>
            <w:r/>
            <w:r>
              <w:rPr>
                <w:b/>
                <w:color w:val="FFFFFF"/>
                <w:sz w:val="16"/>
              </w:rPr>
              <w:t>Llave primaria</w:t>
            </w:r>
          </w:p>
        </w:tc>
        <w:tc>
          <w:tcPr>
            <w:tcW w:type="dxa" w:w="2835"/>
            <w:shd w:val="clear" w:fill="1F3A5F"/>
          </w:tcPr>
          <w:p>
            <w:pPr>
              <w:spacing w:after="20" w:before="20"/>
            </w:pPr>
            <w:r/>
            <w:r>
              <w:rPr>
                <w:b/>
                <w:color w:val="FFFFFF"/>
                <w:sz w:val="16"/>
              </w:rPr>
              <w:t>Se relaciona con</w:t>
            </w:r>
          </w:p>
        </w:tc>
      </w:tr>
      <w:tr>
        <w:tc>
          <w:tcPr>
            <w:tcW w:type="dxa" w:w="2381"/>
          </w:tcPr>
          <w:p>
            <w:pPr>
              <w:spacing w:after="20" w:before="20"/>
            </w:pPr>
            <w:r/>
            <w:r>
              <w:rPr>
                <w:sz w:val="16"/>
              </w:rPr>
              <w:t>ventas_pos_202608</w:t>
            </w:r>
          </w:p>
        </w:tc>
        <w:tc>
          <w:tcPr>
            <w:tcW w:type="dxa" w:w="850"/>
          </w:tcPr>
          <w:p>
            <w:pPr>
              <w:spacing w:after="20" w:before="20"/>
            </w:pPr>
            <w:r/>
            <w:r>
              <w:rPr>
                <w:sz w:val="16"/>
              </w:rPr>
              <w:t>34 912</w:t>
            </w:r>
          </w:p>
        </w:tc>
        <w:tc>
          <w:tcPr>
            <w:tcW w:type="dxa" w:w="624"/>
          </w:tcPr>
          <w:p>
            <w:pPr>
              <w:spacing w:after="20" w:before="20"/>
            </w:pPr>
            <w:r/>
            <w:r>
              <w:rPr>
                <w:sz w:val="16"/>
              </w:rPr>
              <w:t>10</w:t>
            </w:r>
          </w:p>
        </w:tc>
        <w:tc>
          <w:tcPr>
            <w:tcW w:type="dxa" w:w="2608"/>
          </w:tcPr>
          <w:p>
            <w:pPr>
              <w:spacing w:after="20" w:before="20"/>
            </w:pPr>
            <w:r/>
            <w:r>
              <w:rPr>
                <w:sz w:val="16"/>
              </w:rPr>
              <w:t>id_linea (violada: 180 dup.)</w:t>
            </w:r>
          </w:p>
        </w:tc>
        <w:tc>
          <w:tcPr>
            <w:tcW w:type="dxa" w:w="2835"/>
          </w:tcPr>
          <w:p>
            <w:pPr>
              <w:spacing w:after="20" w:before="20"/>
            </w:pPr>
            <w:r/>
            <w:r>
              <w:rPr>
                <w:sz w:val="16"/>
              </w:rPr>
              <w:t>productos (sku), tiendas (codigo_tienda)</w:t>
            </w:r>
          </w:p>
        </w:tc>
      </w:tr>
      <w:tr>
        <w:tc>
          <w:tcPr>
            <w:tcW w:type="dxa" w:w="2381"/>
            <w:shd w:val="clear" w:fill="EEF2F7"/>
          </w:tcPr>
          <w:p>
            <w:pPr>
              <w:spacing w:after="20" w:before="20"/>
            </w:pPr>
            <w:r/>
            <w:r>
              <w:rPr>
                <w:sz w:val="16"/>
              </w:rPr>
              <w:t>comprobantes_202608</w:t>
            </w:r>
          </w:p>
        </w:tc>
        <w:tc>
          <w:tcPr>
            <w:tcW w:type="dxa" w:w="850"/>
            <w:shd w:val="clear" w:fill="EEF2F7"/>
          </w:tcPr>
          <w:p>
            <w:pPr>
              <w:spacing w:after="20" w:before="20"/>
            </w:pPr>
            <w:r/>
            <w:r>
              <w:rPr>
                <w:sz w:val="16"/>
              </w:rPr>
              <w:t>12 670</w:t>
            </w:r>
          </w:p>
        </w:tc>
        <w:tc>
          <w:tcPr>
            <w:tcW w:type="dxa" w:w="624"/>
            <w:shd w:val="clear" w:fill="EEF2F7"/>
          </w:tcPr>
          <w:p>
            <w:pPr>
              <w:spacing w:after="20" w:before="20"/>
            </w:pPr>
            <w:r/>
            <w:r>
              <w:rPr>
                <w:sz w:val="16"/>
              </w:rPr>
              <w:t>5</w:t>
            </w:r>
          </w:p>
        </w:tc>
        <w:tc>
          <w:tcPr>
            <w:tcW w:type="dxa" w:w="2608"/>
            <w:shd w:val="clear" w:fill="EEF2F7"/>
          </w:tcPr>
          <w:p>
            <w:pPr>
              <w:spacing w:after="20" w:before="20"/>
            </w:pPr>
            <w:r/>
            <w:r>
              <w:rPr>
                <w:sz w:val="16"/>
              </w:rPr>
              <w:t>id_comprobante</w:t>
            </w:r>
          </w:p>
        </w:tc>
        <w:tc>
          <w:tcPr>
            <w:tcW w:type="dxa" w:w="2835"/>
            <w:shd w:val="clear" w:fill="EEF2F7"/>
          </w:tcPr>
          <w:p>
            <w:pPr>
              <w:spacing w:after="20" w:before="20"/>
            </w:pPr>
            <w:r/>
            <w:r>
              <w:rPr>
                <w:sz w:val="16"/>
              </w:rPr>
              <w:t>ventas (id_pedido) — 38 huérfanos</w:t>
            </w:r>
          </w:p>
        </w:tc>
      </w:tr>
      <w:tr>
        <w:tc>
          <w:tcPr>
            <w:tcW w:type="dxa" w:w="2381"/>
          </w:tcPr>
          <w:p>
            <w:pPr>
              <w:spacing w:after="20" w:before="20"/>
            </w:pPr>
            <w:r/>
            <w:r>
              <w:rPr>
                <w:sz w:val="16"/>
              </w:rPr>
              <w:t>despachos_202608</w:t>
            </w:r>
          </w:p>
        </w:tc>
        <w:tc>
          <w:tcPr>
            <w:tcW w:type="dxa" w:w="850"/>
          </w:tcPr>
          <w:p>
            <w:pPr>
              <w:spacing w:after="20" w:before="20"/>
            </w:pPr>
            <w:r/>
            <w:r>
              <w:rPr>
                <w:sz w:val="16"/>
              </w:rPr>
              <w:t>13 277</w:t>
            </w:r>
          </w:p>
        </w:tc>
        <w:tc>
          <w:tcPr>
            <w:tcW w:type="dxa" w:w="624"/>
          </w:tcPr>
          <w:p>
            <w:pPr>
              <w:spacing w:after="20" w:before="20"/>
            </w:pPr>
            <w:r/>
            <w:r>
              <w:rPr>
                <w:sz w:val="16"/>
              </w:rPr>
              <w:t>5</w:t>
            </w:r>
          </w:p>
        </w:tc>
        <w:tc>
          <w:tcPr>
            <w:tcW w:type="dxa" w:w="2608"/>
          </w:tcPr>
          <w:p>
            <w:pPr>
              <w:spacing w:after="20" w:before="20"/>
            </w:pPr>
            <w:r/>
            <w:r>
              <w:rPr>
                <w:sz w:val="16"/>
              </w:rPr>
              <w:t>id_guia</w:t>
            </w:r>
          </w:p>
        </w:tc>
        <w:tc>
          <w:tcPr>
            <w:tcW w:type="dxa" w:w="2835"/>
          </w:tcPr>
          <w:p>
            <w:pPr>
              <w:spacing w:after="20" w:before="20"/>
            </w:pPr>
            <w:r/>
            <w:r>
              <w:rPr>
                <w:sz w:val="16"/>
              </w:rPr>
              <w:t>ventas (id_pedido) — 928 huérfanos</w:t>
            </w:r>
          </w:p>
        </w:tc>
      </w:tr>
      <w:tr>
        <w:tc>
          <w:tcPr>
            <w:tcW w:type="dxa" w:w="2381"/>
            <w:shd w:val="clear" w:fill="EEF2F7"/>
          </w:tcPr>
          <w:p>
            <w:pPr>
              <w:spacing w:after="20" w:before="20"/>
            </w:pPr>
            <w:r/>
            <w:r>
              <w:rPr>
                <w:sz w:val="16"/>
              </w:rPr>
              <w:t>productos</w:t>
            </w:r>
          </w:p>
        </w:tc>
        <w:tc>
          <w:tcPr>
            <w:tcW w:type="dxa" w:w="850"/>
            <w:shd w:val="clear" w:fill="EEF2F7"/>
          </w:tcPr>
          <w:p>
            <w:pPr>
              <w:spacing w:after="20" w:before="20"/>
            </w:pPr>
            <w:r/>
            <w:r>
              <w:rPr>
                <w:sz w:val="16"/>
              </w:rPr>
              <w:t>270</w:t>
            </w:r>
          </w:p>
        </w:tc>
        <w:tc>
          <w:tcPr>
            <w:tcW w:type="dxa" w:w="624"/>
            <w:shd w:val="clear" w:fill="EEF2F7"/>
          </w:tcPr>
          <w:p>
            <w:pPr>
              <w:spacing w:after="20" w:before="20"/>
            </w:pPr>
            <w:r/>
            <w:r>
              <w:rPr>
                <w:sz w:val="16"/>
              </w:rPr>
              <w:t>6</w:t>
            </w:r>
          </w:p>
        </w:tc>
        <w:tc>
          <w:tcPr>
            <w:tcW w:type="dxa" w:w="2608"/>
            <w:shd w:val="clear" w:fill="EEF2F7"/>
          </w:tcPr>
          <w:p>
            <w:pPr>
              <w:spacing w:after="20" w:before="20"/>
            </w:pPr>
            <w:r/>
            <w:r>
              <w:rPr>
                <w:sz w:val="16"/>
              </w:rPr>
              <w:t>sku</w:t>
            </w:r>
          </w:p>
        </w:tc>
        <w:tc>
          <w:tcPr>
            <w:tcW w:type="dxa" w:w="2835"/>
            <w:shd w:val="clear" w:fill="EEF2F7"/>
          </w:tcPr>
          <w:p>
            <w:pPr>
              <w:spacing w:after="20" w:before="20"/>
            </w:pPr>
            <w:r/>
            <w:r>
              <w:rPr>
                <w:sz w:val="16"/>
              </w:rPr>
              <w:t>ventas (sku)</w:t>
            </w:r>
          </w:p>
        </w:tc>
      </w:tr>
      <w:tr>
        <w:tc>
          <w:tcPr>
            <w:tcW w:type="dxa" w:w="2381"/>
          </w:tcPr>
          <w:p>
            <w:pPr>
              <w:spacing w:after="20" w:before="20"/>
            </w:pPr>
            <w:r/>
            <w:r>
              <w:rPr>
                <w:sz w:val="16"/>
              </w:rPr>
              <w:t>tiendas</w:t>
            </w:r>
          </w:p>
        </w:tc>
        <w:tc>
          <w:tcPr>
            <w:tcW w:type="dxa" w:w="850"/>
          </w:tcPr>
          <w:p>
            <w:pPr>
              <w:spacing w:after="20" w:before="20"/>
            </w:pPr>
            <w:r/>
            <w:r>
              <w:rPr>
                <w:sz w:val="16"/>
              </w:rPr>
              <w:t>13</w:t>
            </w:r>
          </w:p>
        </w:tc>
        <w:tc>
          <w:tcPr>
            <w:tcW w:type="dxa" w:w="624"/>
          </w:tcPr>
          <w:p>
            <w:pPr>
              <w:spacing w:after="20" w:before="20"/>
            </w:pPr>
            <w:r/>
            <w:r>
              <w:rPr>
                <w:sz w:val="16"/>
              </w:rPr>
              <w:t>6</w:t>
            </w:r>
          </w:p>
        </w:tc>
        <w:tc>
          <w:tcPr>
            <w:tcW w:type="dxa" w:w="2608"/>
          </w:tcPr>
          <w:p>
            <w:pPr>
              <w:spacing w:after="20" w:before="20"/>
            </w:pPr>
            <w:r/>
            <w:r>
              <w:rPr>
                <w:sz w:val="16"/>
              </w:rPr>
              <w:t>codigo_tienda</w:t>
            </w:r>
          </w:p>
        </w:tc>
        <w:tc>
          <w:tcPr>
            <w:tcW w:type="dxa" w:w="2835"/>
          </w:tcPr>
          <w:p>
            <w:pPr>
              <w:spacing w:after="20" w:before="20"/>
            </w:pPr>
            <w:r/>
            <w:r>
              <w:rPr>
                <w:sz w:val="16"/>
              </w:rPr>
              <w:t>ventas, despachos, mensual</w:t>
            </w:r>
          </w:p>
        </w:tc>
      </w:tr>
      <w:tr>
        <w:tc>
          <w:tcPr>
            <w:tcW w:type="dxa" w:w="2381"/>
            <w:shd w:val="clear" w:fill="EEF2F7"/>
          </w:tcPr>
          <w:p>
            <w:pPr>
              <w:spacing w:after="20" w:before="20"/>
            </w:pPr>
            <w:r/>
            <w:r>
              <w:rPr>
                <w:sz w:val="16"/>
              </w:rPr>
              <w:t>ventas_mensual_2025_2026</w:t>
            </w:r>
          </w:p>
        </w:tc>
        <w:tc>
          <w:tcPr>
            <w:tcW w:type="dxa" w:w="850"/>
            <w:shd w:val="clear" w:fill="EEF2F7"/>
          </w:tcPr>
          <w:p>
            <w:pPr>
              <w:spacing w:after="20" w:before="20"/>
            </w:pPr>
            <w:r/>
            <w:r>
              <w:rPr>
                <w:sz w:val="16"/>
              </w:rPr>
              <w:t>1 482</w:t>
            </w:r>
          </w:p>
        </w:tc>
        <w:tc>
          <w:tcPr>
            <w:tcW w:type="dxa" w:w="624"/>
            <w:shd w:val="clear" w:fill="EEF2F7"/>
          </w:tcPr>
          <w:p>
            <w:pPr>
              <w:spacing w:after="20" w:before="20"/>
            </w:pPr>
            <w:r/>
            <w:r>
              <w:rPr>
                <w:sz w:val="16"/>
              </w:rPr>
              <w:t>8</w:t>
            </w:r>
          </w:p>
        </w:tc>
        <w:tc>
          <w:tcPr>
            <w:tcW w:type="dxa" w:w="2608"/>
            <w:shd w:val="clear" w:fill="EEF2F7"/>
          </w:tcPr>
          <w:p>
            <w:pPr>
              <w:spacing w:after="20" w:before="20"/>
            </w:pPr>
            <w:r/>
            <w:r>
              <w:rPr>
                <w:sz w:val="16"/>
              </w:rPr>
              <w:t>(periodo, codigo_tienda, categoria)</w:t>
            </w:r>
          </w:p>
        </w:tc>
        <w:tc>
          <w:tcPr>
            <w:tcW w:type="dxa" w:w="2835"/>
            <w:shd w:val="clear" w:fill="EEF2F7"/>
          </w:tcPr>
          <w:p>
            <w:pPr>
              <w:spacing w:after="20" w:before="20"/>
            </w:pPr>
            <w:r/>
            <w:r>
              <w:rPr>
                <w:sz w:val="16"/>
              </w:rPr>
              <w:t>tiendas (codigo_tienda)</w:t>
            </w:r>
          </w:p>
        </w:tc>
      </w:tr>
    </w:tbl>
    <w:p>
      <w:pPr>
        <w:spacing w:before="40" w:after="160"/>
      </w:pPr>
      <w:r>
        <w:rPr>
          <w:i/>
          <w:color w:val="555555"/>
          <w:sz w:val="16"/>
        </w:rPr>
        <w:t>Tabla 3. Reconocimiento de fuentes. La llave primaria declarada de ventas_pos está violada: 180 id_linea repetidos, de los cuales 155 son filas idénticas (reproceso de carga) y 25 comparten identificador con contenido distinto.</w:t>
      </w:r>
    </w:p>
    <w:p>
      <w:pPr>
        <w:spacing w:before="160" w:after="60"/>
      </w:pPr>
      <w:r>
        <w:rPr>
          <w:b/>
          <w:color w:val="1F3A5F"/>
          <w:sz w:val="22"/>
        </w:rPr>
        <w:t>3. Diagnóstico de calidad y decisiones de limpieza (Tabla 4)</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494"/>
            <w:shd w:val="clear" w:fill="1F3A5F"/>
          </w:tcPr>
          <w:p>
            <w:pPr>
              <w:spacing w:after="20" w:before="20"/>
            </w:pPr>
            <w:r/>
            <w:r>
              <w:rPr>
                <w:b/>
                <w:color w:val="FFFFFF"/>
                <w:sz w:val="16"/>
              </w:rPr>
              <w:t>Problema detectado</w:t>
            </w:r>
          </w:p>
        </w:tc>
        <w:tc>
          <w:tcPr>
            <w:tcW w:type="dxa" w:w="1417"/>
            <w:shd w:val="clear" w:fill="1F3A5F"/>
          </w:tcPr>
          <w:p>
            <w:pPr>
              <w:spacing w:after="20" w:before="20"/>
            </w:pPr>
            <w:r/>
            <w:r>
              <w:rPr>
                <w:b/>
                <w:color w:val="FFFFFF"/>
                <w:sz w:val="16"/>
              </w:rPr>
              <w:t>Filas afectadas</w:t>
            </w:r>
          </w:p>
        </w:tc>
        <w:tc>
          <w:tcPr>
            <w:tcW w:type="dxa" w:w="2211"/>
            <w:shd w:val="clear" w:fill="1F3A5F"/>
          </w:tcPr>
          <w:p>
            <w:pPr>
              <w:spacing w:after="20" w:before="20"/>
            </w:pPr>
            <w:r/>
            <w:r>
              <w:rPr>
                <w:b/>
                <w:color w:val="FFFFFF"/>
                <w:sz w:val="16"/>
              </w:rPr>
              <w:t>Decisión tomada</w:t>
            </w:r>
          </w:p>
        </w:tc>
        <w:tc>
          <w:tcPr>
            <w:tcW w:type="dxa" w:w="3175"/>
            <w:shd w:val="clear" w:fill="1F3A5F"/>
          </w:tcPr>
          <w:p>
            <w:pPr>
              <w:spacing w:after="20" w:before="20"/>
            </w:pPr>
            <w:r/>
            <w:r>
              <w:rPr>
                <w:b/>
                <w:color w:val="FFFFFF"/>
                <w:sz w:val="16"/>
              </w:rPr>
              <w:t>Justificación</w:t>
            </w:r>
          </w:p>
        </w:tc>
      </w:tr>
      <w:tr>
        <w:tc>
          <w:tcPr>
            <w:tcW w:type="dxa" w:w="2494"/>
          </w:tcPr>
          <w:p>
            <w:pPr>
              <w:spacing w:after="20" w:before="20"/>
            </w:pPr>
            <w:r/>
            <w:r>
              <w:rPr>
                <w:sz w:val="16"/>
              </w:rPr>
              <w:t>1. Filas duplicadas exactas</w:t>
            </w:r>
          </w:p>
        </w:tc>
        <w:tc>
          <w:tcPr>
            <w:tcW w:type="dxa" w:w="1417"/>
          </w:tcPr>
          <w:p>
            <w:pPr>
              <w:spacing w:after="20" w:before="20"/>
            </w:pPr>
            <w:r/>
            <w:r>
              <w:rPr>
                <w:sz w:val="16"/>
              </w:rPr>
              <w:t>155</w:t>
            </w:r>
          </w:p>
        </w:tc>
        <w:tc>
          <w:tcPr>
            <w:tcW w:type="dxa" w:w="2211"/>
          </w:tcPr>
          <w:p>
            <w:pPr>
              <w:spacing w:after="20" w:before="20"/>
            </w:pPr>
            <w:r/>
            <w:r>
              <w:rPr>
                <w:sz w:val="16"/>
              </w:rPr>
              <w:t>Eliminar (R1)</w:t>
            </w:r>
          </w:p>
        </w:tc>
        <w:tc>
          <w:tcPr>
            <w:tcW w:type="dxa" w:w="3175"/>
          </w:tcPr>
          <w:p>
            <w:pPr>
              <w:spacing w:after="20" w:before="20"/>
            </w:pPr>
            <w:r/>
            <w:r>
              <w:rPr>
                <w:sz w:val="16"/>
              </w:rPr>
              <w:t>Reproceso de carga; inflarían toda venta calculada.</w:t>
            </w:r>
          </w:p>
        </w:tc>
      </w:tr>
      <w:tr>
        <w:tc>
          <w:tcPr>
            <w:tcW w:type="dxa" w:w="2494"/>
            <w:shd w:val="clear" w:fill="EEF2F7"/>
          </w:tcPr>
          <w:p>
            <w:pPr>
              <w:spacing w:after="20" w:before="20"/>
            </w:pPr>
            <w:r/>
            <w:r>
              <w:rPr>
                <w:sz w:val="16"/>
              </w:rPr>
              <w:t>2. Nulos en cantidad o precio</w:t>
            </w:r>
          </w:p>
        </w:tc>
        <w:tc>
          <w:tcPr>
            <w:tcW w:type="dxa" w:w="1417"/>
            <w:shd w:val="clear" w:fill="EEF2F7"/>
          </w:tcPr>
          <w:p>
            <w:pPr>
              <w:spacing w:after="20" w:before="20"/>
            </w:pPr>
            <w:r/>
            <w:r>
              <w:rPr>
                <w:sz w:val="16"/>
              </w:rPr>
              <w:t>285 (190 + 95)</w:t>
            </w:r>
          </w:p>
        </w:tc>
        <w:tc>
          <w:tcPr>
            <w:tcW w:type="dxa" w:w="2211"/>
            <w:shd w:val="clear" w:fill="EEF2F7"/>
          </w:tcPr>
          <w:p>
            <w:pPr>
              <w:spacing w:after="20" w:before="20"/>
            </w:pPr>
            <w:r/>
            <w:r>
              <w:rPr>
                <w:sz w:val="16"/>
              </w:rPr>
              <w:t>Descartar (R4)</w:t>
            </w:r>
          </w:p>
        </w:tc>
        <w:tc>
          <w:tcPr>
            <w:tcW w:type="dxa" w:w="3175"/>
            <w:shd w:val="clear" w:fill="EEF2F7"/>
          </w:tcPr>
          <w:p>
            <w:pPr>
              <w:spacing w:after="20" w:before="20"/>
            </w:pPr>
            <w:r/>
            <w:r>
              <w:rPr>
                <w:sz w:val="16"/>
              </w:rPr>
              <w:t>Sin cantidad ni precio la línea no es valorizable ni recuperable.</w:t>
            </w:r>
          </w:p>
        </w:tc>
      </w:tr>
      <w:tr>
        <w:tc>
          <w:tcPr>
            <w:tcW w:type="dxa" w:w="2494"/>
          </w:tcPr>
          <w:p>
            <w:pPr>
              <w:spacing w:after="20" w:before="20"/>
            </w:pPr>
            <w:r/>
            <w:r>
              <w:rPr>
                <w:sz w:val="16"/>
              </w:rPr>
              <w:t>3. Dos formatos de fecha</w:t>
            </w:r>
          </w:p>
        </w:tc>
        <w:tc>
          <w:tcPr>
            <w:tcW w:type="dxa" w:w="1417"/>
          </w:tcPr>
          <w:p>
            <w:pPr>
              <w:spacing w:after="20" w:before="20"/>
            </w:pPr>
            <w:r/>
            <w:r>
              <w:rPr>
                <w:sz w:val="16"/>
              </w:rPr>
              <w:t>2 689 en dd/mm/aaaa</w:t>
            </w:r>
          </w:p>
        </w:tc>
        <w:tc>
          <w:tcPr>
            <w:tcW w:type="dxa" w:w="2211"/>
          </w:tcPr>
          <w:p>
            <w:pPr>
              <w:spacing w:after="20" w:before="20"/>
            </w:pPr>
            <w:r/>
            <w:r>
              <w:rPr>
                <w:sz w:val="16"/>
              </w:rPr>
              <w:t>Parsear ambos y unir con fillna (R3)</w:t>
            </w:r>
          </w:p>
        </w:tc>
        <w:tc>
          <w:tcPr>
            <w:tcW w:type="dxa" w:w="3175"/>
          </w:tcPr>
          <w:p>
            <w:pPr>
              <w:spacing w:after="20" w:before="20"/>
            </w:pPr>
            <w:r/>
            <w:r>
              <w:rPr>
                <w:sz w:val="16"/>
              </w:rPr>
              <w:t>Forzar un solo formato generaría NaT silenciosos: pérdida del 7,7 % sin aviso.</w:t>
            </w:r>
          </w:p>
        </w:tc>
      </w:tr>
      <w:tr>
        <w:tc>
          <w:tcPr>
            <w:tcW w:type="dxa" w:w="2494"/>
            <w:shd w:val="clear" w:fill="EEF2F7"/>
          </w:tcPr>
          <w:p>
            <w:pPr>
              <w:spacing w:after="20" w:before="20"/>
            </w:pPr>
            <w:r/>
            <w:r>
              <w:rPr>
                <w:sz w:val="16"/>
              </w:rPr>
              <w:t>4. Códigos de tienda en minúscula</w:t>
            </w:r>
          </w:p>
        </w:tc>
        <w:tc>
          <w:tcPr>
            <w:tcW w:type="dxa" w:w="1417"/>
            <w:shd w:val="clear" w:fill="EEF2F7"/>
          </w:tcPr>
          <w:p>
            <w:pPr>
              <w:spacing w:after="20" w:before="20"/>
            </w:pPr>
            <w:r/>
            <w:r>
              <w:rPr>
                <w:sz w:val="16"/>
              </w:rPr>
              <w:t>260</w:t>
            </w:r>
          </w:p>
        </w:tc>
        <w:tc>
          <w:tcPr>
            <w:tcW w:type="dxa" w:w="2211"/>
            <w:shd w:val="clear" w:fill="EEF2F7"/>
          </w:tcPr>
          <w:p>
            <w:pPr>
              <w:spacing w:after="20" w:before="20"/>
            </w:pPr>
            <w:r/>
            <w:r>
              <w:rPr>
                <w:sz w:val="16"/>
              </w:rPr>
              <w:t>Normalizar a mayúsculas (R2)</w:t>
            </w:r>
          </w:p>
        </w:tc>
        <w:tc>
          <w:tcPr>
            <w:tcW w:type="dxa" w:w="3175"/>
            <w:shd w:val="clear" w:fill="EEF2F7"/>
          </w:tcPr>
          <w:p>
            <w:pPr>
              <w:spacing w:after="20" w:before="20"/>
            </w:pPr>
            <w:r/>
            <w:r>
              <w:rPr>
                <w:sz w:val="16"/>
              </w:rPr>
              <w:t>Sin normalizar, cada local se parte en dos grupos y ninguno muestra su venta real.</w:t>
            </w:r>
          </w:p>
        </w:tc>
      </w:tr>
      <w:tr>
        <w:tc>
          <w:tcPr>
            <w:tcW w:type="dxa" w:w="2494"/>
          </w:tcPr>
          <w:p>
            <w:pPr>
              <w:spacing w:after="20" w:before="20"/>
            </w:pPr>
            <w:r/>
            <w:r>
              <w:rPr>
                <w:sz w:val="16"/>
              </w:rPr>
              <w:t>5. Cantidades negativas</w:t>
            </w:r>
          </w:p>
        </w:tc>
        <w:tc>
          <w:tcPr>
            <w:tcW w:type="dxa" w:w="1417"/>
          </w:tcPr>
          <w:p>
            <w:pPr>
              <w:spacing w:after="20" w:before="20"/>
            </w:pPr>
            <w:r/>
            <w:r>
              <w:rPr>
                <w:sz w:val="16"/>
              </w:rPr>
              <w:t>34</w:t>
            </w:r>
          </w:p>
        </w:tc>
        <w:tc>
          <w:tcPr>
            <w:tcW w:type="dxa" w:w="2211"/>
          </w:tcPr>
          <w:p>
            <w:pPr>
              <w:spacing w:after="20" w:before="20"/>
            </w:pPr>
            <w:r/>
            <w:r>
              <w:rPr>
                <w:sz w:val="16"/>
              </w:rPr>
              <w:t>Excluir del cálculo de venta (R5)</w:t>
            </w:r>
          </w:p>
        </w:tc>
        <w:tc>
          <w:tcPr>
            <w:tcW w:type="dxa" w:w="3175"/>
          </w:tcPr>
          <w:p>
            <w:pPr>
              <w:spacing w:after="20" w:before="20"/>
            </w:pPr>
            <w:r/>
            <w:r>
              <w:rPr>
                <w:sz w:val="16"/>
              </w:rPr>
              <w:t>Son devoluciones que el POS registró restando en lugar de emitir nota de crédito.</w:t>
            </w:r>
          </w:p>
        </w:tc>
      </w:tr>
      <w:tr>
        <w:tc>
          <w:tcPr>
            <w:tcW w:type="dxa" w:w="2494"/>
            <w:shd w:val="clear" w:fill="EEF2F7"/>
          </w:tcPr>
          <w:p>
            <w:pPr>
              <w:spacing w:after="20" w:before="20"/>
            </w:pPr>
            <w:r/>
            <w:r>
              <w:rPr>
                <w:sz w:val="16"/>
              </w:rPr>
              <w:t>6. Precios atípicos</w:t>
            </w:r>
          </w:p>
        </w:tc>
        <w:tc>
          <w:tcPr>
            <w:tcW w:type="dxa" w:w="1417"/>
            <w:shd w:val="clear" w:fill="EEF2F7"/>
          </w:tcPr>
          <w:p>
            <w:pPr>
              <w:spacing w:after="20" w:before="20"/>
            </w:pPr>
            <w:r/>
            <w:r>
              <w:rPr>
                <w:sz w:val="16"/>
              </w:rPr>
              <w:t>9 (&gt; S/ 993,10)</w:t>
            </w:r>
          </w:p>
        </w:tc>
        <w:tc>
          <w:tcPr>
            <w:tcW w:type="dxa" w:w="2211"/>
            <w:shd w:val="clear" w:fill="EEF2F7"/>
          </w:tcPr>
          <w:p>
            <w:pPr>
              <w:spacing w:after="20" w:before="20"/>
            </w:pPr>
            <w:r/>
            <w:r>
              <w:rPr>
                <w:sz w:val="16"/>
              </w:rPr>
              <w:t>Excluir; umbral = 20 × mediana (R6)</w:t>
            </w:r>
          </w:p>
        </w:tc>
        <w:tc>
          <w:tcPr>
            <w:tcW w:type="dxa" w:w="3175"/>
            <w:shd w:val="clear" w:fill="EEF2F7"/>
          </w:tcPr>
          <w:p>
            <w:pPr>
              <w:spacing w:after="20" w:before="20"/>
            </w:pPr>
            <w:r/>
            <w:r>
              <w:rPr>
                <w:sz w:val="16"/>
              </w:rPr>
              <w:t>Error de digitación sin separador decimal. Mediana S/ 49,69 y P99 S/ 148,40 frente a un máximo de S/ 11 988: existe un salto limpio que hace defendible el umbral.</w:t>
            </w:r>
          </w:p>
        </w:tc>
      </w:tr>
      <w:tr>
        <w:tc>
          <w:tcPr>
            <w:tcW w:type="dxa" w:w="2494"/>
          </w:tcPr>
          <w:p>
            <w:pPr>
              <w:spacing w:after="20" w:before="20"/>
            </w:pPr>
            <w:r/>
            <w:r>
              <w:rPr>
                <w:sz w:val="16"/>
              </w:rPr>
              <w:t>7. SKU no catalogados</w:t>
            </w:r>
          </w:p>
        </w:tc>
        <w:tc>
          <w:tcPr>
            <w:tcW w:type="dxa" w:w="1417"/>
          </w:tcPr>
          <w:p>
            <w:pPr>
              <w:spacing w:after="20" w:before="20"/>
            </w:pPr>
            <w:r/>
            <w:r>
              <w:rPr>
                <w:sz w:val="16"/>
              </w:rPr>
              <w:t>46 líneas / 42 SKU</w:t>
            </w:r>
          </w:p>
        </w:tc>
        <w:tc>
          <w:tcPr>
            <w:tcW w:type="dxa" w:w="2211"/>
          </w:tcPr>
          <w:p>
            <w:pPr>
              <w:spacing w:after="20" w:before="20"/>
            </w:pPr>
            <w:r/>
            <w:r>
              <w:rPr>
                <w:sz w:val="16"/>
              </w:rPr>
              <w:t>Conservar y reportar como NaN</w:t>
            </w:r>
          </w:p>
        </w:tc>
        <w:tc>
          <w:tcPr>
            <w:tcW w:type="dxa" w:w="3175"/>
          </w:tcPr>
          <w:p>
            <w:pPr>
              <w:spacing w:after="20" w:before="20"/>
            </w:pPr>
            <w:r/>
            <w:r>
              <w:rPr>
                <w:sz w:val="16"/>
              </w:rPr>
              <w:t>Es venta real (S/ 5 302,92) no atribuible a categoría; ocultarla falsearía el reporte.</w:t>
            </w:r>
          </w:p>
        </w:tc>
      </w:tr>
      <w:tr>
        <w:tc>
          <w:tcPr>
            <w:tcW w:type="dxa" w:w="2494"/>
            <w:shd w:val="clear" w:fill="EEF2F7"/>
          </w:tcPr>
          <w:p>
            <w:pPr>
              <w:spacing w:after="20" w:before="20"/>
            </w:pPr>
            <w:r/>
            <w:r>
              <w:rPr>
                <w:sz w:val="16"/>
              </w:rPr>
              <w:t>8. Comprobantes sin pedido asociado</w:t>
            </w:r>
          </w:p>
        </w:tc>
        <w:tc>
          <w:tcPr>
            <w:tcW w:type="dxa" w:w="1417"/>
            <w:shd w:val="clear" w:fill="EEF2F7"/>
          </w:tcPr>
          <w:p>
            <w:pPr>
              <w:spacing w:after="20" w:before="20"/>
            </w:pPr>
            <w:r/>
            <w:r>
              <w:rPr>
                <w:sz w:val="16"/>
              </w:rPr>
              <w:t>38</w:t>
            </w:r>
          </w:p>
        </w:tc>
        <w:tc>
          <w:tcPr>
            <w:tcW w:type="dxa" w:w="2211"/>
            <w:shd w:val="clear" w:fill="EEF2F7"/>
          </w:tcPr>
          <w:p>
            <w:pPr>
              <w:spacing w:after="20" w:before="20"/>
            </w:pPr>
            <w:r/>
            <w:r>
              <w:rPr>
                <w:sz w:val="16"/>
              </w:rPr>
              <w:t>Excluir del cálculo de Finanzas</w:t>
            </w:r>
          </w:p>
        </w:tc>
        <w:tc>
          <w:tcPr>
            <w:tcW w:type="dxa" w:w="3175"/>
            <w:shd w:val="clear" w:fill="EEF2F7"/>
          </w:tcPr>
          <w:p>
            <w:pPr>
              <w:spacing w:after="20" w:before="20"/>
            </w:pPr>
            <w:r/>
            <w:r>
              <w:rPr>
                <w:sz w:val="16"/>
              </w:rPr>
              <w:t>Violación de integridad referencial entre ERP-Facturación y POS.</w:t>
            </w:r>
          </w:p>
        </w:tc>
      </w:tr>
      <w:tr>
        <w:tc>
          <w:tcPr>
            <w:tcW w:type="dxa" w:w="2494"/>
          </w:tcPr>
          <w:p>
            <w:pPr>
              <w:spacing w:after="20" w:before="20"/>
            </w:pPr>
            <w:r/>
            <w:r>
              <w:rPr>
                <w:sz w:val="16"/>
              </w:rPr>
              <w:t>9. Categorías no normalizadas</w:t>
            </w:r>
          </w:p>
        </w:tc>
        <w:tc>
          <w:tcPr>
            <w:tcW w:type="dxa" w:w="1417"/>
          </w:tcPr>
          <w:p>
            <w:pPr>
              <w:spacing w:after="20" w:before="20"/>
            </w:pPr>
            <w:r/>
            <w:r>
              <w:rPr>
                <w:sz w:val="16"/>
              </w:rPr>
              <w:t>21 valores → 6</w:t>
            </w:r>
          </w:p>
        </w:tc>
        <w:tc>
          <w:tcPr>
            <w:tcW w:type="dxa" w:w="2211"/>
          </w:tcPr>
          <w:p>
            <w:pPr>
              <w:spacing w:after="20" w:before="20"/>
            </w:pPr>
            <w:r/>
            <w:r>
              <w:rPr>
                <w:sz w:val="16"/>
              </w:rPr>
              <w:t>Normalizar el catálogo (R8)</w:t>
            </w:r>
          </w:p>
        </w:tc>
        <w:tc>
          <w:tcPr>
            <w:tcW w:type="dxa" w:w="3175"/>
          </w:tcPr>
          <w:p>
            <w:pPr>
              <w:spacing w:after="20" w:before="20"/>
            </w:pPr>
            <w:r/>
            <w:r>
              <w:rPr>
                <w:sz w:val="16"/>
              </w:rPr>
              <w:t>Diferencias de mayúsculas, espacios y singular/plural fragmentan todo reporte por categoría.</w:t>
            </w:r>
          </w:p>
        </w:tc>
      </w:tr>
      <w:tr>
        <w:tc>
          <w:tcPr>
            <w:tcW w:type="dxa" w:w="2494"/>
            <w:shd w:val="clear" w:fill="EEF2F7"/>
          </w:tcPr>
          <w:p>
            <w:pPr>
              <w:spacing w:after="20" w:before="20"/>
            </w:pPr>
            <w:r/>
            <w:r>
              <w:rPr>
                <w:sz w:val="16"/>
              </w:rPr>
              <w:t>10. Precio de lista faltante</w:t>
            </w:r>
          </w:p>
        </w:tc>
        <w:tc>
          <w:tcPr>
            <w:tcW w:type="dxa" w:w="1417"/>
            <w:shd w:val="clear" w:fill="EEF2F7"/>
          </w:tcPr>
          <w:p>
            <w:pPr>
              <w:spacing w:after="20" w:before="20"/>
            </w:pPr>
            <w:r/>
            <w:r>
              <w:rPr>
                <w:sz w:val="16"/>
              </w:rPr>
              <w:t>7 productos</w:t>
            </w:r>
          </w:p>
        </w:tc>
        <w:tc>
          <w:tcPr>
            <w:tcW w:type="dxa" w:w="2211"/>
            <w:shd w:val="clear" w:fill="EEF2F7"/>
          </w:tcPr>
          <w:p>
            <w:pPr>
              <w:spacing w:after="20" w:before="20"/>
            </w:pPr>
            <w:r/>
            <w:r>
              <w:rPr>
                <w:sz w:val="16"/>
              </w:rPr>
              <w:t>Reportar y escalar a Maestros</w:t>
            </w:r>
          </w:p>
        </w:tc>
        <w:tc>
          <w:tcPr>
            <w:tcW w:type="dxa" w:w="3175"/>
            <w:shd w:val="clear" w:fill="EEF2F7"/>
          </w:tcPr>
          <w:p>
            <w:pPr>
              <w:spacing w:after="20" w:before="20"/>
            </w:pPr>
            <w:r/>
            <w:r>
              <w:rPr>
                <w:sz w:val="16"/>
              </w:rPr>
              <w:t>No afecta la venta neta, pero impide valorizar a lista y auditar el margen.</w:t>
            </w:r>
          </w:p>
        </w:tc>
      </w:tr>
    </w:tbl>
    <w:p>
      <w:pPr>
        <w:spacing w:before="40" w:after="160"/>
      </w:pPr>
      <w:r>
        <w:rPr>
          <w:i/>
          <w:color w:val="555555"/>
          <w:sz w:val="16"/>
        </w:rPr>
        <w:t>Tabla 4. Registro de diagnóstico y decisiones de limpieza. Efecto acumulado verificado: 34 912 → 34 757 (R1) → 34 472 (R4) → 34 438 (R5) → 34 429 (R6). El orden de las reglas es significativo: eliminar duplicados antes de descartar nulos preserva la trazabilidad del reproceso de carga; invertirlo la pierde.</w:t>
      </w:r>
    </w:p>
    <w:p>
      <w:r>
        <w:br w:type="page"/>
      </w:r>
    </w:p>
    <w:p>
      <w:pPr>
        <w:spacing w:before="0" w:after="60"/>
      </w:pPr>
      <w:r>
        <w:rPr>
          <w:b/>
          <w:color w:val="1F3A5F"/>
          <w:sz w:val="22"/>
        </w:rPr>
        <w:t>4. El problema de las tres cifras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304"/>
            <w:shd w:val="clear" w:fill="1F3A5F"/>
          </w:tcPr>
          <w:p>
            <w:pPr>
              <w:spacing w:after="20" w:before="20"/>
            </w:pPr>
            <w:r/>
            <w:r>
              <w:rPr>
                <w:b/>
                <w:color w:val="FFFFFF"/>
                <w:sz w:val="17"/>
              </w:rPr>
              <w:t>Área</w:t>
            </w:r>
          </w:p>
        </w:tc>
        <w:tc>
          <w:tcPr>
            <w:tcW w:type="dxa" w:w="5443"/>
            <w:shd w:val="clear" w:fill="1F3A5F"/>
          </w:tcPr>
          <w:p>
            <w:pPr>
              <w:spacing w:after="20" w:before="20"/>
            </w:pPr>
            <w:r/>
            <w:r>
              <w:rPr>
                <w:b/>
                <w:color w:val="FFFFFF"/>
                <w:sz w:val="17"/>
              </w:rPr>
              <w:t>Definición aplicada</w:t>
            </w:r>
          </w:p>
        </w:tc>
        <w:tc>
          <w:tcPr>
            <w:tcW w:type="dxa" w:w="2551"/>
            <w:shd w:val="clear" w:fill="1F3A5F"/>
          </w:tcPr>
          <w:p>
            <w:pPr>
              <w:spacing w:after="20" w:before="20"/>
            </w:pPr>
            <w:r/>
            <w:r>
              <w:rPr>
                <w:b/>
                <w:color w:val="FFFFFF"/>
                <w:sz w:val="17"/>
              </w:rPr>
              <w:t>Cifra agosto 2026</w:t>
            </w:r>
          </w:p>
        </w:tc>
      </w:tr>
      <w:tr>
        <w:tc>
          <w:tcPr>
            <w:tcW w:type="dxa" w:w="1304"/>
          </w:tcPr>
          <w:p>
            <w:pPr>
              <w:spacing w:after="20" w:before="20"/>
            </w:pPr>
            <w:r/>
            <w:r>
              <w:rPr>
                <w:sz w:val="17"/>
              </w:rPr>
              <w:t>Comercial</w:t>
            </w:r>
          </w:p>
        </w:tc>
        <w:tc>
          <w:tcPr>
            <w:tcW w:type="dxa" w:w="5443"/>
          </w:tcPr>
          <w:p>
            <w:pPr>
              <w:spacing w:after="20" w:before="20"/>
            </w:pPr>
            <w:r/>
            <w:r>
              <w:rPr>
                <w:sz w:val="17"/>
              </w:rPr>
              <w:t>Pedidos registrados, CON IGV, sin descontar anulados</w:t>
            </w:r>
          </w:p>
        </w:tc>
        <w:tc>
          <w:tcPr>
            <w:tcW w:type="dxa" w:w="2551"/>
          </w:tcPr>
          <w:p>
            <w:pPr>
              <w:spacing w:after="20" w:before="20"/>
            </w:pPr>
            <w:r/>
            <w:r>
              <w:rPr>
                <w:sz w:val="17"/>
              </w:rPr>
              <w:t>S/ 4 780 791,17</w:t>
            </w:r>
          </w:p>
        </w:tc>
      </w:tr>
      <w:tr>
        <w:tc>
          <w:tcPr>
            <w:tcW w:type="dxa" w:w="1304"/>
            <w:shd w:val="clear" w:fill="EEF2F7"/>
          </w:tcPr>
          <w:p>
            <w:pPr>
              <w:spacing w:after="20" w:before="20"/>
            </w:pPr>
            <w:r/>
            <w:r>
              <w:rPr>
                <w:sz w:val="17"/>
              </w:rPr>
              <w:t>Logística</w:t>
            </w:r>
          </w:p>
        </w:tc>
        <w:tc>
          <w:tcPr>
            <w:tcW w:type="dxa" w:w="5443"/>
            <w:shd w:val="clear" w:fill="EEF2F7"/>
          </w:tcPr>
          <w:p>
            <w:pPr>
              <w:spacing w:after="20" w:before="20"/>
            </w:pPr>
            <w:r/>
            <w:r>
              <w:rPr>
                <w:sz w:val="17"/>
              </w:rPr>
              <w:t>Guías DESPACHADAS, valorizadas a precio de lista</w:t>
            </w:r>
          </w:p>
        </w:tc>
        <w:tc>
          <w:tcPr>
            <w:tcW w:type="dxa" w:w="2551"/>
            <w:shd w:val="clear" w:fill="EEF2F7"/>
          </w:tcPr>
          <w:p>
            <w:pPr>
              <w:spacing w:after="20" w:before="20"/>
            </w:pPr>
            <w:r/>
            <w:r>
              <w:rPr>
                <w:sz w:val="17"/>
              </w:rPr>
              <w:t>S/ 4 150 000,11</w:t>
            </w:r>
          </w:p>
        </w:tc>
      </w:tr>
      <w:tr>
        <w:tc>
          <w:tcPr>
            <w:tcW w:type="dxa" w:w="1304"/>
          </w:tcPr>
          <w:p>
            <w:pPr>
              <w:spacing w:after="20" w:before="20"/>
            </w:pPr>
            <w:r/>
            <w:r>
              <w:rPr>
                <w:sz w:val="17"/>
              </w:rPr>
              <w:t>Finanzas</w:t>
            </w:r>
          </w:p>
        </w:tc>
        <w:tc>
          <w:tcPr>
            <w:tcW w:type="dxa" w:w="5443"/>
          </w:tcPr>
          <w:p>
            <w:pPr>
              <w:spacing w:after="20" w:before="20"/>
            </w:pPr>
            <w:r/>
            <w:r>
              <w:rPr>
                <w:sz w:val="17"/>
              </w:rPr>
              <w:t>Comprobantes con pedido asociado, SIN IGV, neto de notas de crédito</w:t>
            </w:r>
          </w:p>
        </w:tc>
        <w:tc>
          <w:tcPr>
            <w:tcW w:type="dxa" w:w="2551"/>
          </w:tcPr>
          <w:p>
            <w:pPr>
              <w:spacing w:after="20" w:before="20"/>
            </w:pPr>
            <w:r/>
            <w:r>
              <w:rPr>
                <w:sz w:val="17"/>
              </w:rPr>
              <w:t>S/ 3 884 652,26</w:t>
            </w:r>
          </w:p>
        </w:tc>
      </w:tr>
      <w:tr>
        <w:tc>
          <w:tcPr>
            <w:tcW w:type="dxa" w:w="1304"/>
            <w:shd w:val="clear" w:fill="EEF2F7"/>
          </w:tcPr>
          <w:p>
            <w:pPr>
              <w:spacing w:after="20" w:before="20"/>
            </w:pPr>
            <w:r/>
            <w:r>
              <w:rPr>
                <w:sz w:val="17"/>
              </w:rPr>
              <w:t>Brecha</w:t>
            </w:r>
          </w:p>
        </w:tc>
        <w:tc>
          <w:tcPr>
            <w:tcW w:type="dxa" w:w="5443"/>
            <w:shd w:val="clear" w:fill="EEF2F7"/>
          </w:tcPr>
          <w:p>
            <w:pPr>
              <w:spacing w:after="20" w:before="20"/>
            </w:pPr>
            <w:r/>
            <w:r>
              <w:rPr>
                <w:sz w:val="17"/>
              </w:rPr>
              <w:t>Mayor − menor</w:t>
            </w:r>
          </w:p>
        </w:tc>
        <w:tc>
          <w:tcPr>
            <w:tcW w:type="dxa" w:w="2551"/>
            <w:shd w:val="clear" w:fill="EEF2F7"/>
          </w:tcPr>
          <w:p>
            <w:pPr>
              <w:spacing w:after="20" w:before="20"/>
            </w:pPr>
            <w:r/>
            <w:r>
              <w:rPr>
                <w:sz w:val="17"/>
              </w:rPr>
              <w:t>S/ 896 138,91  (23,1 %)</w:t>
            </w:r>
          </w:p>
        </w:tc>
      </w:tr>
    </w:tbl>
    <w:p>
      <w:pPr>
        <w:spacing w:before="40" w:after="160"/>
      </w:pPr>
      <w:r>
        <w:rPr>
          <w:i/>
          <w:color w:val="555555"/>
          <w:sz w:val="16"/>
        </w:rPr>
        <w:t>Tabla A. Reproducción numérica de las tres cifras del caso.</w:t>
      </w:r>
    </w:p>
    <w:p>
      <w:pPr>
        <w:spacing w:before="160" w:after="60"/>
      </w:pPr>
      <w:r>
        <w:rPr>
          <w:b/>
          <w:color w:val="1F3A5F"/>
          <w:sz w:val="20"/>
        </w:rPr>
        <w:t>4.1. Descomposición de la brecha Comercial − Finanzas (pregunta 1)</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4535"/>
            <w:shd w:val="clear" w:fill="1F3A5F"/>
          </w:tcPr>
          <w:p>
            <w:pPr>
              <w:spacing w:after="20" w:before="20"/>
            </w:pPr>
            <w:r/>
            <w:r>
              <w:rPr>
                <w:b/>
                <w:color w:val="FFFFFF"/>
                <w:sz w:val="17"/>
              </w:rPr>
              <w:t>Concepto</w:t>
            </w:r>
          </w:p>
        </w:tc>
        <w:tc>
          <w:tcPr>
            <w:tcW w:type="dxa" w:w="2381"/>
            <w:shd w:val="clear" w:fill="1F3A5F"/>
          </w:tcPr>
          <w:p>
            <w:pPr>
              <w:spacing w:after="20" w:before="20"/>
            </w:pPr>
            <w:r/>
            <w:r>
              <w:rPr>
                <w:b/>
                <w:color w:val="FFFFFF"/>
                <w:sz w:val="17"/>
              </w:rPr>
              <w:t>Monto (S/)</w:t>
            </w:r>
          </w:p>
        </w:tc>
        <w:tc>
          <w:tcPr>
            <w:tcW w:type="dxa" w:w="2381"/>
            <w:shd w:val="clear" w:fill="1F3A5F"/>
          </w:tcPr>
          <w:p>
            <w:pPr>
              <w:spacing w:after="20" w:before="20"/>
            </w:pPr>
            <w:r/>
            <w:r>
              <w:rPr>
                <w:b/>
                <w:color w:val="FFFFFF"/>
                <w:sz w:val="17"/>
              </w:rPr>
              <w:t>% de la brecha</w:t>
            </w:r>
          </w:p>
        </w:tc>
      </w:tr>
      <w:tr>
        <w:tc>
          <w:tcPr>
            <w:tcW w:type="dxa" w:w="4535"/>
          </w:tcPr>
          <w:p>
            <w:pPr>
              <w:spacing w:after="20" w:before="20"/>
            </w:pPr>
            <w:r/>
            <w:r>
              <w:rPr>
                <w:sz w:val="17"/>
              </w:rPr>
              <w:t>Comercial (con IGV, incluye anulados)</w:t>
            </w:r>
          </w:p>
        </w:tc>
        <w:tc>
          <w:tcPr>
            <w:tcW w:type="dxa" w:w="2381"/>
          </w:tcPr>
          <w:p>
            <w:pPr>
              <w:spacing w:after="20" w:before="20"/>
            </w:pPr>
            <w:r/>
            <w:r>
              <w:rPr>
                <w:sz w:val="17"/>
              </w:rPr>
              <w:t>4 780 791,17</w:t>
            </w:r>
          </w:p>
        </w:tc>
        <w:tc>
          <w:tcPr>
            <w:tcW w:type="dxa" w:w="2381"/>
          </w:tcPr>
          <w:p>
            <w:pPr>
              <w:spacing w:after="20" w:before="20"/>
            </w:pPr>
            <w:r/>
            <w:r>
              <w:rPr>
                <w:sz w:val="17"/>
              </w:rPr>
              <w:t>—</w:t>
            </w:r>
          </w:p>
        </w:tc>
      </w:tr>
      <w:tr>
        <w:tc>
          <w:tcPr>
            <w:tcW w:type="dxa" w:w="4535"/>
            <w:shd w:val="clear" w:fill="EEF2F7"/>
          </w:tcPr>
          <w:p>
            <w:pPr>
              <w:spacing w:after="20" w:before="20"/>
            </w:pPr>
            <w:r/>
            <w:r>
              <w:rPr>
                <w:sz w:val="17"/>
              </w:rPr>
              <w:t>(−) Pedidos anulados</w:t>
            </w:r>
          </w:p>
        </w:tc>
        <w:tc>
          <w:tcPr>
            <w:tcW w:type="dxa" w:w="2381"/>
            <w:shd w:val="clear" w:fill="EEF2F7"/>
          </w:tcPr>
          <w:p>
            <w:pPr>
              <w:spacing w:after="20" w:before="20"/>
            </w:pPr>
            <w:r/>
            <w:r>
              <w:rPr>
                <w:sz w:val="17"/>
              </w:rPr>
              <w:t>174 802,52</w:t>
            </w:r>
          </w:p>
        </w:tc>
        <w:tc>
          <w:tcPr>
            <w:tcW w:type="dxa" w:w="2381"/>
            <w:shd w:val="clear" w:fill="EEF2F7"/>
          </w:tcPr>
          <w:p>
            <w:pPr>
              <w:spacing w:after="20" w:before="20"/>
            </w:pPr>
            <w:r/>
            <w:r>
              <w:rPr>
                <w:sz w:val="17"/>
              </w:rPr>
              <w:t>19,5 %</w:t>
            </w:r>
          </w:p>
        </w:tc>
      </w:tr>
      <w:tr>
        <w:tc>
          <w:tcPr>
            <w:tcW w:type="dxa" w:w="4535"/>
          </w:tcPr>
          <w:p>
            <w:pPr>
              <w:spacing w:after="20" w:before="20"/>
            </w:pPr>
            <w:r/>
            <w:r>
              <w:rPr>
                <w:sz w:val="17"/>
              </w:rPr>
              <w:t>(−) IGV sobre pedidos registrados (18 %)</w:t>
            </w:r>
          </w:p>
        </w:tc>
        <w:tc>
          <w:tcPr>
            <w:tcW w:type="dxa" w:w="2381"/>
          </w:tcPr>
          <w:p>
            <w:pPr>
              <w:spacing w:after="20" w:before="20"/>
            </w:pPr>
            <w:r/>
            <w:r>
              <w:rPr>
                <w:sz w:val="17"/>
              </w:rPr>
              <w:t>702 608,44</w:t>
            </w:r>
          </w:p>
        </w:tc>
        <w:tc>
          <w:tcPr>
            <w:tcW w:type="dxa" w:w="2381"/>
          </w:tcPr>
          <w:p>
            <w:pPr>
              <w:spacing w:after="20" w:before="20"/>
            </w:pPr>
            <w:r/>
            <w:r>
              <w:rPr>
                <w:sz w:val="17"/>
              </w:rPr>
              <w:t>78,4 %</w:t>
            </w:r>
          </w:p>
        </w:tc>
      </w:tr>
      <w:tr>
        <w:tc>
          <w:tcPr>
            <w:tcW w:type="dxa" w:w="4535"/>
            <w:shd w:val="clear" w:fill="EEF2F7"/>
          </w:tcPr>
          <w:p>
            <w:pPr>
              <w:spacing w:after="20" w:before="20"/>
            </w:pPr>
            <w:r/>
            <w:r>
              <w:rPr>
                <w:sz w:val="17"/>
              </w:rPr>
              <w:t>(−) Notas de crédito (sin IGV)</w:t>
            </w:r>
          </w:p>
        </w:tc>
        <w:tc>
          <w:tcPr>
            <w:tcW w:type="dxa" w:w="2381"/>
            <w:shd w:val="clear" w:fill="EEF2F7"/>
          </w:tcPr>
          <w:p>
            <w:pPr>
              <w:spacing w:after="20" w:before="20"/>
            </w:pPr>
            <w:r/>
            <w:r>
              <w:rPr>
                <w:sz w:val="17"/>
              </w:rPr>
              <w:t>47 551,92</w:t>
            </w:r>
          </w:p>
        </w:tc>
        <w:tc>
          <w:tcPr>
            <w:tcW w:type="dxa" w:w="2381"/>
            <w:shd w:val="clear" w:fill="EEF2F7"/>
          </w:tcPr>
          <w:p>
            <w:pPr>
              <w:spacing w:after="20" w:before="20"/>
            </w:pPr>
            <w:r/>
            <w:r>
              <w:rPr>
                <w:sz w:val="17"/>
              </w:rPr>
              <w:t>5,3 %</w:t>
            </w:r>
          </w:p>
        </w:tc>
      </w:tr>
      <w:tr>
        <w:tc>
          <w:tcPr>
            <w:tcW w:type="dxa" w:w="4535"/>
          </w:tcPr>
          <w:p>
            <w:pPr>
              <w:spacing w:after="20" w:before="20"/>
            </w:pPr>
            <w:r/>
            <w:r>
              <w:rPr>
                <w:sz w:val="17"/>
              </w:rPr>
              <w:t>(=) Subtotal reconstruido</w:t>
            </w:r>
          </w:p>
        </w:tc>
        <w:tc>
          <w:tcPr>
            <w:tcW w:type="dxa" w:w="2381"/>
          </w:tcPr>
          <w:p>
            <w:pPr>
              <w:spacing w:after="20" w:before="20"/>
            </w:pPr>
            <w:r/>
            <w:r>
              <w:rPr>
                <w:sz w:val="17"/>
              </w:rPr>
              <w:t>3 855 828,30</w:t>
            </w:r>
          </w:p>
        </w:tc>
        <w:tc>
          <w:tcPr>
            <w:tcW w:type="dxa" w:w="2381"/>
          </w:tcPr>
          <w:p>
            <w:pPr>
              <w:spacing w:after="20" w:before="20"/>
            </w:pPr>
            <w:r/>
            <w:r>
              <w:rPr>
                <w:sz w:val="17"/>
              </w:rPr>
              <w:t>—</w:t>
            </w:r>
          </w:p>
        </w:tc>
      </w:tr>
      <w:tr>
        <w:tc>
          <w:tcPr>
            <w:tcW w:type="dxa" w:w="4535"/>
            <w:shd w:val="clear" w:fill="EEF2F7"/>
          </w:tcPr>
          <w:p>
            <w:pPr>
              <w:spacing w:after="20" w:before="20"/>
            </w:pPr>
            <w:r/>
            <w:r>
              <w:rPr>
                <w:sz w:val="17"/>
              </w:rPr>
              <w:t>Finanzas (cifra real)</w:t>
            </w:r>
          </w:p>
        </w:tc>
        <w:tc>
          <w:tcPr>
            <w:tcW w:type="dxa" w:w="2381"/>
            <w:shd w:val="clear" w:fill="EEF2F7"/>
          </w:tcPr>
          <w:p>
            <w:pPr>
              <w:spacing w:after="20" w:before="20"/>
            </w:pPr>
            <w:r/>
            <w:r>
              <w:rPr>
                <w:sz w:val="17"/>
              </w:rPr>
              <w:t>3 884 652,26</w:t>
            </w:r>
          </w:p>
        </w:tc>
        <w:tc>
          <w:tcPr>
            <w:tcW w:type="dxa" w:w="2381"/>
            <w:shd w:val="clear" w:fill="EEF2F7"/>
          </w:tcPr>
          <w:p>
            <w:pPr>
              <w:spacing w:after="20" w:before="20"/>
            </w:pPr>
            <w:r/>
            <w:r>
              <w:rPr>
                <w:sz w:val="17"/>
              </w:rPr>
              <w:t>—</w:t>
            </w:r>
          </w:p>
        </w:tc>
      </w:tr>
      <w:tr>
        <w:tc>
          <w:tcPr>
            <w:tcW w:type="dxa" w:w="4535"/>
          </w:tcPr>
          <w:p>
            <w:pPr>
              <w:spacing w:after="20" w:before="20"/>
            </w:pPr>
            <w:r/>
            <w:r>
              <w:rPr>
                <w:sz w:val="17"/>
              </w:rPr>
              <w:t>Residuo: comprobantes vs. detalle POS</w:t>
            </w:r>
          </w:p>
        </w:tc>
        <w:tc>
          <w:tcPr>
            <w:tcW w:type="dxa" w:w="2381"/>
          </w:tcPr>
          <w:p>
            <w:pPr>
              <w:spacing w:after="20" w:before="20"/>
            </w:pPr>
            <w:r/>
            <w:r>
              <w:rPr>
                <w:sz w:val="17"/>
              </w:rPr>
              <w:t>−28 823,96</w:t>
            </w:r>
          </w:p>
        </w:tc>
        <w:tc>
          <w:tcPr>
            <w:tcW w:type="dxa" w:w="2381"/>
          </w:tcPr>
          <w:p>
            <w:pPr>
              <w:spacing w:after="20" w:before="20"/>
            </w:pPr>
            <w:r/>
            <w:r>
              <w:rPr>
                <w:sz w:val="17"/>
              </w:rPr>
              <w:t>−3,2 %</w:t>
            </w:r>
          </w:p>
        </w:tc>
      </w:tr>
    </w:tbl>
    <w:p>
      <w:pPr>
        <w:spacing w:before="40" w:after="160"/>
      </w:pPr>
      <w:r>
        <w:rPr>
          <w:i/>
          <w:color w:val="555555"/>
          <w:sz w:val="16"/>
        </w:rPr>
        <w:t>Tabla B. Descomposición numérica de la brecha de S/ 896 138,91.</w:t>
      </w:r>
    </w:p>
    <w:p>
      <w:pPr>
        <w:spacing w:after="80"/>
        <w:jc w:val="both"/>
      </w:pPr>
      <w:r>
        <w:rPr>
          <w:sz w:val="19"/>
        </w:rPr>
        <w:t>El IGV explica por sí solo el 78,4 % de la discrepancia: casi toda la controversia gerencial se originó en un impuesto que un área incluye y la otra no. El residuo negativo de S/ 28 823,96 corresponde a comprobantes cuyo monto no coincide con el detalle POS del pedido asociado y constituye un hallazgo adicional que debe escalarse a Facturación. Obsérvese que el subtotal reconstruido coincide exactamente con la venta neta corporativa de la sección 5: la definición única no es una cuarta cifra, sino la reconciliación auditable de las tres.</w:t>
      </w:r>
    </w:p>
    <w:p>
      <w:pPr>
        <w:spacing w:before="160" w:after="60"/>
      </w:pPr>
      <w:r>
        <w:rPr>
          <w:b/>
          <w:color w:val="1F3A5F"/>
          <w:sz w:val="20"/>
        </w:rPr>
        <w:t>4.2. Por qué Logística no es un subconjunto de Comercial (pregunta 2)</w:t>
      </w:r>
    </w:p>
    <w:p>
      <w:pPr>
        <w:spacing w:after="80"/>
        <w:jc w:val="both"/>
      </w:pPr>
      <w:r>
        <w:rPr>
          <w:sz w:val="19"/>
        </w:rPr>
        <w:t>Causa 1 — corte temporal distinto. Logística reconoce en fecha de despacho, no de pedido. De 13 277 guías, 2 849 permanecen PENDIENTE y 112 ANULADO; solo 10 286 de los 12 841 pedidos del detalle tienen despacho asociado. Existe venta de agosto que se despacha en setiembre y despachos de agosto originados en pedidos de julio.</w:t>
      </w:r>
    </w:p>
    <w:p>
      <w:pPr>
        <w:spacing w:after="80"/>
        <w:jc w:val="both"/>
      </w:pPr>
      <w:r>
        <w:rPr>
          <w:sz w:val="19"/>
        </w:rPr>
        <w:t>Causa 2 — base de valorización distinta. Logística valoriza a precio de lista e ignora el descuento comercial, que promedia 5,01 % en el periodo. Adicionalmente, 928 guías referencian pedidos inexistentes en el detalle POS, de modo que ni siquiera los universos de registros coinciden.</w:t>
      </w:r>
    </w:p>
    <w:p>
      <w:pPr>
        <w:spacing w:before="160" w:after="60"/>
      </w:pPr>
      <w:r>
        <w:rPr>
          <w:b/>
          <w:color w:val="1F3A5F"/>
          <w:sz w:val="20"/>
        </w:rPr>
        <w:t>4.3. ¿Alguna área calcula mal? (pregunta 3)</w:t>
      </w:r>
    </w:p>
    <w:p>
      <w:pPr>
        <w:spacing w:after="80"/>
        <w:jc w:val="both"/>
      </w:pPr>
      <w:r>
        <w:rPr>
          <w:sz w:val="19"/>
        </w:rPr>
        <w:t>Ninguna. Las tres cifras son internamente consistentes, reproducibles y auditables contra su propia definición declarada. El defecto no es de cálculo sino de gobierno del dato: no existe una definición corporativa única, con dueño formal, que subordine las tres lecturas. Atribuir el problema a un error de un área desviaría el diagnóstico y no evitaría su repetición.</w:t>
      </w:r>
    </w:p>
    <w:p>
      <w:pPr>
        <w:spacing w:before="160" w:after="60"/>
      </w:pPr>
      <w:r>
        <w:rPr>
          <w:b/>
          <w:color w:val="1F3A5F"/>
          <w:sz w:val="20"/>
        </w:rPr>
        <w:t>4.4. Cifra recomendada para el reporte al directorio (pregunta 4)</w:t>
      </w:r>
    </w:p>
    <w:p>
      <w:pPr>
        <w:spacing w:after="80"/>
        <w:jc w:val="both"/>
      </w:pPr>
      <w:r>
        <w:rPr>
          <w:sz w:val="19"/>
        </w:rPr>
        <w:t>Se recomienda la cifra de Finanzas ajustada al reconocimiento por fecha de pedido, es decir, la definición corporativa de la sección 5 (S/ 3 855 828,30). Fundamento: (a) es la única contrastable contra un tercero independiente —los comprobantes declarados a SUNAT—, lo que la hace auditable ante el directorio; (b) excluye IGV, que es un pasivo tributario y no ingreso de la empresa; (c) descuenta anulados y notas de crédito, evitando reconocer ventas que no se concretaron. La cifra de Comercial sobreestima en 24,0 % y la de Logística mide desempeño operativo del despacho, que es un indicador válido pero de otra naturaleza.</w:t>
      </w:r>
    </w:p>
    <w:p>
      <w:r>
        <w:br w:type="page"/>
      </w:r>
    </w:p>
    <w:p>
      <w:pPr>
        <w:spacing w:before="0" w:after="60"/>
      </w:pPr>
      <w:r>
        <w:rPr>
          <w:b/>
          <w:color w:val="1F3A5F"/>
          <w:sz w:val="22"/>
        </w:rPr>
        <w:t>5. Definición única y panel de indicadores</w:t>
      </w:r>
    </w:p>
    <w:p>
      <w:pPr>
        <w:spacing w:after="80"/>
        <w:jc w:val="both"/>
      </w:pPr>
      <w:r>
        <w:rPr>
          <w:b/>
          <w:sz w:val="19"/>
        </w:rPr>
        <w:t xml:space="preserve">Definición corporativa de VENTA NETA. </w:t>
      </w:r>
      <w:r>
        <w:rPr>
          <w:sz w:val="19"/>
        </w:rPr>
        <w:t>Valor de las líneas pertenecientes a pedidos NO anulados, calculado como cantidad × precio unitario × (1 − descuento), expresado SIN IGV y neto de las notas de crédito emitidas en el periodo. Reconocimiento en fecha de pedido. Universo: pedidos entre el 01 y el 31 de agosto de 2026, todos los canales y locales. Exclusiones: pedidos anulados, líneas sin cantidad o sin precio, y líneas con precio atípico según la regla R6. Dueño de la definición: Gerencia de Administración y Finanzas.</w:t>
      </w:r>
    </w:p>
    <w:tbl>
      <w:tblPr>
        <w:tblStyle w:val="TableGrid"/>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397"/>
            <w:shd w:val="clear" w:fill="1F3A5F"/>
          </w:tcPr>
          <w:p>
            <w:pPr>
              <w:spacing w:after="20" w:before="20"/>
            </w:pPr>
            <w:r/>
            <w:r>
              <w:rPr>
                <w:b/>
                <w:color w:val="FFFFFF"/>
                <w:sz w:val="17"/>
              </w:rPr>
              <w:t>#</w:t>
            </w:r>
          </w:p>
        </w:tc>
        <w:tc>
          <w:tcPr>
            <w:tcW w:type="dxa" w:w="2381"/>
            <w:shd w:val="clear" w:fill="1F3A5F"/>
          </w:tcPr>
          <w:p>
            <w:pPr>
              <w:spacing w:after="20" w:before="20"/>
            </w:pPr>
            <w:r/>
            <w:r>
              <w:rPr>
                <w:b/>
                <w:color w:val="FFFFFF"/>
                <w:sz w:val="17"/>
              </w:rPr>
              <w:t>Indicador</w:t>
            </w:r>
          </w:p>
        </w:tc>
        <w:tc>
          <w:tcPr>
            <w:tcW w:type="dxa" w:w="1928"/>
            <w:shd w:val="clear" w:fill="1F3A5F"/>
          </w:tcPr>
          <w:p>
            <w:pPr>
              <w:spacing w:after="20" w:before="20"/>
            </w:pPr>
            <w:r/>
            <w:r>
              <w:rPr>
                <w:b/>
                <w:color w:val="FFFFFF"/>
                <w:sz w:val="17"/>
              </w:rPr>
              <w:t>Valor agosto 2026</w:t>
            </w:r>
          </w:p>
        </w:tc>
        <w:tc>
          <w:tcPr>
            <w:tcW w:type="dxa" w:w="397"/>
            <w:shd w:val="clear" w:fill="1F3A5F"/>
          </w:tcPr>
          <w:p>
            <w:pPr>
              <w:spacing w:after="20" w:before="20"/>
            </w:pPr>
            <w:r/>
            <w:r>
              <w:rPr>
                <w:b/>
                <w:color w:val="FFFFFF"/>
                <w:sz w:val="17"/>
              </w:rPr>
              <w:t>#</w:t>
            </w:r>
          </w:p>
        </w:tc>
        <w:tc>
          <w:tcPr>
            <w:tcW w:type="dxa" w:w="2381"/>
            <w:shd w:val="clear" w:fill="1F3A5F"/>
          </w:tcPr>
          <w:p>
            <w:pPr>
              <w:spacing w:after="20" w:before="20"/>
            </w:pPr>
            <w:r/>
            <w:r>
              <w:rPr>
                <w:b/>
                <w:color w:val="FFFFFF"/>
                <w:sz w:val="17"/>
              </w:rPr>
              <w:t>Indicador</w:t>
            </w:r>
          </w:p>
        </w:tc>
        <w:tc>
          <w:tcPr>
            <w:tcW w:type="dxa" w:w="1814"/>
            <w:shd w:val="clear" w:fill="1F3A5F"/>
          </w:tcPr>
          <w:p>
            <w:pPr>
              <w:spacing w:after="20" w:before="20"/>
            </w:pPr>
            <w:r/>
            <w:r>
              <w:rPr>
                <w:b/>
                <w:color w:val="FFFFFF"/>
                <w:sz w:val="17"/>
              </w:rPr>
              <w:t>Valor agosto 2026</w:t>
            </w:r>
          </w:p>
        </w:tc>
      </w:tr>
      <w:tr>
        <w:tc>
          <w:tcPr>
            <w:tcW w:type="dxa" w:w="397"/>
          </w:tcPr>
          <w:p>
            <w:pPr>
              <w:spacing w:after="20" w:before="20"/>
            </w:pPr>
            <w:r/>
            <w:r>
              <w:rPr>
                <w:sz w:val="17"/>
              </w:rPr>
              <w:t>1</w:t>
            </w:r>
          </w:p>
        </w:tc>
        <w:tc>
          <w:tcPr>
            <w:tcW w:type="dxa" w:w="2381"/>
          </w:tcPr>
          <w:p>
            <w:pPr>
              <w:spacing w:after="20" w:before="20"/>
            </w:pPr>
            <w:r/>
            <w:r>
              <w:rPr>
                <w:sz w:val="17"/>
              </w:rPr>
              <w:t>Venta neta del mes</w:t>
            </w:r>
          </w:p>
        </w:tc>
        <w:tc>
          <w:tcPr>
            <w:tcW w:type="dxa" w:w="1928"/>
          </w:tcPr>
          <w:p>
            <w:pPr>
              <w:spacing w:after="20" w:before="20"/>
            </w:pPr>
            <w:r/>
            <w:r>
              <w:rPr>
                <w:sz w:val="17"/>
              </w:rPr>
              <w:t>S/ 3 855 828,30</w:t>
            </w:r>
          </w:p>
        </w:tc>
        <w:tc>
          <w:tcPr>
            <w:tcW w:type="dxa" w:w="397"/>
          </w:tcPr>
          <w:p>
            <w:pPr>
              <w:spacing w:after="20" w:before="20"/>
            </w:pPr>
            <w:r/>
            <w:r>
              <w:rPr>
                <w:sz w:val="17"/>
              </w:rPr>
              <w:t>5</w:t>
            </w:r>
          </w:p>
        </w:tc>
        <w:tc>
          <w:tcPr>
            <w:tcW w:type="dxa" w:w="2381"/>
          </w:tcPr>
          <w:p>
            <w:pPr>
              <w:spacing w:after="20" w:before="20"/>
            </w:pPr>
            <w:r/>
            <w:r>
              <w:rPr>
                <w:sz w:val="17"/>
              </w:rPr>
              <w:t>Líneas por pedido</w:t>
            </w:r>
          </w:p>
        </w:tc>
        <w:tc>
          <w:tcPr>
            <w:tcW w:type="dxa" w:w="1814"/>
          </w:tcPr>
          <w:p>
            <w:pPr>
              <w:spacing w:after="20" w:before="20"/>
            </w:pPr>
            <w:r/>
            <w:r>
              <w:rPr>
                <w:sz w:val="17"/>
              </w:rPr>
              <w:t>2,69</w:t>
            </w:r>
          </w:p>
        </w:tc>
      </w:tr>
      <w:tr>
        <w:tc>
          <w:tcPr>
            <w:tcW w:type="dxa" w:w="397"/>
            <w:shd w:val="clear" w:fill="EEF2F7"/>
          </w:tcPr>
          <w:p>
            <w:pPr>
              <w:spacing w:after="20" w:before="20"/>
            </w:pPr>
            <w:r/>
            <w:r>
              <w:rPr>
                <w:sz w:val="17"/>
              </w:rPr>
              <w:t>2</w:t>
            </w:r>
          </w:p>
        </w:tc>
        <w:tc>
          <w:tcPr>
            <w:tcW w:type="dxa" w:w="2381"/>
            <w:shd w:val="clear" w:fill="EEF2F7"/>
          </w:tcPr>
          <w:p>
            <w:pPr>
              <w:spacing w:after="20" w:before="20"/>
            </w:pPr>
            <w:r/>
            <w:r>
              <w:rPr>
                <w:sz w:val="17"/>
              </w:rPr>
              <w:t>Número de pedidos</w:t>
            </w:r>
          </w:p>
        </w:tc>
        <w:tc>
          <w:tcPr>
            <w:tcW w:type="dxa" w:w="1928"/>
            <w:shd w:val="clear" w:fill="EEF2F7"/>
          </w:tcPr>
          <w:p>
            <w:pPr>
              <w:spacing w:after="20" w:before="20"/>
            </w:pPr>
            <w:r/>
            <w:r>
              <w:rPr>
                <w:sz w:val="17"/>
              </w:rPr>
              <w:t>12 349</w:t>
            </w:r>
          </w:p>
        </w:tc>
        <w:tc>
          <w:tcPr>
            <w:tcW w:type="dxa" w:w="397"/>
            <w:shd w:val="clear" w:fill="EEF2F7"/>
          </w:tcPr>
          <w:p>
            <w:pPr>
              <w:spacing w:after="20" w:before="20"/>
            </w:pPr>
            <w:r/>
            <w:r>
              <w:rPr>
                <w:sz w:val="17"/>
              </w:rPr>
              <w:t>6</w:t>
            </w:r>
          </w:p>
        </w:tc>
        <w:tc>
          <w:tcPr>
            <w:tcW w:type="dxa" w:w="2381"/>
            <w:shd w:val="clear" w:fill="EEF2F7"/>
          </w:tcPr>
          <w:p>
            <w:pPr>
              <w:spacing w:after="20" w:before="20"/>
            </w:pPr>
            <w:r/>
            <w:r>
              <w:rPr>
                <w:sz w:val="17"/>
              </w:rPr>
              <w:t>Tasa de anulación</w:t>
            </w:r>
          </w:p>
        </w:tc>
        <w:tc>
          <w:tcPr>
            <w:tcW w:type="dxa" w:w="1814"/>
            <w:shd w:val="clear" w:fill="EEF2F7"/>
          </w:tcPr>
          <w:p>
            <w:pPr>
              <w:spacing w:after="20" w:before="20"/>
            </w:pPr>
            <w:r/>
            <w:r>
              <w:rPr>
                <w:sz w:val="17"/>
              </w:rPr>
              <w:t>3,83 %</w:t>
            </w:r>
          </w:p>
        </w:tc>
      </w:tr>
      <w:tr>
        <w:tc>
          <w:tcPr>
            <w:tcW w:type="dxa" w:w="397"/>
          </w:tcPr>
          <w:p>
            <w:pPr>
              <w:spacing w:after="20" w:before="20"/>
            </w:pPr>
            <w:r/>
            <w:r>
              <w:rPr>
                <w:sz w:val="17"/>
              </w:rPr>
              <w:t>3</w:t>
            </w:r>
          </w:p>
        </w:tc>
        <w:tc>
          <w:tcPr>
            <w:tcW w:type="dxa" w:w="2381"/>
          </w:tcPr>
          <w:p>
            <w:pPr>
              <w:spacing w:after="20" w:before="20"/>
            </w:pPr>
            <w:r/>
            <w:r>
              <w:rPr>
                <w:sz w:val="17"/>
              </w:rPr>
              <w:t>Ticket promedio (s/IGV)</w:t>
            </w:r>
          </w:p>
        </w:tc>
        <w:tc>
          <w:tcPr>
            <w:tcW w:type="dxa" w:w="1928"/>
          </w:tcPr>
          <w:p>
            <w:pPr>
              <w:spacing w:after="20" w:before="20"/>
            </w:pPr>
            <w:r/>
            <w:r>
              <w:rPr>
                <w:sz w:val="17"/>
              </w:rPr>
              <w:t>S/ 312,24</w:t>
            </w:r>
          </w:p>
        </w:tc>
        <w:tc>
          <w:tcPr>
            <w:tcW w:type="dxa" w:w="397"/>
          </w:tcPr>
          <w:p>
            <w:pPr>
              <w:spacing w:after="20" w:before="20"/>
            </w:pPr>
            <w:r/>
            <w:r>
              <w:rPr>
                <w:sz w:val="17"/>
              </w:rPr>
              <w:t>7</w:t>
            </w:r>
          </w:p>
        </w:tc>
        <w:tc>
          <w:tcPr>
            <w:tcW w:type="dxa" w:w="2381"/>
          </w:tcPr>
          <w:p>
            <w:pPr>
              <w:spacing w:after="20" w:before="20"/>
            </w:pPr>
            <w:r/>
            <w:r>
              <w:rPr>
                <w:sz w:val="17"/>
              </w:rPr>
              <w:t>Participación digital</w:t>
            </w:r>
          </w:p>
        </w:tc>
        <w:tc>
          <w:tcPr>
            <w:tcW w:type="dxa" w:w="1814"/>
          </w:tcPr>
          <w:p>
            <w:pPr>
              <w:spacing w:after="20" w:before="20"/>
            </w:pPr>
            <w:r/>
            <w:r>
              <w:rPr>
                <w:sz w:val="17"/>
              </w:rPr>
              <w:t>6,58 %</w:t>
            </w:r>
          </w:p>
        </w:tc>
      </w:tr>
      <w:tr>
        <w:tc>
          <w:tcPr>
            <w:tcW w:type="dxa" w:w="397"/>
            <w:shd w:val="clear" w:fill="EEF2F7"/>
          </w:tcPr>
          <w:p>
            <w:pPr>
              <w:spacing w:after="20" w:before="20"/>
            </w:pPr>
            <w:r/>
            <w:r>
              <w:rPr>
                <w:sz w:val="17"/>
              </w:rPr>
              <w:t>4</w:t>
            </w:r>
          </w:p>
        </w:tc>
        <w:tc>
          <w:tcPr>
            <w:tcW w:type="dxa" w:w="2381"/>
            <w:shd w:val="clear" w:fill="EEF2F7"/>
          </w:tcPr>
          <w:p>
            <w:pPr>
              <w:spacing w:after="20" w:before="20"/>
            </w:pPr>
            <w:r/>
            <w:r>
              <w:rPr>
                <w:sz w:val="17"/>
              </w:rPr>
              <w:t>Unidades vendidas</w:t>
            </w:r>
          </w:p>
        </w:tc>
        <w:tc>
          <w:tcPr>
            <w:tcW w:type="dxa" w:w="1928"/>
            <w:shd w:val="clear" w:fill="EEF2F7"/>
          </w:tcPr>
          <w:p>
            <w:pPr>
              <w:spacing w:after="20" w:before="20"/>
            </w:pPr>
            <w:r/>
            <w:r>
              <w:rPr>
                <w:sz w:val="17"/>
              </w:rPr>
              <w:t>88 238</w:t>
            </w:r>
          </w:p>
        </w:tc>
        <w:tc>
          <w:tcPr>
            <w:tcW w:type="dxa" w:w="397"/>
            <w:shd w:val="clear" w:fill="EEF2F7"/>
          </w:tcPr>
          <w:p>
            <w:pPr>
              <w:spacing w:after="20" w:before="20"/>
            </w:pPr>
            <w:r/>
            <w:r>
              <w:rPr>
                <w:sz w:val="17"/>
              </w:rPr>
            </w:r>
          </w:p>
        </w:tc>
        <w:tc>
          <w:tcPr>
            <w:tcW w:type="dxa" w:w="2381"/>
            <w:shd w:val="clear" w:fill="EEF2F7"/>
          </w:tcPr>
          <w:p>
            <w:pPr>
              <w:spacing w:after="20" w:before="20"/>
            </w:pPr>
            <w:r/>
            <w:r>
              <w:rPr>
                <w:sz w:val="17"/>
              </w:rPr>
            </w:r>
          </w:p>
        </w:tc>
        <w:tc>
          <w:tcPr>
            <w:tcW w:type="dxa" w:w="1814"/>
            <w:shd w:val="clear" w:fill="EEF2F7"/>
          </w:tcPr>
          <w:p>
            <w:pPr>
              <w:spacing w:after="20" w:before="20"/>
            </w:pPr>
            <w:r/>
            <w:r>
              <w:rPr>
                <w:sz w:val="17"/>
              </w:rPr>
            </w:r>
          </w:p>
        </w:tc>
      </w:tr>
    </w:tbl>
    <w:p>
      <w:pPr>
        <w:spacing w:before="40" w:after="160"/>
      </w:pPr>
      <w:r>
        <w:rPr>
          <w:i/>
          <w:color w:val="555555"/>
          <w:sz w:val="16"/>
        </w:rPr>
        <w:t>Tabla C. Panel mínimo de indicadores calculado sobre la definición corporativa.</w:t>
      </w:r>
    </w:p>
    <w:p>
      <w:pPr>
        <w:spacing w:after="80"/>
        <w:jc w:val="both"/>
      </w:pPr>
      <w:r>
        <w:rPr>
          <w:sz w:val="19"/>
        </w:rPr>
        <w:t>Desagregación. Los cinco locales de mayor venta neta son T03 Los Olivos (S/ 432 784,58), T04 Ate (S/ 426 492,22), T07 Villa El Salvador (S/ 368 528,27), T02 San Miguel (S/ 358 754,72) y T06 Comas (S/ 338 050,56), todos en Lima. Por categoría lidera PISOS Y ACABADOS con S/ 1 203 235,20 (31,2 % del total), seguida de PINTURAS con S/ 958 549,47. Se reporta de forma explícita un grupo sin categoría por S/ 5 302,92 (0,14 %), correspondiente a las 46 líneas cuyo SKU no existe en el catálogo maestro: es venta real que la empresa no puede atribuir a ninguna línea de negocio.</w:t>
      </w:r>
    </w:p>
    <w:p>
      <w:pPr>
        <w:spacing w:before="160" w:after="60"/>
      </w:pPr>
      <w:r>
        <w:rPr>
          <w:b/>
          <w:color w:val="1F3A5F"/>
          <w:sz w:val="22"/>
        </w:rPr>
        <w:t>6. Clasificación de los indicadores (Tabla 5)</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57"/>
            <w:shd w:val="clear" w:fill="1F3A5F"/>
          </w:tcPr>
          <w:p>
            <w:pPr>
              <w:spacing w:after="20" w:before="20"/>
            </w:pPr>
            <w:r/>
            <w:r>
              <w:rPr>
                <w:b/>
                <w:color w:val="FFFFFF"/>
                <w:sz w:val="16"/>
              </w:rPr>
              <w:t>Indicador</w:t>
            </w:r>
          </w:p>
        </w:tc>
        <w:tc>
          <w:tcPr>
            <w:tcW w:type="dxa" w:w="1531"/>
            <w:shd w:val="clear" w:fill="1F3A5F"/>
          </w:tcPr>
          <w:p>
            <w:pPr>
              <w:spacing w:after="20" w:before="20"/>
            </w:pPr>
            <w:r/>
            <w:r>
              <w:rPr>
                <w:b/>
                <w:color w:val="FFFFFF"/>
                <w:sz w:val="16"/>
              </w:rPr>
              <w:t>Valor obtenido</w:t>
            </w:r>
          </w:p>
        </w:tc>
        <w:tc>
          <w:tcPr>
            <w:tcW w:type="dxa" w:w="1134"/>
            <w:shd w:val="clear" w:fill="1F3A5F"/>
          </w:tcPr>
          <w:p>
            <w:pPr>
              <w:spacing w:after="20" w:before="20"/>
            </w:pPr>
            <w:r/>
            <w:r>
              <w:rPr>
                <w:b/>
                <w:color w:val="FFFFFF"/>
                <w:sz w:val="16"/>
              </w:rPr>
              <w:t>Nivel de decisión</w:t>
            </w:r>
          </w:p>
        </w:tc>
        <w:tc>
          <w:tcPr>
            <w:tcW w:type="dxa" w:w="3061"/>
            <w:shd w:val="clear" w:fill="1F3A5F"/>
          </w:tcPr>
          <w:p>
            <w:pPr>
              <w:spacing w:after="20" w:before="20"/>
            </w:pPr>
            <w:r/>
            <w:r>
              <w:rPr>
                <w:b/>
                <w:color w:val="FFFFFF"/>
                <w:sz w:val="16"/>
              </w:rPr>
              <w:t>¿Es un KPI? Justifique</w:t>
            </w:r>
          </w:p>
        </w:tc>
        <w:tc>
          <w:tcPr>
            <w:tcW w:type="dxa" w:w="1814"/>
            <w:shd w:val="clear" w:fill="1F3A5F"/>
          </w:tcPr>
          <w:p>
            <w:pPr>
              <w:spacing w:after="20" w:before="20"/>
            </w:pPr>
            <w:r/>
            <w:r>
              <w:rPr>
                <w:b/>
                <w:color w:val="FFFFFF"/>
                <w:sz w:val="16"/>
              </w:rPr>
              <w:t>Acción si se desvía</w:t>
            </w:r>
          </w:p>
        </w:tc>
      </w:tr>
      <w:tr>
        <w:tc>
          <w:tcPr>
            <w:tcW w:type="dxa" w:w="1757"/>
          </w:tcPr>
          <w:p>
            <w:pPr>
              <w:spacing w:after="20" w:before="20"/>
            </w:pPr>
            <w:r/>
            <w:r>
              <w:rPr>
                <w:sz w:val="16"/>
              </w:rPr>
              <w:t>Venta neta del mes</w:t>
            </w:r>
          </w:p>
        </w:tc>
        <w:tc>
          <w:tcPr>
            <w:tcW w:type="dxa" w:w="1531"/>
          </w:tcPr>
          <w:p>
            <w:pPr>
              <w:spacing w:after="20" w:before="20"/>
            </w:pPr>
            <w:r/>
            <w:r>
              <w:rPr>
                <w:sz w:val="16"/>
              </w:rPr>
              <w:t>S/ 3 855 828,30</w:t>
            </w:r>
          </w:p>
        </w:tc>
        <w:tc>
          <w:tcPr>
            <w:tcW w:type="dxa" w:w="1134"/>
          </w:tcPr>
          <w:p>
            <w:pPr>
              <w:spacing w:after="20" w:before="20"/>
            </w:pPr>
            <w:r/>
            <w:r>
              <w:rPr>
                <w:sz w:val="16"/>
              </w:rPr>
              <w:t>Estratégico</w:t>
            </w:r>
          </w:p>
        </w:tc>
        <w:tc>
          <w:tcPr>
            <w:tcW w:type="dxa" w:w="3061"/>
          </w:tcPr>
          <w:p>
            <w:pPr>
              <w:spacing w:after="20" w:before="20"/>
            </w:pPr>
            <w:r/>
            <w:r>
              <w:rPr>
                <w:sz w:val="16"/>
              </w:rPr>
              <w:t>Sí. Tiene meta anual y dueño formal (Gcia. Adm. y Finanzas).</w:t>
            </w:r>
          </w:p>
        </w:tc>
        <w:tc>
          <w:tcPr>
            <w:tcW w:type="dxa" w:w="1814"/>
          </w:tcPr>
          <w:p>
            <w:pPr>
              <w:spacing w:after="20" w:before="20"/>
            </w:pPr>
            <w:r/>
            <w:r>
              <w:rPr>
                <w:sz w:val="16"/>
              </w:rPr>
              <w:t>Revisión del plan comercial</w:t>
            </w:r>
          </w:p>
        </w:tc>
      </w:tr>
      <w:tr>
        <w:tc>
          <w:tcPr>
            <w:tcW w:type="dxa" w:w="1757"/>
            <w:shd w:val="clear" w:fill="EEF2F7"/>
          </w:tcPr>
          <w:p>
            <w:pPr>
              <w:spacing w:after="20" w:before="20"/>
            </w:pPr>
            <w:r/>
            <w:r>
              <w:rPr>
                <w:sz w:val="16"/>
              </w:rPr>
              <w:t>Ticket promedio</w:t>
            </w:r>
          </w:p>
        </w:tc>
        <w:tc>
          <w:tcPr>
            <w:tcW w:type="dxa" w:w="1531"/>
            <w:shd w:val="clear" w:fill="EEF2F7"/>
          </w:tcPr>
          <w:p>
            <w:pPr>
              <w:spacing w:after="20" w:before="20"/>
            </w:pPr>
            <w:r/>
            <w:r>
              <w:rPr>
                <w:sz w:val="16"/>
              </w:rPr>
              <w:t>S/ 312,24</w:t>
            </w:r>
          </w:p>
        </w:tc>
        <w:tc>
          <w:tcPr>
            <w:tcW w:type="dxa" w:w="1134"/>
            <w:shd w:val="clear" w:fill="EEF2F7"/>
          </w:tcPr>
          <w:p>
            <w:pPr>
              <w:spacing w:after="20" w:before="20"/>
            </w:pPr>
            <w:r/>
            <w:r>
              <w:rPr>
                <w:sz w:val="16"/>
              </w:rPr>
              <w:t>Táctico</w:t>
            </w:r>
          </w:p>
        </w:tc>
        <w:tc>
          <w:tcPr>
            <w:tcW w:type="dxa" w:w="3061"/>
            <w:shd w:val="clear" w:fill="EEF2F7"/>
          </w:tcPr>
          <w:p>
            <w:pPr>
              <w:spacing w:after="20" w:before="20"/>
            </w:pPr>
            <w:r/>
            <w:r>
              <w:rPr>
                <w:sz w:val="16"/>
              </w:rPr>
              <w:t>Sí. Accionable vía pricing, cross-selling y mezcla de surtido.</w:t>
            </w:r>
          </w:p>
        </w:tc>
        <w:tc>
          <w:tcPr>
            <w:tcW w:type="dxa" w:w="1814"/>
            <w:shd w:val="clear" w:fill="EEF2F7"/>
          </w:tcPr>
          <w:p>
            <w:pPr>
              <w:spacing w:after="20" w:before="20"/>
            </w:pPr>
            <w:r/>
            <w:r>
              <w:rPr>
                <w:sz w:val="16"/>
              </w:rPr>
              <w:t>Rediseño de promociones y bundles</w:t>
            </w:r>
          </w:p>
        </w:tc>
      </w:tr>
      <w:tr>
        <w:tc>
          <w:tcPr>
            <w:tcW w:type="dxa" w:w="1757"/>
          </w:tcPr>
          <w:p>
            <w:pPr>
              <w:spacing w:after="20" w:before="20"/>
            </w:pPr>
            <w:r/>
            <w:r>
              <w:rPr>
                <w:sz w:val="16"/>
              </w:rPr>
              <w:t>Tasa de anulación</w:t>
            </w:r>
          </w:p>
        </w:tc>
        <w:tc>
          <w:tcPr>
            <w:tcW w:type="dxa" w:w="1531"/>
          </w:tcPr>
          <w:p>
            <w:pPr>
              <w:spacing w:after="20" w:before="20"/>
            </w:pPr>
            <w:r/>
            <w:r>
              <w:rPr>
                <w:sz w:val="16"/>
              </w:rPr>
              <w:t>3,83 %</w:t>
            </w:r>
          </w:p>
        </w:tc>
        <w:tc>
          <w:tcPr>
            <w:tcW w:type="dxa" w:w="1134"/>
          </w:tcPr>
          <w:p>
            <w:pPr>
              <w:spacing w:after="20" w:before="20"/>
            </w:pPr>
            <w:r/>
            <w:r>
              <w:rPr>
                <w:sz w:val="16"/>
              </w:rPr>
              <w:t>Operativo</w:t>
            </w:r>
          </w:p>
        </w:tc>
        <w:tc>
          <w:tcPr>
            <w:tcW w:type="dxa" w:w="3061"/>
          </w:tcPr>
          <w:p>
            <w:pPr>
              <w:spacing w:after="20" w:before="20"/>
            </w:pPr>
            <w:r/>
            <w:r>
              <w:rPr>
                <w:sz w:val="16"/>
              </w:rPr>
              <w:t>Sí. Umbral definido; dispara análisis de causa raíz por local.</w:t>
            </w:r>
          </w:p>
        </w:tc>
        <w:tc>
          <w:tcPr>
            <w:tcW w:type="dxa" w:w="1814"/>
          </w:tcPr>
          <w:p>
            <w:pPr>
              <w:spacing w:after="20" w:before="20"/>
            </w:pPr>
            <w:r/>
            <w:r>
              <w:rPr>
                <w:sz w:val="16"/>
              </w:rPr>
              <w:t>Auditoría del proceso de captura de pedidos</w:t>
            </w:r>
          </w:p>
        </w:tc>
      </w:tr>
      <w:tr>
        <w:tc>
          <w:tcPr>
            <w:tcW w:type="dxa" w:w="1757"/>
            <w:shd w:val="clear" w:fill="EEF2F7"/>
          </w:tcPr>
          <w:p>
            <w:pPr>
              <w:spacing w:after="20" w:before="20"/>
            </w:pPr>
            <w:r/>
            <w:r>
              <w:rPr>
                <w:sz w:val="16"/>
              </w:rPr>
              <w:t>Participación del canal digital</w:t>
            </w:r>
          </w:p>
        </w:tc>
        <w:tc>
          <w:tcPr>
            <w:tcW w:type="dxa" w:w="1531"/>
            <w:shd w:val="clear" w:fill="EEF2F7"/>
          </w:tcPr>
          <w:p>
            <w:pPr>
              <w:spacing w:after="20" w:before="20"/>
            </w:pPr>
            <w:r/>
            <w:r>
              <w:rPr>
                <w:sz w:val="16"/>
              </w:rPr>
              <w:t>6,58 %</w:t>
            </w:r>
          </w:p>
        </w:tc>
        <w:tc>
          <w:tcPr>
            <w:tcW w:type="dxa" w:w="1134"/>
            <w:shd w:val="clear" w:fill="EEF2F7"/>
          </w:tcPr>
          <w:p>
            <w:pPr>
              <w:spacing w:after="20" w:before="20"/>
            </w:pPr>
            <w:r/>
            <w:r>
              <w:rPr>
                <w:sz w:val="16"/>
              </w:rPr>
              <w:t>Estratégico</w:t>
            </w:r>
          </w:p>
        </w:tc>
        <w:tc>
          <w:tcPr>
            <w:tcW w:type="dxa" w:w="3061"/>
            <w:shd w:val="clear" w:fill="EEF2F7"/>
          </w:tcPr>
          <w:p>
            <w:pPr>
              <w:spacing w:after="20" w:before="20"/>
            </w:pPr>
            <w:r/>
            <w:r>
              <w:rPr>
                <w:sz w:val="16"/>
              </w:rPr>
              <w:t>Sí. Mide el avance de la estrategia de omnicanalidad.</w:t>
            </w:r>
          </w:p>
        </w:tc>
        <w:tc>
          <w:tcPr>
            <w:tcW w:type="dxa" w:w="1814"/>
            <w:shd w:val="clear" w:fill="EEF2F7"/>
          </w:tcPr>
          <w:p>
            <w:pPr>
              <w:spacing w:after="20" w:before="20"/>
            </w:pPr>
            <w:r/>
            <w:r>
              <w:rPr>
                <w:sz w:val="16"/>
              </w:rPr>
              <w:t>Reasignación del presupuesto de marketing digital</w:t>
            </w:r>
          </w:p>
        </w:tc>
      </w:tr>
      <w:tr>
        <w:tc>
          <w:tcPr>
            <w:tcW w:type="dxa" w:w="1757"/>
          </w:tcPr>
          <w:p>
            <w:pPr>
              <w:spacing w:after="20" w:before="20"/>
            </w:pPr>
            <w:r/>
            <w:r>
              <w:rPr>
                <w:sz w:val="16"/>
              </w:rPr>
              <w:t>Líneas por pedido</w:t>
            </w:r>
          </w:p>
        </w:tc>
        <w:tc>
          <w:tcPr>
            <w:tcW w:type="dxa" w:w="1531"/>
          </w:tcPr>
          <w:p>
            <w:pPr>
              <w:spacing w:after="20" w:before="20"/>
            </w:pPr>
            <w:r/>
            <w:r>
              <w:rPr>
                <w:sz w:val="16"/>
              </w:rPr>
              <w:t>2,69</w:t>
            </w:r>
          </w:p>
        </w:tc>
        <w:tc>
          <w:tcPr>
            <w:tcW w:type="dxa" w:w="1134"/>
          </w:tcPr>
          <w:p>
            <w:pPr>
              <w:spacing w:after="20" w:before="20"/>
            </w:pPr>
            <w:r/>
            <w:r>
              <w:rPr>
                <w:sz w:val="16"/>
              </w:rPr>
              <w:t>Táctico</w:t>
            </w:r>
          </w:p>
        </w:tc>
        <w:tc>
          <w:tcPr>
            <w:tcW w:type="dxa" w:w="3061"/>
          </w:tcPr>
          <w:p>
            <w:pPr>
              <w:spacing w:after="20" w:before="20"/>
            </w:pPr>
            <w:r/>
            <w:r>
              <w:rPr>
                <w:sz w:val="16"/>
              </w:rPr>
              <w:t>NO. Descriptivo: sin meta, sin dueño y sin acción definida ante desvío.</w:t>
            </w:r>
          </w:p>
        </w:tc>
        <w:tc>
          <w:tcPr>
            <w:tcW w:type="dxa" w:w="1814"/>
          </w:tcPr>
          <w:p>
            <w:pPr>
              <w:spacing w:after="20" w:before="20"/>
            </w:pPr>
            <w:r/>
            <w:r>
              <w:rPr>
                <w:sz w:val="16"/>
              </w:rPr>
              <w:t>Ninguna acción definida</w:t>
            </w:r>
          </w:p>
        </w:tc>
      </w:tr>
      <w:tr>
        <w:tc>
          <w:tcPr>
            <w:tcW w:type="dxa" w:w="1757"/>
            <w:shd w:val="clear" w:fill="EEF2F7"/>
          </w:tcPr>
          <w:p>
            <w:pPr>
              <w:spacing w:after="20" w:before="20"/>
            </w:pPr>
            <w:r/>
            <w:r>
              <w:rPr>
                <w:sz w:val="16"/>
              </w:rPr>
              <w:t>Venta por local</w:t>
            </w:r>
          </w:p>
        </w:tc>
        <w:tc>
          <w:tcPr>
            <w:tcW w:type="dxa" w:w="1531"/>
            <w:shd w:val="clear" w:fill="EEF2F7"/>
          </w:tcPr>
          <w:p>
            <w:pPr>
              <w:spacing w:after="20" w:before="20"/>
            </w:pPr>
            <w:r/>
            <w:r>
              <w:rPr>
                <w:sz w:val="16"/>
              </w:rPr>
              <w:t>S/ 432 784,58 (T03)</w:t>
            </w:r>
          </w:p>
        </w:tc>
        <w:tc>
          <w:tcPr>
            <w:tcW w:type="dxa" w:w="1134"/>
            <w:shd w:val="clear" w:fill="EEF2F7"/>
          </w:tcPr>
          <w:p>
            <w:pPr>
              <w:spacing w:after="20" w:before="20"/>
            </w:pPr>
            <w:r/>
            <w:r>
              <w:rPr>
                <w:sz w:val="16"/>
              </w:rPr>
              <w:t>Táctico</w:t>
            </w:r>
          </w:p>
        </w:tc>
        <w:tc>
          <w:tcPr>
            <w:tcW w:type="dxa" w:w="3061"/>
            <w:shd w:val="clear" w:fill="EEF2F7"/>
          </w:tcPr>
          <w:p>
            <w:pPr>
              <w:spacing w:after="20" w:before="20"/>
            </w:pPr>
            <w:r/>
            <w:r>
              <w:rPr>
                <w:sz w:val="16"/>
              </w:rPr>
              <w:t>Sí. Base de las metas por local y de la evaluación del jefe de tienda.</w:t>
            </w:r>
          </w:p>
        </w:tc>
        <w:tc>
          <w:tcPr>
            <w:tcW w:type="dxa" w:w="1814"/>
            <w:shd w:val="clear" w:fill="EEF2F7"/>
          </w:tcPr>
          <w:p>
            <w:pPr>
              <w:spacing w:after="20" w:before="20"/>
            </w:pPr>
            <w:r/>
            <w:r>
              <w:rPr>
                <w:sz w:val="16"/>
              </w:rPr>
              <w:t>Plan de recuperación del local bajo meta</w:t>
            </w:r>
          </w:p>
        </w:tc>
      </w:tr>
    </w:tbl>
    <w:p>
      <w:pPr>
        <w:spacing w:before="40" w:after="160"/>
      </w:pPr>
      <w:r>
        <w:rPr>
          <w:i/>
          <w:color w:val="555555"/>
          <w:sz w:val="16"/>
        </w:rPr>
        <w:t>Tabla 5. Clasificación de indicadores según los niveles de decisión de Anthony.</w:t>
      </w:r>
    </w:p>
    <w:p>
      <w:pPr>
        <w:spacing w:after="80"/>
        <w:jc w:val="both"/>
      </w:pPr>
      <w:r>
        <w:rPr>
          <w:sz w:val="19"/>
        </w:rPr>
        <w:t>Indicador que no supera la prueba del KPI: líneas por pedido. La evidencia es su dispersión entre locales, que va de 2,61 (T12) a 2,77 (T03) —un rango de apenas 6 %—, lo que revela una constante estructural del negocio de mejoramiento del hogar y no una palanca de gestión. Sometido a la prueba práctica: si el próximo mes cayera a 2,55, ninguna área tendría una acción definida ni un responsable que rinda cuentas. Es una métrica descriptiva útil para caracterizar el comportamiento de compra, pero no un KPI. Para convertirlo en indicador accionable debería redefinirse como «porcentaje de pedidos con tres o más líneas», con meta explícita y dueño en la Gerencia Comercial, midiendo así el éxito real del cross-selling.</w:t>
      </w:r>
    </w:p>
    <w:p>
      <w:pPr>
        <w:spacing w:before="160" w:after="60"/>
      </w:pPr>
      <w:r>
        <w:rPr>
          <w:b/>
          <w:color w:val="1F3A5F"/>
          <w:sz w:val="22"/>
        </w:rPr>
        <w:t>7. Conclusión</w:t>
      </w:r>
    </w:p>
    <w:p>
      <w:pPr>
        <w:spacing w:after="80"/>
        <w:jc w:val="both"/>
      </w:pPr>
      <w:r>
        <w:rPr>
          <w:sz w:val="19"/>
        </w:rPr>
        <w:t>El laboratorio demuestra que la discrepancia de S/ 896 138,91 entre las tres áreas no tiene origen técnico sino de gobierno del dato. Ninguna área calcula mal: cada una aplica correctamente una definición distinta y legítima desde su función. El 78,4 % de la brecha se explica por el tratamiento del IGV, el 19,5 % por los pedidos anulados y el 5,3 % por las notas de crédito. Establecer una definición corporativa con dueño formal —y no depurar más los sistemas— es la intervención que resuelve el problema de fondo.</w:t>
      </w:r>
    </w:p>
    <w:p>
      <w:pPr>
        <w:spacing w:after="80"/>
        <w:jc w:val="both"/>
      </w:pPr>
      <w:r>
        <w:rPr>
          <w:sz w:val="19"/>
        </w:rPr>
        <w:t>El diagnóstico de calidad reveló diez problemas de tipos distintos sobre 34 912 registros, de los cuales solo el 1,4 % resultó inutilizable. La cifra es baja, pero su impacto no es proporcional a su volumen: 155 filas duplicadas y 9 precios mal digitados bastan para distorsionar una cifra de casi cinco millones de soles. Más relevante aún, dos problemas no habrían provocado ningún error visible: los dos formatos de fecha habrían generado 2 689 valores nulos en silencio, y las 21 variantes de categoría habrían fragmentado el reporte estratégico sin que ningún programa fallara. Esa es la clase de error más peligrosa en Inteligencia de Negocios, porque no se manifiesta como una excepción sino como una decisión equivocada tomada con confianza.</w:t>
      </w:r>
    </w:p>
    <w:p>
      <w:pPr>
        <w:spacing w:after="80"/>
        <w:jc w:val="both"/>
      </w:pPr>
      <w:r>
        <w:rPr>
          <w:sz w:val="19"/>
        </w:rPr>
        <w:t>Finalmente, el ejercicio de clasificación confirma que un indicador no vale por su cálculo sino por la decisión que habilita. De los seis indicadores construidos, cinco tienen dueño, meta y acción asociada; uno solo describe. Un panel con 17 % de contenido no accionable ya es un panel con ruido, y ese ruido crece de forma no lineal en tableros con decenas de métricas. La recomendación operativa para la gerencia es adoptar la definición corporativa de venta neta, publicar el panel de cinco KPI con sus umbrales y responsables, y abrir dos frentes de remediación: el alta de los 42 SKU no catalogados en el maestro de productos y la conciliación de los S/ 28 823,96 de diferencia entre comprobantes y detalle POS.</w:t>
      </w:r>
    </w:p>
    <w:p>
      <w:pPr>
        <w:spacing w:before="200"/>
      </w:pPr>
      <w:r>
        <w:rPr>
          <w:i/>
          <w:color w:val="555555"/>
          <w:sz w:val="16"/>
        </w:rPr>
        <w:t>Declaración de uso de asistentes de IA: se empleó un asistente de inteligencia artificial (Claude) como apoyo en la redacción del código de la Parte 2 a la Parte 5, en la verificación de los puntos de control y en la edición del presente informe. Todas las decisiones de limpieza, la descomposición de la brecha, la clasificación de indicadores y las conclusiones fueron revisadas y son sustentadas por el autor.</w:t>
      </w:r>
    </w:p>
    <w:p>
      <w:r>
        <w:br w:type="page"/>
      </w:r>
    </w:p>
    <w:p>
      <w:pPr>
        <w:spacing w:before="0" w:after="60"/>
      </w:pPr>
      <w:r>
        <w:rPr>
          <w:b/>
          <w:color w:val="1F3A5F"/>
          <w:sz w:val="22"/>
        </w:rPr>
        <w:t>8. Actividad propuesta: la decisión de expansión</w:t>
      </w:r>
    </w:p>
    <w:p>
      <w:pPr>
        <w:spacing w:after="80"/>
        <w:jc w:val="both"/>
      </w:pPr>
      <w:r>
        <w:rPr>
          <w:sz w:val="19"/>
        </w:rPr>
        <w:t>Fuente: ventas_mensual_2025_2026.csv (1 482 filas, ene-2025 a ago-2026) cruzado con el maestro de tiendas. El canal en línea se excluye de la comparación entre ciudades: figura con ciudad Lima y cero metros cuadrados de sala, de modo que incluirlo atribuiría a Lima toda la venta digital nacional (S/ 1 722 866,19) y volvería indefinido el indicador de productividad por metro cuadrado. Código en actividad01.py.</w:t>
      </w:r>
    </w:p>
    <w:p>
      <w:pPr>
        <w:spacing w:before="160" w:after="60"/>
      </w:pPr>
      <w:r>
        <w:rPr>
          <w:b/>
          <w:color w:val="1F3A5F"/>
          <w:sz w:val="20"/>
        </w:rPr>
        <w:t>8.1. Tarea 1 — Indicadores comparables entre ciudades</w:t>
      </w:r>
    </w:p>
    <w:tbl>
      <w:tblPr>
        <w:tblStyle w:val="TableGrid"/>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1474"/>
            <w:shd w:val="clear" w:fill="1F3A5F"/>
          </w:tcPr>
          <w:p>
            <w:pPr>
              <w:spacing w:after="20" w:before="20"/>
            </w:pPr>
            <w:r/>
            <w:r>
              <w:rPr>
                <w:b/>
                <w:color w:val="FFFFFF"/>
                <w:sz w:val="17"/>
              </w:rPr>
              <w:t>Ciudad</w:t>
            </w:r>
          </w:p>
        </w:tc>
        <w:tc>
          <w:tcPr>
            <w:tcW w:type="dxa" w:w="907"/>
            <w:shd w:val="clear" w:fill="1F3A5F"/>
          </w:tcPr>
          <w:p>
            <w:pPr>
              <w:spacing w:after="20" w:before="20"/>
            </w:pPr>
            <w:r/>
            <w:r>
              <w:rPr>
                <w:b/>
                <w:color w:val="FFFFFF"/>
                <w:sz w:val="17"/>
              </w:rPr>
              <w:t>Locales</w:t>
            </w:r>
          </w:p>
        </w:tc>
        <w:tc>
          <w:tcPr>
            <w:tcW w:type="dxa" w:w="1247"/>
            <w:shd w:val="clear" w:fill="1F3A5F"/>
          </w:tcPr>
          <w:p>
            <w:pPr>
              <w:spacing w:after="20" w:before="20"/>
            </w:pPr>
            <w:r/>
            <w:r>
              <w:rPr>
                <w:b/>
                <w:color w:val="FFFFFF"/>
                <w:sz w:val="17"/>
              </w:rPr>
              <w:t>m² de sala</w:t>
            </w:r>
          </w:p>
        </w:tc>
        <w:tc>
          <w:tcPr>
            <w:tcW w:type="dxa" w:w="1701"/>
            <w:shd w:val="clear" w:fill="1F3A5F"/>
          </w:tcPr>
          <w:p>
            <w:pPr>
              <w:spacing w:after="20" w:before="20"/>
            </w:pPr>
            <w:r/>
            <w:r>
              <w:rPr>
                <w:b/>
                <w:color w:val="FFFFFF"/>
                <w:sz w:val="17"/>
              </w:rPr>
              <w:t>Margen bruto %</w:t>
            </w:r>
          </w:p>
        </w:tc>
        <w:tc>
          <w:tcPr>
            <w:tcW w:type="dxa" w:w="2268"/>
            <w:shd w:val="clear" w:fill="1F3A5F"/>
          </w:tcPr>
          <w:p>
            <w:pPr>
              <w:spacing w:after="20" w:before="20"/>
            </w:pPr>
            <w:r/>
            <w:r>
              <w:rPr>
                <w:b/>
                <w:color w:val="FFFFFF"/>
                <w:sz w:val="17"/>
              </w:rPr>
              <w:t>Venta neta / m² (12m)</w:t>
            </w:r>
          </w:p>
        </w:tc>
        <w:tc>
          <w:tcPr>
            <w:tcW w:type="dxa" w:w="1701"/>
            <w:shd w:val="clear" w:fill="1F3A5F"/>
          </w:tcPr>
          <w:p>
            <w:pPr>
              <w:spacing w:after="20" w:before="20"/>
            </w:pPr>
            <w:r/>
            <w:r>
              <w:rPr>
                <w:b/>
                <w:color w:val="FFFFFF"/>
                <w:sz w:val="17"/>
              </w:rPr>
              <w:t>Crecim. interanual</w:t>
            </w:r>
          </w:p>
        </w:tc>
      </w:tr>
      <w:tr>
        <w:tc>
          <w:tcPr>
            <w:tcW w:type="dxa" w:w="1474"/>
          </w:tcPr>
          <w:p>
            <w:pPr>
              <w:spacing w:after="20" w:before="20"/>
            </w:pPr>
            <w:r/>
            <w:r>
              <w:rPr>
                <w:sz w:val="17"/>
              </w:rPr>
              <w:t>Arequipa</w:t>
            </w:r>
          </w:p>
        </w:tc>
        <w:tc>
          <w:tcPr>
            <w:tcW w:type="dxa" w:w="907"/>
          </w:tcPr>
          <w:p>
            <w:pPr>
              <w:spacing w:after="20" w:before="20"/>
            </w:pPr>
            <w:r/>
            <w:r>
              <w:rPr>
                <w:sz w:val="17"/>
              </w:rPr>
              <w:t>3</w:t>
            </w:r>
          </w:p>
        </w:tc>
        <w:tc>
          <w:tcPr>
            <w:tcW w:type="dxa" w:w="1247"/>
          </w:tcPr>
          <w:p>
            <w:pPr>
              <w:spacing w:after="20" w:before="20"/>
            </w:pPr>
            <w:r/>
            <w:r>
              <w:rPr>
                <w:sz w:val="17"/>
              </w:rPr>
              <w:t>4 150</w:t>
            </w:r>
          </w:p>
        </w:tc>
        <w:tc>
          <w:tcPr>
            <w:tcW w:type="dxa" w:w="1701"/>
          </w:tcPr>
          <w:p>
            <w:pPr>
              <w:spacing w:after="20" w:before="20"/>
            </w:pPr>
            <w:r/>
            <w:r>
              <w:rPr>
                <w:sz w:val="17"/>
              </w:rPr>
              <w:t>33,29 %</w:t>
            </w:r>
          </w:p>
        </w:tc>
        <w:tc>
          <w:tcPr>
            <w:tcW w:type="dxa" w:w="2268"/>
          </w:tcPr>
          <w:p>
            <w:pPr>
              <w:spacing w:after="20" w:before="20"/>
            </w:pPr>
            <w:r/>
            <w:r>
              <w:rPr>
                <w:sz w:val="17"/>
              </w:rPr>
              <w:t>S/ 2 078,00</w:t>
            </w:r>
          </w:p>
        </w:tc>
        <w:tc>
          <w:tcPr>
            <w:tcW w:type="dxa" w:w="1701"/>
          </w:tcPr>
          <w:p>
            <w:pPr>
              <w:spacing w:after="20" w:before="20"/>
            </w:pPr>
            <w:r/>
            <w:r>
              <w:rPr>
                <w:sz w:val="17"/>
              </w:rPr>
              <w:t>16,50 %</w:t>
            </w:r>
          </w:p>
        </w:tc>
      </w:tr>
      <w:tr>
        <w:tc>
          <w:tcPr>
            <w:tcW w:type="dxa" w:w="1474"/>
            <w:shd w:val="clear" w:fill="EEF2F7"/>
          </w:tcPr>
          <w:p>
            <w:pPr>
              <w:spacing w:after="20" w:before="20"/>
            </w:pPr>
            <w:r/>
            <w:r>
              <w:rPr>
                <w:sz w:val="17"/>
              </w:rPr>
              <w:t>Lima</w:t>
            </w:r>
          </w:p>
        </w:tc>
        <w:tc>
          <w:tcPr>
            <w:tcW w:type="dxa" w:w="907"/>
            <w:shd w:val="clear" w:fill="EEF2F7"/>
          </w:tcPr>
          <w:p>
            <w:pPr>
              <w:spacing w:after="20" w:before="20"/>
            </w:pPr>
            <w:r/>
            <w:r>
              <w:rPr>
                <w:sz w:val="17"/>
              </w:rPr>
              <w:t>7</w:t>
            </w:r>
          </w:p>
        </w:tc>
        <w:tc>
          <w:tcPr>
            <w:tcW w:type="dxa" w:w="1247"/>
            <w:shd w:val="clear" w:fill="EEF2F7"/>
          </w:tcPr>
          <w:p>
            <w:pPr>
              <w:spacing w:after="20" w:before="20"/>
            </w:pPr>
            <w:r/>
            <w:r>
              <w:rPr>
                <w:sz w:val="17"/>
              </w:rPr>
              <w:t>11 780</w:t>
            </w:r>
          </w:p>
        </w:tc>
        <w:tc>
          <w:tcPr>
            <w:tcW w:type="dxa" w:w="1701"/>
            <w:shd w:val="clear" w:fill="EEF2F7"/>
          </w:tcPr>
          <w:p>
            <w:pPr>
              <w:spacing w:after="20" w:before="20"/>
            </w:pPr>
            <w:r/>
            <w:r>
              <w:rPr>
                <w:sz w:val="17"/>
              </w:rPr>
              <w:t>27,61 %</w:t>
            </w:r>
          </w:p>
        </w:tc>
        <w:tc>
          <w:tcPr>
            <w:tcW w:type="dxa" w:w="2268"/>
            <w:shd w:val="clear" w:fill="EEF2F7"/>
          </w:tcPr>
          <w:p>
            <w:pPr>
              <w:spacing w:after="20" w:before="20"/>
            </w:pPr>
            <w:r/>
            <w:r>
              <w:rPr>
                <w:sz w:val="17"/>
              </w:rPr>
              <w:t>S/ 2 324,97</w:t>
            </w:r>
          </w:p>
        </w:tc>
        <w:tc>
          <w:tcPr>
            <w:tcW w:type="dxa" w:w="1701"/>
            <w:shd w:val="clear" w:fill="EEF2F7"/>
          </w:tcPr>
          <w:p>
            <w:pPr>
              <w:spacing w:after="20" w:before="20"/>
            </w:pPr>
            <w:r/>
            <w:r>
              <w:rPr>
                <w:sz w:val="17"/>
              </w:rPr>
              <w:t>3,30 %</w:t>
            </w:r>
          </w:p>
        </w:tc>
      </w:tr>
      <w:tr>
        <w:tc>
          <w:tcPr>
            <w:tcW w:type="dxa" w:w="1474"/>
          </w:tcPr>
          <w:p>
            <w:pPr>
              <w:spacing w:after="20" w:before="20"/>
            </w:pPr>
            <w:r/>
            <w:r>
              <w:rPr>
                <w:sz w:val="17"/>
              </w:rPr>
              <w:t>Trujillo</w:t>
            </w:r>
          </w:p>
        </w:tc>
        <w:tc>
          <w:tcPr>
            <w:tcW w:type="dxa" w:w="907"/>
          </w:tcPr>
          <w:p>
            <w:pPr>
              <w:spacing w:after="20" w:before="20"/>
            </w:pPr>
            <w:r/>
            <w:r>
              <w:rPr>
                <w:sz w:val="17"/>
              </w:rPr>
              <w:t>2</w:t>
            </w:r>
          </w:p>
        </w:tc>
        <w:tc>
          <w:tcPr>
            <w:tcW w:type="dxa" w:w="1247"/>
          </w:tcPr>
          <w:p>
            <w:pPr>
              <w:spacing w:after="20" w:before="20"/>
            </w:pPr>
            <w:r/>
            <w:r>
              <w:rPr>
                <w:sz w:val="17"/>
              </w:rPr>
              <w:t>2 850</w:t>
            </w:r>
          </w:p>
        </w:tc>
        <w:tc>
          <w:tcPr>
            <w:tcW w:type="dxa" w:w="1701"/>
          </w:tcPr>
          <w:p>
            <w:pPr>
              <w:spacing w:after="20" w:before="20"/>
            </w:pPr>
            <w:r/>
            <w:r>
              <w:rPr>
                <w:sz w:val="17"/>
              </w:rPr>
              <w:t>30,52 %</w:t>
            </w:r>
          </w:p>
        </w:tc>
        <w:tc>
          <w:tcPr>
            <w:tcW w:type="dxa" w:w="2268"/>
          </w:tcPr>
          <w:p>
            <w:pPr>
              <w:spacing w:after="20" w:before="20"/>
            </w:pPr>
            <w:r/>
            <w:r>
              <w:rPr>
                <w:sz w:val="17"/>
              </w:rPr>
              <w:t>S/ 1 789,59</w:t>
            </w:r>
          </w:p>
        </w:tc>
        <w:tc>
          <w:tcPr>
            <w:tcW w:type="dxa" w:w="1701"/>
          </w:tcPr>
          <w:p>
            <w:pPr>
              <w:spacing w:after="20" w:before="20"/>
            </w:pPr>
            <w:r/>
            <w:r>
              <w:rPr>
                <w:sz w:val="17"/>
              </w:rPr>
              <w:t>11,42 %</w:t>
            </w:r>
          </w:p>
        </w:tc>
      </w:tr>
    </w:tbl>
    <w:p>
      <w:pPr>
        <w:spacing w:before="40" w:after="160"/>
      </w:pPr>
      <w:r>
        <w:rPr>
          <w:i/>
          <w:color w:val="555555"/>
          <w:sz w:val="16"/>
        </w:rPr>
        <w:t>Tabla D. Margen bruto acumulado ene-2025 a ago-2026; venta por m² sobre los últimos doce meses (set-2025 a ago-2026); crecimiento ene-ago 2026 vs. ene-ago 2025. Margen consolidado de la cadena: 29,12 %.</w:t>
      </w:r>
    </w:p>
    <w:p>
      <w:pPr>
        <w:spacing w:before="160" w:after="60"/>
      </w:pPr>
      <w:r>
        <w:rPr>
          <w:b/>
          <w:color w:val="1F3A5F"/>
          <w:sz w:val="20"/>
        </w:rPr>
        <w:t>8.2. Tarea 2 — Verificación contra los seis criterios de calidad (Tabla 8)</w:t>
      </w:r>
    </w:p>
    <w:tbl>
      <w:tblPr>
        <w:tblStyle w:val="TableGrid"/>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c>
          <w:tcPr>
            <w:tcW w:type="dxa" w:w="2494"/>
            <w:shd w:val="clear" w:fill="1F3A5F"/>
          </w:tcPr>
          <w:p>
            <w:pPr>
              <w:spacing w:after="20" w:before="20"/>
            </w:pPr>
            <w:r/>
            <w:r>
              <w:rPr>
                <w:b/>
                <w:color w:val="FFFFFF"/>
                <w:sz w:val="16"/>
              </w:rPr>
              <w:t>Indicador</w:t>
            </w:r>
          </w:p>
        </w:tc>
        <w:tc>
          <w:tcPr>
            <w:tcW w:type="dxa" w:w="1134"/>
            <w:shd w:val="clear" w:fill="1F3A5F"/>
          </w:tcPr>
          <w:p>
            <w:pPr>
              <w:spacing w:after="20" w:before="20"/>
            </w:pPr>
            <w:r/>
            <w:r>
              <w:rPr>
                <w:b/>
                <w:color w:val="FFFFFF"/>
                <w:sz w:val="16"/>
              </w:rPr>
              <w:t>Específico</w:t>
            </w:r>
          </w:p>
        </w:tc>
        <w:tc>
          <w:tcPr>
            <w:tcW w:type="dxa" w:w="1361"/>
            <w:shd w:val="clear" w:fill="1F3A5F"/>
          </w:tcPr>
          <w:p>
            <w:pPr>
              <w:spacing w:after="20" w:before="20"/>
            </w:pPr>
            <w:r/>
            <w:r>
              <w:rPr>
                <w:b/>
                <w:color w:val="FFFFFF"/>
                <w:sz w:val="16"/>
              </w:rPr>
              <w:t>Medible y reprod.</w:t>
            </w:r>
          </w:p>
        </w:tc>
        <w:tc>
          <w:tcPr>
            <w:tcW w:type="dxa" w:w="1077"/>
            <w:shd w:val="clear" w:fill="1F3A5F"/>
          </w:tcPr>
          <w:p>
            <w:pPr>
              <w:spacing w:after="20" w:before="20"/>
            </w:pPr>
            <w:r/>
            <w:r>
              <w:rPr>
                <w:b/>
                <w:color w:val="FFFFFF"/>
                <w:sz w:val="16"/>
              </w:rPr>
              <w:t>Alineado</w:t>
            </w:r>
          </w:p>
        </w:tc>
        <w:tc>
          <w:tcPr>
            <w:tcW w:type="dxa" w:w="1191"/>
            <w:shd w:val="clear" w:fill="1F3A5F"/>
          </w:tcPr>
          <w:p>
            <w:pPr>
              <w:spacing w:after="20" w:before="20"/>
            </w:pPr>
            <w:r/>
            <w:r>
              <w:rPr>
                <w:b/>
                <w:color w:val="FFFFFF"/>
                <w:sz w:val="16"/>
              </w:rPr>
              <w:t>Accionable</w:t>
            </w:r>
          </w:p>
        </w:tc>
        <w:tc>
          <w:tcPr>
            <w:tcW w:type="dxa" w:w="1077"/>
            <w:shd w:val="clear" w:fill="1F3A5F"/>
          </w:tcPr>
          <w:p>
            <w:pPr>
              <w:spacing w:after="20" w:before="20"/>
            </w:pPr>
            <w:r/>
            <w:r>
              <w:rPr>
                <w:b/>
                <w:color w:val="FFFFFF"/>
                <w:sz w:val="16"/>
              </w:rPr>
              <w:t>Temporal</w:t>
            </w:r>
          </w:p>
        </w:tc>
        <w:tc>
          <w:tcPr>
            <w:tcW w:type="dxa" w:w="1474"/>
            <w:shd w:val="clear" w:fill="1F3A5F"/>
          </w:tcPr>
          <w:p>
            <w:pPr>
              <w:spacing w:after="20" w:before="20"/>
            </w:pPr>
            <w:r/>
            <w:r>
              <w:rPr>
                <w:b/>
                <w:color w:val="FFFFFF"/>
                <w:sz w:val="16"/>
              </w:rPr>
              <w:t>Contextualizado</w:t>
            </w:r>
          </w:p>
        </w:tc>
      </w:tr>
      <w:tr>
        <w:tc>
          <w:tcPr>
            <w:tcW w:type="dxa" w:w="2494"/>
          </w:tcPr>
          <w:p>
            <w:pPr>
              <w:spacing w:after="20" w:before="20"/>
            </w:pPr>
            <w:r/>
            <w:r>
              <w:rPr>
                <w:sz w:val="16"/>
              </w:rPr>
              <w:t>Margen bruto % por ciudad</w:t>
            </w:r>
          </w:p>
        </w:tc>
        <w:tc>
          <w:tcPr>
            <w:tcW w:type="dxa" w:w="1134"/>
          </w:tcPr>
          <w:p>
            <w:pPr>
              <w:spacing w:after="20" w:before="20"/>
            </w:pPr>
            <w:r/>
            <w:r>
              <w:rPr>
                <w:sz w:val="16"/>
              </w:rPr>
              <w:t>Sí</w:t>
            </w:r>
          </w:p>
        </w:tc>
        <w:tc>
          <w:tcPr>
            <w:tcW w:type="dxa" w:w="1361"/>
          </w:tcPr>
          <w:p>
            <w:pPr>
              <w:spacing w:after="20" w:before="20"/>
            </w:pPr>
            <w:r/>
            <w:r>
              <w:rPr>
                <w:sz w:val="16"/>
              </w:rPr>
              <w:t>Sí</w:t>
            </w:r>
          </w:p>
        </w:tc>
        <w:tc>
          <w:tcPr>
            <w:tcW w:type="dxa" w:w="1077"/>
          </w:tcPr>
          <w:p>
            <w:pPr>
              <w:spacing w:after="20" w:before="20"/>
            </w:pPr>
            <w:r/>
            <w:r>
              <w:rPr>
                <w:sz w:val="16"/>
              </w:rPr>
              <w:t>Sí</w:t>
            </w:r>
          </w:p>
        </w:tc>
        <w:tc>
          <w:tcPr>
            <w:tcW w:type="dxa" w:w="1191"/>
          </w:tcPr>
          <w:p>
            <w:pPr>
              <w:spacing w:after="20" w:before="20"/>
            </w:pPr>
            <w:r/>
            <w:r>
              <w:rPr>
                <w:sz w:val="16"/>
              </w:rPr>
              <w:t>Sí</w:t>
            </w:r>
          </w:p>
        </w:tc>
        <w:tc>
          <w:tcPr>
            <w:tcW w:type="dxa" w:w="1077"/>
          </w:tcPr>
          <w:p>
            <w:pPr>
              <w:spacing w:after="20" w:before="20"/>
            </w:pPr>
            <w:r/>
            <w:r>
              <w:rPr>
                <w:sz w:val="16"/>
              </w:rPr>
              <w:t>Corregido</w:t>
            </w:r>
          </w:p>
        </w:tc>
        <w:tc>
          <w:tcPr>
            <w:tcW w:type="dxa" w:w="1474"/>
          </w:tcPr>
          <w:p>
            <w:pPr>
              <w:spacing w:after="20" w:before="20"/>
            </w:pPr>
            <w:r/>
            <w:r>
              <w:rPr>
                <w:sz w:val="16"/>
              </w:rPr>
              <w:t>Corregido</w:t>
            </w:r>
          </w:p>
        </w:tc>
      </w:tr>
      <w:tr>
        <w:tc>
          <w:tcPr>
            <w:tcW w:type="dxa" w:w="2494"/>
            <w:shd w:val="clear" w:fill="EEF2F7"/>
          </w:tcPr>
          <w:p>
            <w:pPr>
              <w:spacing w:after="20" w:before="20"/>
            </w:pPr>
            <w:r/>
            <w:r>
              <w:rPr>
                <w:sz w:val="16"/>
              </w:rPr>
              <w:t>Venta neta por m² (12m)</w:t>
            </w:r>
          </w:p>
        </w:tc>
        <w:tc>
          <w:tcPr>
            <w:tcW w:type="dxa" w:w="1134"/>
            <w:shd w:val="clear" w:fill="EEF2F7"/>
          </w:tcPr>
          <w:p>
            <w:pPr>
              <w:spacing w:after="20" w:before="20"/>
            </w:pPr>
            <w:r/>
            <w:r>
              <w:rPr>
                <w:sz w:val="16"/>
              </w:rPr>
              <w:t>Corregido</w:t>
            </w:r>
          </w:p>
        </w:tc>
        <w:tc>
          <w:tcPr>
            <w:tcW w:type="dxa" w:w="1361"/>
            <w:shd w:val="clear" w:fill="EEF2F7"/>
          </w:tcPr>
          <w:p>
            <w:pPr>
              <w:spacing w:after="20" w:before="20"/>
            </w:pPr>
            <w:r/>
            <w:r>
              <w:rPr>
                <w:sz w:val="16"/>
              </w:rPr>
              <w:t>Sí</w:t>
            </w:r>
          </w:p>
        </w:tc>
        <w:tc>
          <w:tcPr>
            <w:tcW w:type="dxa" w:w="1077"/>
            <w:shd w:val="clear" w:fill="EEF2F7"/>
          </w:tcPr>
          <w:p>
            <w:pPr>
              <w:spacing w:after="20" w:before="20"/>
            </w:pPr>
            <w:r/>
            <w:r>
              <w:rPr>
                <w:sz w:val="16"/>
              </w:rPr>
              <w:t>Sí</w:t>
            </w:r>
          </w:p>
        </w:tc>
        <w:tc>
          <w:tcPr>
            <w:tcW w:type="dxa" w:w="1191"/>
            <w:shd w:val="clear" w:fill="EEF2F7"/>
          </w:tcPr>
          <w:p>
            <w:pPr>
              <w:spacing w:after="20" w:before="20"/>
            </w:pPr>
            <w:r/>
            <w:r>
              <w:rPr>
                <w:sz w:val="16"/>
              </w:rPr>
              <w:t>Sí</w:t>
            </w:r>
          </w:p>
        </w:tc>
        <w:tc>
          <w:tcPr>
            <w:tcW w:type="dxa" w:w="1077"/>
            <w:shd w:val="clear" w:fill="EEF2F7"/>
          </w:tcPr>
          <w:p>
            <w:pPr>
              <w:spacing w:after="20" w:before="20"/>
            </w:pPr>
            <w:r/>
            <w:r>
              <w:rPr>
                <w:sz w:val="16"/>
              </w:rPr>
              <w:t>Sí</w:t>
            </w:r>
          </w:p>
        </w:tc>
        <w:tc>
          <w:tcPr>
            <w:tcW w:type="dxa" w:w="1474"/>
            <w:shd w:val="clear" w:fill="EEF2F7"/>
          </w:tcPr>
          <w:p>
            <w:pPr>
              <w:spacing w:after="20" w:before="20"/>
            </w:pPr>
            <w:r/>
            <w:r>
              <w:rPr>
                <w:sz w:val="16"/>
              </w:rPr>
              <w:t>Sí</w:t>
            </w:r>
          </w:p>
        </w:tc>
      </w:tr>
      <w:tr>
        <w:tc>
          <w:tcPr>
            <w:tcW w:type="dxa" w:w="2494"/>
          </w:tcPr>
          <w:p>
            <w:pPr>
              <w:spacing w:after="20" w:before="20"/>
            </w:pPr>
            <w:r/>
            <w:r>
              <w:rPr>
                <w:sz w:val="16"/>
              </w:rPr>
              <w:t>Crecimiento interanual ene-ago</w:t>
            </w:r>
          </w:p>
        </w:tc>
        <w:tc>
          <w:tcPr>
            <w:tcW w:type="dxa" w:w="1134"/>
          </w:tcPr>
          <w:p>
            <w:pPr>
              <w:spacing w:after="20" w:before="20"/>
            </w:pPr>
            <w:r/>
            <w:r>
              <w:rPr>
                <w:sz w:val="16"/>
              </w:rPr>
              <w:t>Sí</w:t>
            </w:r>
          </w:p>
        </w:tc>
        <w:tc>
          <w:tcPr>
            <w:tcW w:type="dxa" w:w="1361"/>
          </w:tcPr>
          <w:p>
            <w:pPr>
              <w:spacing w:after="20" w:before="20"/>
            </w:pPr>
            <w:r/>
            <w:r>
              <w:rPr>
                <w:sz w:val="16"/>
              </w:rPr>
              <w:t>Sí</w:t>
            </w:r>
          </w:p>
        </w:tc>
        <w:tc>
          <w:tcPr>
            <w:tcW w:type="dxa" w:w="1077"/>
          </w:tcPr>
          <w:p>
            <w:pPr>
              <w:spacing w:after="20" w:before="20"/>
            </w:pPr>
            <w:r/>
            <w:r>
              <w:rPr>
                <w:sz w:val="16"/>
              </w:rPr>
              <w:t>Sí</w:t>
            </w:r>
          </w:p>
        </w:tc>
        <w:tc>
          <w:tcPr>
            <w:tcW w:type="dxa" w:w="1191"/>
          </w:tcPr>
          <w:p>
            <w:pPr>
              <w:spacing w:after="20" w:before="20"/>
            </w:pPr>
            <w:r/>
            <w:r>
              <w:rPr>
                <w:sz w:val="16"/>
              </w:rPr>
              <w:t>Parcial</w:t>
            </w:r>
          </w:p>
        </w:tc>
        <w:tc>
          <w:tcPr>
            <w:tcW w:type="dxa" w:w="1077"/>
          </w:tcPr>
          <w:p>
            <w:pPr>
              <w:spacing w:after="20" w:before="20"/>
            </w:pPr>
            <w:r/>
            <w:r>
              <w:rPr>
                <w:sz w:val="16"/>
              </w:rPr>
              <w:t>Sí</w:t>
            </w:r>
          </w:p>
        </w:tc>
        <w:tc>
          <w:tcPr>
            <w:tcW w:type="dxa" w:w="1474"/>
          </w:tcPr>
          <w:p>
            <w:pPr>
              <w:spacing w:after="20" w:before="20"/>
            </w:pPr>
            <w:r/>
            <w:r>
              <w:rPr>
                <w:sz w:val="16"/>
              </w:rPr>
              <w:t>Corregido</w:t>
            </w:r>
          </w:p>
        </w:tc>
      </w:tr>
    </w:tbl>
    <w:p>
      <w:pPr>
        <w:spacing w:before="40" w:after="160"/>
      </w:pPr>
      <w:r>
        <w:rPr>
          <w:i/>
          <w:color w:val="555555"/>
          <w:sz w:val="16"/>
        </w:rPr>
        <w:t>Tabla 8. Verificación de indicadores contra los criterios de calidad.</w:t>
      </w:r>
    </w:p>
    <w:p>
      <w:pPr>
        <w:spacing w:after="80"/>
        <w:jc w:val="both"/>
      </w:pPr>
      <w:r>
        <w:rPr>
          <w:sz w:val="19"/>
        </w:rPr>
        <w:t>Correcciones aplicadas. I1: la definición inicial no acotaba periodo (temporal) ni ofrecía referencia de comparación (contextualizado); se fija la ventana ene-2025 a ago-2026 y se contrasta contra el margen consolidado de la cadena, 29,12 %. Además se agregan venta y costo antes de dividir: promediar márgenes mensuales produciría un promedio de razones que pondera igual un mes alto y uno bajo. I2: no precisaba qué metros cuadrados usar (específico); se toma m2_sala del maestro de tiendas y se excluye el canal WEB. I3: el indicador crudo premia a las ciudades con locales recién abiertos, que crecen por maduración y no por desempeño de la plaza (contextualizado); se agrega una versión comparable que excluye T10 Yanahuara y T12 Víctor Larco, aperturas de 2024. Su accionabilidad es parcial: señala dónde crecer, pero no cuánto invertir sin el costo de ocupación.</w:t>
      </w:r>
    </w:p>
    <w:p>
      <w:pPr>
        <w:spacing w:before="160" w:after="60"/>
      </w:pPr>
      <w:r>
        <w:rPr>
          <w:b/>
          <w:color w:val="1F3A5F"/>
          <w:sz w:val="20"/>
        </w:rPr>
        <w:t>8.3. Tarea 3 — Recomendación a la gerencia general</w:t>
      </w:r>
    </w:p>
    <w:p>
      <w:pPr>
        <w:spacing w:after="80"/>
      </w:pPr>
      <w:r>
        <w:rPr>
          <w:b/>
          <w:color w:val="1F3A5F"/>
          <w:sz w:val="20"/>
        </w:rPr>
        <w:t>Se recomienda concentrar los cuatro locales nuevos en AREQUIPA.</w:t>
      </w:r>
    </w:p>
    <w:p>
      <w:pPr>
        <w:spacing w:after="80"/>
        <w:jc w:val="both"/>
      </w:pPr>
      <w:r>
        <w:rPr>
          <w:sz w:val="19"/>
        </w:rPr>
        <w:t>Sustento. Arequipa lidera dos de los tres indicadores. Su margen bruto de 33,29 % supera al de Lima en 5,68 puntos porcentuales: cada sol vendido en esa plaza deja más utilidad. Su crecimiento interanual de 16,50 % quintuplica el 3,30 % de Lima y se sostiene en 16,62 % al excluir los locales en maduración, de modo que no es un efecto de rampa de apertura sino desempeño real de la plaza. Con tres locales frente a los siete de Lima, es además la ciudad con menor saturación de la cadena. En productividad por metro cuadrado queda segunda con S/ 2 078,00, a solo 10,6 % del líder.</w:t>
      </w:r>
    </w:p>
    <w:p>
      <w:pPr>
        <w:spacing w:after="80"/>
        <w:jc w:val="both"/>
      </w:pPr>
      <w:r>
        <w:rPr>
          <w:sz w:val="19"/>
        </w:rPr>
        <w:t>Argumento en contra de la propia recomendación. Lima produce S/ 2 324,97 por metro cuadrado, un 11,9 % más que Arequipa, y esa es precisamente la métrica estándar de productividad del retail: por el criterio más aceptado del sector, la decisión correcta sería Lima. Su mercado absoluto es 3,2 veces mayor (S/ 27,4 millones frente a S/ 8,6 millones en doce meses) y concentra 56 749 clientes distintos frente a 19 796. Debe advertirse también un sesgo estructural en la comparación: un crecimiento de 16,50 % sobre una base tres veces menor exige mucho menos volumen incremental que un 3,30 % sobre la base limeña, de modo que la comparación de tasas favorece por construcción a la plaza pequeña. Si el objetivo del directorio fuera maximizar venta absoluta y no rentabilidad ni velocidad de crecimiento, la recomendación se invertiría.</w:t>
      </w:r>
    </w:p>
    <w:p>
      <w:pPr>
        <w:spacing w:after="80"/>
        <w:jc w:val="both"/>
      </w:pPr>
      <w:r>
        <w:rPr>
          <w:sz w:val="19"/>
        </w:rPr>
        <w:t>Dato que hoy no existe. El costo de ocupación por metro cuadrado de cada plaza —alquiler, servicios y planilla—. Todos los indicadores disponibles miden ingreso y margen de mercadería, pero ninguno mide el costo de operar el local: una plaza con mayor margen bruto puede ser menos rentable si su alquiler por metro cuadrado es superior, y esa información no está en ninguna de las seis fuentes entregadas. En segundo lugar faltan datos de mercado —población, ingreso per cápita y competencia por distrito— y una medición de canibalización entre locales propios, necesaria para determinar si un cuarto local en Arequipa generaría venta nueva o solo redistribuiría la existente.</w:t>
      </w:r>
    </w:p>
    <w:sectPr w:rsidR="00FC693F" w:rsidRPr="0006063C" w:rsidSect="00034616">
      <w:pgSz w:w="12240" w:h="15840"/>
      <w:pgMar w:top="907"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