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Atividade avaliativa 2 - 3º Bimestre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Engenharia de Software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0" w:lin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Nome: Mathias Nascimento Tlusz             Data: 17/09/26</w:t>
      </w:r>
    </w:p>
    <w:p w:rsidR="00000000" w:rsidDel="00000000" w:rsidP="00000000" w:rsidRDefault="00000000" w:rsidRPr="00000000" w14:paraId="00000005">
      <w:pPr>
        <w:widowControl w:val="0"/>
        <w:spacing w:after="200" w:line="276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1) Requisitos Funcionais</w:t>
      </w:r>
    </w:p>
    <w:tbl>
      <w:tblPr>
        <w:tblStyle w:val="Table1"/>
        <w:tblW w:w="107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30"/>
        <w:gridCol w:w="1620"/>
        <w:gridCol w:w="5775"/>
        <w:gridCol w:w="1815"/>
        <w:tblGridChange w:id="0">
          <w:tblGrid>
            <w:gridCol w:w="1530"/>
            <w:gridCol w:w="1620"/>
            <w:gridCol w:w="5775"/>
            <w:gridCol w:w="18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Importância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Gerenciamento De 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gestão de usuários é o processo de criar, controlar e proteger contas de acesso.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Localização de Pontos de Coleta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Permite que o usuário busque pontos de coleta de lixo eletrônico por cidade ou CEP.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Essencial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Visualização em Mapa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Exibe os pontos de coleta cadastrados em um mapa interativo, facilitando a localização visual.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Essencial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Cadastro de Pedido de Coleta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Permite que o usuário registre um pedido de coleta ou doação de aparelho, informando tipo e condição do equipamento.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Essencial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Confirmação de Pedido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Envia uma confirmação (e-mail ou tela) ao usuário após o registro do pedido.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Importante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Gestão de Pedidos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Permite que o administrador (loja) visualize e atualize o status dos pedidos recebidos (pendente, agendado, coletado).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Essencial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Conteúdo Educativo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Exibe informações sobre o que é lixo eletrônico, seus riscos e a legislação aplicável.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Importante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Cadastro de Pontos Parceiros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Permite que o administrador cadastre novos pontos de coleta parceiros no sistema.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Desejável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RF-009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Estatísticas Públicas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Exibe dados simples de engajamento, como a quantidade total de aparelhos já coletados.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Desejável </w:t>
            </w:r>
          </w:p>
        </w:tc>
      </w:tr>
    </w:tbl>
    <w:p w:rsidR="00000000" w:rsidDel="00000000" w:rsidP="00000000" w:rsidRDefault="00000000" w:rsidRPr="00000000" w14:paraId="0000002E">
      <w:pPr>
        <w:widowControl w:val="0"/>
        <w:spacing w:after="200" w:line="276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240" w:before="240"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Explicação dos requisitos:</w:t>
      </w:r>
    </w:p>
    <w:p w:rsidR="00000000" w:rsidDel="00000000" w:rsidP="00000000" w:rsidRDefault="00000000" w:rsidRPr="00000000" w14:paraId="00000030">
      <w:pPr>
        <w:widowControl w:val="0"/>
        <w:spacing w:after="240" w:before="240" w:line="276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 RF-001 é a ação de criar, autenticar e proteger as contas de acesso dos administradores (a loja), garantindo que só pessoas autorizadas gerenciem o sistema. O RF-002 é a ação de permitir que qualquer visitante encontre, por cidade ou CEP, os pontos de coleta mais próximos de sua localização. O RF-003 é a ação de traduzir essa busca em um mapa visual, facilitando a compreensão sem precisar ler uma lista de endereços. O RF-004 é a ação de registrar formalmente a intenção de um usuário de descartar ou doar um aparelho, coletando os dados necessários (tipo e condição do equipamento). O RF-005 é a ação de confirmar ao usuário que seu pedido foi recebido com sucesso, evitando dúvidas ou pedidos duplicados. O RF-006 é a ação de dar à loja controle operacional sobre os pedidos recebidos, acompanhando o processo do início ao fim. O RF-007 é a ação de informar e conscientizar o visitante sobre a importância do descarte correto, cumprindo o papel educativo do site. O RF-008 é a ação de permitir que o sistema cresça, incluindo novos parceiros sem depender de alteração no código. O RF-009 é a ação de mostrar publicamente o impacto do projeto, incentivando mais pessoas a participarem.</w:t>
      </w:r>
    </w:p>
    <w:p w:rsidR="00000000" w:rsidDel="00000000" w:rsidP="00000000" w:rsidRDefault="00000000" w:rsidRPr="00000000" w14:paraId="00000031">
      <w:pPr>
        <w:widowControl w:val="0"/>
        <w:spacing w:after="20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after="20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2) Requisitos não Funcionais</w:t>
      </w:r>
    </w:p>
    <w:tbl>
      <w:tblPr>
        <w:tblStyle w:val="Table2"/>
        <w:tblW w:w="107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30"/>
        <w:gridCol w:w="1620"/>
        <w:gridCol w:w="5775"/>
        <w:gridCol w:w="1815"/>
        <w:tblGridChange w:id="0">
          <w:tblGrid>
            <w:gridCol w:w="1530"/>
            <w:gridCol w:w="1620"/>
            <w:gridCol w:w="5775"/>
            <w:gridCol w:w="18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Importância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RNF-001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Usabilidade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interface deve ser simples e acessível, mesmo para usuários com pouca familiaridade digital.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Essencial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RNF-002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Responsividade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site deve funcionar corretamente em celulares, já que a maioria dos acessos será via smartphone.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Essencial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RNF-003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Segurança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 dados pessoais informados (nome, endereço, contato) devem ser protegidos conforme a LGPD.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Essencial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RNF-004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Desempenho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 páginas principais devem carregar em até 3 segundos em uma conexão 4G comum.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Importante </w:t>
            </w:r>
          </w:p>
        </w:tc>
      </w:tr>
    </w:tbl>
    <w:p w:rsidR="00000000" w:rsidDel="00000000" w:rsidP="00000000" w:rsidRDefault="00000000" w:rsidRPr="00000000" w14:paraId="00000047">
      <w:pPr>
        <w:widowControl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after="200" w:line="276" w:lineRule="auto"/>
        <w:rPr/>
      </w:pPr>
      <w:r w:rsidDel="00000000" w:rsidR="00000000" w:rsidRPr="00000000">
        <w:rPr>
          <w:rtl w:val="0"/>
        </w:rPr>
        <w:t xml:space="preserve">O RNF-001 é a ação de garantir que qualquer pessoa, mesmo sem experiência com tecnologia, consiga usar o site sem dificuldade, com textos claros, poucos cliques e navegação intuitiva. O RNF-002 é a ação de adaptar automaticamente o layout do site para diferentes tamanhos de tela, garantindo que a experiência em celular seja tão boa quanto em computador, já que a maioria dos usuários vai acessar pelo smartphone. O RNF-003 é a ação de proteger os dados pessoais coletados no cadastro (nome, endereço, contato) contra acessos indevidos, seguindo as exigências da Lei Geral de Proteção de Dados (LGPD), como armazenamento seguro e uso restrito das informações. O RNF-004 é a ação de otimizar o carregamento das páginas para que o usuário não espere muito tempo, evitando que ele desista de usar o site por lentidão, especialmente em conexões móveis mais fracas. </w:t>
      </w:r>
    </w:p>
    <w:p w:rsidR="00000000" w:rsidDel="00000000" w:rsidP="00000000" w:rsidRDefault="00000000" w:rsidRPr="00000000" w14:paraId="00000049">
      <w:pPr>
        <w:widowControl w:val="0"/>
        <w:spacing w:after="20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3) O diagrama de casos de uso e sua documentação.</w:t>
      </w:r>
    </w:p>
    <w:p w:rsidR="00000000" w:rsidDel="00000000" w:rsidP="00000000" w:rsidRDefault="00000000" w:rsidRPr="00000000" w14:paraId="0000004A">
      <w:pPr>
        <w:widowControl w:val="0"/>
        <w:spacing w:after="20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4) O diagrama de atividades para os principais casos de usos.</w:t>
      </w:r>
    </w:p>
    <w:p w:rsidR="00000000" w:rsidDel="00000000" w:rsidP="00000000" w:rsidRDefault="00000000" w:rsidRPr="00000000" w14:paraId="0000004B">
      <w:pPr>
        <w:widowControl w:val="0"/>
        <w:spacing w:after="20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5) O diagrama de classe para todo o projeto.</w:t>
      </w:r>
    </w:p>
    <w:p w:rsidR="00000000" w:rsidDel="00000000" w:rsidP="00000000" w:rsidRDefault="00000000" w:rsidRPr="00000000" w14:paraId="0000004C">
      <w:pPr>
        <w:widowControl w:val="0"/>
        <w:spacing w:after="20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766" w:top="766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spacing w:after="0" w:before="0" w:lineRule="auto"/>
      <w:rPr>
        <w:rFonts w:ascii="Open Sans" w:cs="Open Sans" w:eastAsia="Open Sans" w:hAnsi="Open Sans"/>
        <w:b w:val="1"/>
        <w:bCs w:val="1"/>
        <w:sz w:val="18"/>
        <w:szCs w:val="18"/>
      </w:rPr>
    </w:pPr>
    <w:r w:rsidDel="00000000" w:rsidR="00000000" w:rsidRPr="00000000">
      <w:rPr>
        <w:rFonts w:ascii="Open Sans" w:cs="Open Sans" w:eastAsia="Open Sans" w:hAnsi="Open Sans"/>
        <w:b w:val="1"/>
        <w:bCs w:val="1"/>
        <w:sz w:val="18"/>
        <w:szCs w:val="18"/>
        <w:rtl w:val="0"/>
      </w:rPr>
      <w:t xml:space="preserve">INSTITUTO FEDERAL DO PARANÁ | Quedas do Iguaçu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6472554</wp:posOffset>
          </wp:positionH>
          <wp:positionV relativeFrom="paragraph">
            <wp:posOffset>-187324</wp:posOffset>
          </wp:positionV>
          <wp:extent cx="367665" cy="666750"/>
          <wp:effectExtent b="0" l="0" r="0" t="0"/>
          <wp:wrapSquare wrapText="bothSides" distB="0" distT="0" distL="0" distR="0"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67665" cy="6667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Open Sans" w:cs="Open Sans" w:eastAsia="Open Sans" w:hAnsi="Open San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Rua Marginal Imbirama, 300 – Saída Linha Tapuí - CEP 85460-000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2354580" cy="63246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54580" cy="63246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929640" cy="594360"/>
          <wp:effectExtent b="0" l="0" r="0" t="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29640" cy="59436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280" w:before="280"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