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Article highlights</w:t>
      </w:r>
    </w:p>
    <w:p>
      <w:pPr>
        <w:spacing w:after="320"/>
      </w:pPr>
      <w:r>
        <w:t>A few farther-sighted trees can improve shallow forests</w:t>
      </w:r>
    </w:p>
    <w:p>
      <w:pPr>
        <w:pStyle w:val="ListBullet"/>
        <w:spacing w:after="200"/>
      </w:pPr>
      <w:r>
        <w:t>A few farther-sighted members improve mean accuracy in shallow forests.</w:t>
      </w:r>
    </w:p>
    <w:p>
      <w:pPr>
        <w:pStyle w:val="ListBullet"/>
        <w:spacing w:after="200"/>
      </w:pPr>
      <w:r>
        <w:t>Small mixed forests can beat larger greedy forests with less fitting work.</w:t>
      </w:r>
    </w:p>
    <w:p>
      <w:pPr>
        <w:pStyle w:val="ListBullet"/>
        <w:spacing w:after="200"/>
      </w:pPr>
      <w:r>
        <w:t>The gains depend on final tree depth and the split-feature policy.</w:t>
      </w:r>
    </w:p>
    <w:p>
      <w:pPr>
        <w:pStyle w:val="ListBullet"/>
        <w:spacing w:after="200"/>
      </w:pPr>
      <w:r>
        <w:t>Fair tuning raises mean accuracy when farther-sighted candidates are allowed.</w:t>
      </w:r>
    </w:p>
    <w:p>
      <w:pPr>
        <w:pStyle w:val="ListBullet"/>
        <w:spacing w:after="200"/>
      </w:pPr>
      <w:r>
        <w:t>Selection and refit costs grow substantially with the search horizon.</w:t>
      </w:r>
    </w:p>
    <w:sectPr w:rsidR="00FC693F" w:rsidRPr="0006063C" w:rsidSect="00034616"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0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Article highlights</dc:title>
  <dc:subject>Array revision ARRAY-D-26-03529</dc:subject>
  <dc:creator>Mathias Valla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