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E1D5F9" w14:textId="77777777" w:rsidR="00CB6041" w:rsidRPr="008444C3" w:rsidRDefault="008444C3">
      <w:pPr>
        <w:rPr>
          <w:lang w:val="en-US"/>
        </w:rPr>
      </w:pPr>
      <w:r w:rsidRPr="008444C3">
        <w:rPr>
          <w:lang w:val="en-US"/>
        </w:rPr>
        <w:t>Supplementary information</w:t>
      </w:r>
    </w:p>
    <w:p w14:paraId="03DA8934" w14:textId="77777777" w:rsidR="00CB6041" w:rsidRPr="008444C3" w:rsidRDefault="00CB6041">
      <w:pPr>
        <w:rPr>
          <w:lang w:val="en-US"/>
        </w:rPr>
      </w:pPr>
    </w:p>
    <w:p w14:paraId="71CE37E6" w14:textId="77777777" w:rsidR="00CB6041" w:rsidRPr="008444C3" w:rsidRDefault="008444C3">
      <w:pPr>
        <w:rPr>
          <w:lang w:val="en-US"/>
        </w:rPr>
      </w:pPr>
      <w:r w:rsidRPr="008444C3">
        <w:rPr>
          <w:lang w:val="en-US"/>
        </w:rPr>
        <w:t>Identifying evolutionary and kinetic drivers of NAD-dependent signalling - Bockwoldt et al.</w:t>
      </w:r>
      <w:r w:rsidRPr="008444C3">
        <w:rPr>
          <w:lang w:val="en-US"/>
        </w:rPr>
        <w:br w:type="page"/>
      </w:r>
    </w:p>
    <w:p w14:paraId="0F43729C" w14:textId="77777777" w:rsidR="00CB6041" w:rsidRPr="008444C3" w:rsidRDefault="008444C3">
      <w:pPr>
        <w:rPr>
          <w:lang w:val="en-US"/>
        </w:rPr>
      </w:pPr>
      <w:r>
        <w:rPr>
          <w:noProof/>
        </w:rPr>
        <w:lastRenderedPageBreak/>
        <w:drawing>
          <wp:anchor distT="0" distB="0" distL="0" distR="0" simplePos="0" relativeHeight="2" behindDoc="0" locked="0" layoutInCell="1" allowOverlap="1" wp14:anchorId="0DEBF206" wp14:editId="2FB075FB">
            <wp:simplePos x="0" y="0"/>
            <wp:positionH relativeFrom="column">
              <wp:align>center</wp:align>
            </wp:positionH>
            <wp:positionV relativeFrom="paragraph">
              <wp:posOffset>635</wp:posOffset>
            </wp:positionV>
            <wp:extent cx="3455670" cy="761111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3455670" cy="7611110"/>
                    </a:xfrm>
                    <a:prstGeom prst="rect">
                      <a:avLst/>
                    </a:prstGeom>
                  </pic:spPr>
                </pic:pic>
              </a:graphicData>
            </a:graphic>
          </wp:anchor>
        </w:drawing>
      </w:r>
    </w:p>
    <w:p w14:paraId="29908E7C" w14:textId="77777777" w:rsidR="00CB6041" w:rsidRPr="008444C3" w:rsidRDefault="00CB6041">
      <w:pPr>
        <w:rPr>
          <w:lang w:val="en-US"/>
        </w:rPr>
      </w:pPr>
    </w:p>
    <w:p w14:paraId="29B6ED49" w14:textId="77777777" w:rsidR="00CB6041" w:rsidRPr="008444C3" w:rsidRDefault="00CB6041">
      <w:pPr>
        <w:rPr>
          <w:lang w:val="en-US"/>
        </w:rPr>
      </w:pPr>
    </w:p>
    <w:p w14:paraId="69B9D2DF" w14:textId="77777777" w:rsidR="00CB6041" w:rsidRPr="008444C3" w:rsidRDefault="00CB6041">
      <w:pPr>
        <w:rPr>
          <w:lang w:val="en-US"/>
        </w:rPr>
      </w:pPr>
    </w:p>
    <w:p w14:paraId="18DBAE8C" w14:textId="77777777" w:rsidR="00CB6041" w:rsidRPr="008444C3" w:rsidRDefault="00CB6041">
      <w:pPr>
        <w:rPr>
          <w:lang w:val="en-US"/>
        </w:rPr>
      </w:pPr>
    </w:p>
    <w:p w14:paraId="3EC3FC2A" w14:textId="77777777" w:rsidR="00CB6041" w:rsidRPr="008444C3" w:rsidRDefault="00CB6041">
      <w:pPr>
        <w:rPr>
          <w:lang w:val="en-US"/>
        </w:rPr>
      </w:pPr>
    </w:p>
    <w:p w14:paraId="7FAD9FC9" w14:textId="77777777" w:rsidR="00CB6041" w:rsidRPr="008444C3" w:rsidRDefault="00CB6041">
      <w:pPr>
        <w:rPr>
          <w:lang w:val="en-US"/>
        </w:rPr>
      </w:pPr>
    </w:p>
    <w:p w14:paraId="42D7DBA1" w14:textId="77777777" w:rsidR="00CB6041" w:rsidRPr="008444C3" w:rsidRDefault="00CB6041">
      <w:pPr>
        <w:rPr>
          <w:lang w:val="en-US"/>
        </w:rPr>
      </w:pPr>
    </w:p>
    <w:p w14:paraId="6E1181D5" w14:textId="77777777" w:rsidR="00CB6041" w:rsidRPr="008444C3" w:rsidRDefault="00CB6041">
      <w:pPr>
        <w:rPr>
          <w:lang w:val="en-US"/>
        </w:rPr>
      </w:pPr>
    </w:p>
    <w:p w14:paraId="30AEBA1F" w14:textId="77777777" w:rsidR="00CB6041" w:rsidRPr="008444C3" w:rsidRDefault="00CB6041">
      <w:pPr>
        <w:rPr>
          <w:lang w:val="en-US"/>
        </w:rPr>
      </w:pPr>
    </w:p>
    <w:p w14:paraId="3A2706E9" w14:textId="77777777" w:rsidR="00CB6041" w:rsidRPr="008444C3" w:rsidRDefault="00CB6041">
      <w:pPr>
        <w:rPr>
          <w:lang w:val="en-US"/>
        </w:rPr>
      </w:pPr>
    </w:p>
    <w:p w14:paraId="0640F5B6" w14:textId="77777777" w:rsidR="00CB6041" w:rsidRPr="008444C3" w:rsidRDefault="00CB6041">
      <w:pPr>
        <w:rPr>
          <w:lang w:val="en-US"/>
        </w:rPr>
      </w:pPr>
    </w:p>
    <w:p w14:paraId="051EEB29" w14:textId="77777777" w:rsidR="00CB6041" w:rsidRPr="008444C3" w:rsidRDefault="00CB6041">
      <w:pPr>
        <w:rPr>
          <w:lang w:val="en-US"/>
        </w:rPr>
      </w:pPr>
    </w:p>
    <w:p w14:paraId="0E304589" w14:textId="77777777" w:rsidR="00CB6041" w:rsidRPr="008444C3" w:rsidRDefault="00CB6041">
      <w:pPr>
        <w:rPr>
          <w:lang w:val="en-US"/>
        </w:rPr>
      </w:pPr>
    </w:p>
    <w:p w14:paraId="6CE850BD" w14:textId="77777777" w:rsidR="00CB6041" w:rsidRPr="008444C3" w:rsidRDefault="00CB6041">
      <w:pPr>
        <w:rPr>
          <w:lang w:val="en-US"/>
        </w:rPr>
      </w:pPr>
    </w:p>
    <w:p w14:paraId="276E56CD" w14:textId="77777777" w:rsidR="00CB6041" w:rsidRPr="008444C3" w:rsidRDefault="00CB6041">
      <w:pPr>
        <w:rPr>
          <w:lang w:val="en-US"/>
        </w:rPr>
      </w:pPr>
    </w:p>
    <w:p w14:paraId="4F04BEED" w14:textId="77777777" w:rsidR="00CB6041" w:rsidRPr="008444C3" w:rsidRDefault="00CB6041">
      <w:pPr>
        <w:rPr>
          <w:lang w:val="en-US"/>
        </w:rPr>
      </w:pPr>
    </w:p>
    <w:p w14:paraId="041D7CBE" w14:textId="77777777" w:rsidR="00CB6041" w:rsidRPr="008444C3" w:rsidRDefault="00CB6041">
      <w:pPr>
        <w:rPr>
          <w:lang w:val="en-US"/>
        </w:rPr>
      </w:pPr>
    </w:p>
    <w:p w14:paraId="7A47350D" w14:textId="77777777" w:rsidR="00CB6041" w:rsidRPr="008444C3" w:rsidRDefault="00CB6041">
      <w:pPr>
        <w:rPr>
          <w:lang w:val="en-US"/>
        </w:rPr>
      </w:pPr>
    </w:p>
    <w:p w14:paraId="18CB1E20" w14:textId="77777777" w:rsidR="00CB6041" w:rsidRPr="008444C3" w:rsidRDefault="00CB6041">
      <w:pPr>
        <w:rPr>
          <w:lang w:val="en-US"/>
        </w:rPr>
      </w:pPr>
    </w:p>
    <w:p w14:paraId="434F6267" w14:textId="77777777" w:rsidR="00CB6041" w:rsidRPr="008444C3" w:rsidRDefault="00CB6041">
      <w:pPr>
        <w:rPr>
          <w:lang w:val="en-US"/>
        </w:rPr>
      </w:pPr>
    </w:p>
    <w:p w14:paraId="577EECC6" w14:textId="77777777" w:rsidR="00CB6041" w:rsidRPr="008444C3" w:rsidRDefault="00CB6041">
      <w:pPr>
        <w:rPr>
          <w:lang w:val="en-US"/>
        </w:rPr>
      </w:pPr>
    </w:p>
    <w:p w14:paraId="3B4E3C3A" w14:textId="77777777" w:rsidR="00CB6041" w:rsidRPr="008444C3" w:rsidRDefault="00CB6041">
      <w:pPr>
        <w:rPr>
          <w:lang w:val="en-US"/>
        </w:rPr>
      </w:pPr>
    </w:p>
    <w:p w14:paraId="43693DCF" w14:textId="77777777" w:rsidR="00CB6041" w:rsidRPr="008444C3" w:rsidRDefault="00CB6041">
      <w:pPr>
        <w:rPr>
          <w:lang w:val="en-US"/>
        </w:rPr>
      </w:pPr>
    </w:p>
    <w:p w14:paraId="377505A4" w14:textId="77777777" w:rsidR="00CB6041" w:rsidRPr="008444C3" w:rsidRDefault="00CB6041">
      <w:pPr>
        <w:rPr>
          <w:lang w:val="en-US"/>
        </w:rPr>
      </w:pPr>
    </w:p>
    <w:p w14:paraId="1F663D72" w14:textId="77777777" w:rsidR="00CB6041" w:rsidRPr="008444C3" w:rsidRDefault="00CB6041">
      <w:pPr>
        <w:rPr>
          <w:lang w:val="en-US"/>
        </w:rPr>
      </w:pPr>
    </w:p>
    <w:p w14:paraId="3050023A" w14:textId="77777777" w:rsidR="00CB6041" w:rsidRPr="008444C3" w:rsidRDefault="00CB6041">
      <w:pPr>
        <w:rPr>
          <w:lang w:val="en-US"/>
        </w:rPr>
      </w:pPr>
    </w:p>
    <w:p w14:paraId="08722D50" w14:textId="77777777" w:rsidR="00CB6041" w:rsidRPr="008444C3" w:rsidRDefault="00CB6041">
      <w:pPr>
        <w:rPr>
          <w:lang w:val="en-US"/>
        </w:rPr>
      </w:pPr>
    </w:p>
    <w:p w14:paraId="1F40F90E" w14:textId="77777777" w:rsidR="00CB6041" w:rsidRPr="008444C3" w:rsidRDefault="00CB6041">
      <w:pPr>
        <w:rPr>
          <w:lang w:val="en-US"/>
        </w:rPr>
      </w:pPr>
    </w:p>
    <w:p w14:paraId="1A9F6142" w14:textId="77777777" w:rsidR="00CB6041" w:rsidRPr="008444C3" w:rsidRDefault="00CB6041">
      <w:pPr>
        <w:rPr>
          <w:lang w:val="en-US"/>
        </w:rPr>
      </w:pPr>
    </w:p>
    <w:p w14:paraId="6F62EC47" w14:textId="77777777" w:rsidR="00CB6041" w:rsidRPr="008444C3" w:rsidRDefault="00CB6041">
      <w:pPr>
        <w:rPr>
          <w:lang w:val="en-US"/>
        </w:rPr>
      </w:pPr>
    </w:p>
    <w:p w14:paraId="410F4EB0" w14:textId="77777777" w:rsidR="00CB6041" w:rsidRPr="008444C3" w:rsidRDefault="00CB6041">
      <w:pPr>
        <w:rPr>
          <w:lang w:val="en-US"/>
        </w:rPr>
      </w:pPr>
    </w:p>
    <w:p w14:paraId="034A8930" w14:textId="77777777" w:rsidR="00CB6041" w:rsidRPr="008444C3" w:rsidRDefault="00CB6041">
      <w:pPr>
        <w:rPr>
          <w:lang w:val="en-US"/>
        </w:rPr>
      </w:pPr>
    </w:p>
    <w:p w14:paraId="5D7DA258" w14:textId="77777777" w:rsidR="00CB6041" w:rsidRPr="008444C3" w:rsidRDefault="00CB6041">
      <w:pPr>
        <w:rPr>
          <w:lang w:val="en-US"/>
        </w:rPr>
      </w:pPr>
    </w:p>
    <w:p w14:paraId="37C9F4BF" w14:textId="77777777" w:rsidR="00CB6041" w:rsidRPr="008444C3" w:rsidRDefault="00CB6041">
      <w:pPr>
        <w:rPr>
          <w:lang w:val="en-US"/>
        </w:rPr>
      </w:pPr>
    </w:p>
    <w:p w14:paraId="59BF07A5" w14:textId="77777777" w:rsidR="00CB6041" w:rsidRPr="008444C3" w:rsidRDefault="00CB6041">
      <w:pPr>
        <w:rPr>
          <w:lang w:val="en-US"/>
        </w:rPr>
      </w:pPr>
    </w:p>
    <w:p w14:paraId="109530FE" w14:textId="77777777" w:rsidR="00CB6041" w:rsidRPr="008444C3" w:rsidRDefault="00CB6041">
      <w:pPr>
        <w:rPr>
          <w:lang w:val="en-US"/>
        </w:rPr>
      </w:pPr>
    </w:p>
    <w:p w14:paraId="468530E7" w14:textId="77777777" w:rsidR="00CB6041" w:rsidRPr="008444C3" w:rsidRDefault="00CB6041">
      <w:pPr>
        <w:rPr>
          <w:lang w:val="en-US"/>
        </w:rPr>
      </w:pPr>
    </w:p>
    <w:p w14:paraId="7EB1E355" w14:textId="77777777" w:rsidR="00CB6041" w:rsidRPr="008444C3" w:rsidRDefault="00CB6041">
      <w:pPr>
        <w:rPr>
          <w:lang w:val="en-US"/>
        </w:rPr>
      </w:pPr>
    </w:p>
    <w:p w14:paraId="096B36C8" w14:textId="77777777" w:rsidR="00CB6041" w:rsidRPr="008444C3" w:rsidRDefault="00CB6041">
      <w:pPr>
        <w:rPr>
          <w:lang w:val="en-US"/>
        </w:rPr>
      </w:pPr>
    </w:p>
    <w:p w14:paraId="712156B8" w14:textId="77777777" w:rsidR="00CB6041" w:rsidRPr="008444C3" w:rsidRDefault="00CB6041">
      <w:pPr>
        <w:rPr>
          <w:lang w:val="en-US"/>
        </w:rPr>
      </w:pPr>
    </w:p>
    <w:p w14:paraId="2708B64C" w14:textId="77777777" w:rsidR="00CB6041" w:rsidRPr="008444C3" w:rsidRDefault="00CB6041">
      <w:pPr>
        <w:rPr>
          <w:lang w:val="en-US"/>
        </w:rPr>
      </w:pPr>
    </w:p>
    <w:p w14:paraId="1446595A" w14:textId="77777777" w:rsidR="00CB6041" w:rsidRPr="008444C3" w:rsidRDefault="00CB6041">
      <w:pPr>
        <w:rPr>
          <w:lang w:val="en-US"/>
        </w:rPr>
      </w:pPr>
    </w:p>
    <w:p w14:paraId="69DEA011" w14:textId="77777777" w:rsidR="00CB6041" w:rsidRPr="008444C3" w:rsidRDefault="00CB6041">
      <w:pPr>
        <w:rPr>
          <w:lang w:val="en-US"/>
        </w:rPr>
      </w:pPr>
    </w:p>
    <w:p w14:paraId="1CAFAC3B" w14:textId="77777777" w:rsidR="00CB6041" w:rsidRPr="008444C3" w:rsidRDefault="00CB6041">
      <w:pPr>
        <w:rPr>
          <w:lang w:val="en-US"/>
        </w:rPr>
      </w:pPr>
    </w:p>
    <w:p w14:paraId="1A6F172C" w14:textId="77777777" w:rsidR="00CB6041" w:rsidRPr="008444C3" w:rsidRDefault="008444C3">
      <w:pPr>
        <w:rPr>
          <w:lang w:val="en-US"/>
        </w:rPr>
      </w:pPr>
      <w:r w:rsidRPr="008444C3">
        <w:rPr>
          <w:lang w:val="en-US"/>
        </w:rPr>
        <w:t xml:space="preserve">Supplementary Figure S2. </w:t>
      </w:r>
      <w:r w:rsidRPr="008444C3">
        <w:rPr>
          <w:b/>
          <w:bCs/>
          <w:lang w:val="en-US"/>
        </w:rPr>
        <w:t xml:space="preserve">The phylogenetic distribution of NamPT and NNMT in birds and </w:t>
      </w:r>
      <w:r w:rsidRPr="008444C3">
        <w:rPr>
          <w:b/>
          <w:bCs/>
          <w:lang w:val="en-US"/>
        </w:rPr>
        <w:t>reptiles is scattered.</w:t>
      </w:r>
      <w:r w:rsidRPr="008444C3">
        <w:rPr>
          <w:lang w:val="en-US"/>
        </w:rPr>
        <w:t xml:space="preserve"> The phylogenetic distribution of birds and reptiles was adopted from {Prum2015}. Families are marked with a green circle if they possess NamPT without NNMT or a blue circle if they possess both NamPT and NNMT.</w:t>
      </w:r>
      <w:r w:rsidRPr="008444C3">
        <w:rPr>
          <w:lang w:val="en-US"/>
        </w:rPr>
        <w:br w:type="page"/>
      </w:r>
    </w:p>
    <w:p w14:paraId="32D8AE41" w14:textId="77777777" w:rsidR="00CB6041" w:rsidRPr="008444C3" w:rsidRDefault="008444C3">
      <w:pPr>
        <w:rPr>
          <w:lang w:val="en-US"/>
        </w:rPr>
      </w:pPr>
      <w:r>
        <w:rPr>
          <w:noProof/>
        </w:rPr>
        <w:lastRenderedPageBreak/>
        <w:drawing>
          <wp:anchor distT="0" distB="0" distL="0" distR="0" simplePos="0" relativeHeight="3" behindDoc="1" locked="0" layoutInCell="1" allowOverlap="1" wp14:anchorId="1FAAFD4F" wp14:editId="03B928F6">
            <wp:simplePos x="0" y="0"/>
            <wp:positionH relativeFrom="column">
              <wp:posOffset>46990</wp:posOffset>
            </wp:positionH>
            <wp:positionV relativeFrom="paragraph">
              <wp:posOffset>-385717</wp:posOffset>
            </wp:positionV>
            <wp:extent cx="5267960" cy="7434580"/>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5267960" cy="7434580"/>
                    </a:xfrm>
                    <a:prstGeom prst="rect">
                      <a:avLst/>
                    </a:prstGeom>
                  </pic:spPr>
                </pic:pic>
              </a:graphicData>
            </a:graphic>
          </wp:anchor>
        </w:drawing>
      </w:r>
    </w:p>
    <w:p w14:paraId="3DA1C117" w14:textId="5ECF7685" w:rsidR="00CB6041" w:rsidRPr="008444C3" w:rsidRDefault="008444C3">
      <w:pPr>
        <w:rPr>
          <w:lang w:val="en-US"/>
        </w:rPr>
      </w:pPr>
      <w:bookmarkStart w:id="0" w:name="_GoBack"/>
      <w:bookmarkEnd w:id="0"/>
      <w:r w:rsidRPr="008444C3">
        <w:rPr>
          <w:lang w:val="en-US"/>
        </w:rPr>
        <w:t>Supplementary Figure</w:t>
      </w:r>
      <w:r w:rsidRPr="008444C3">
        <w:rPr>
          <w:lang w:val="en-US"/>
        </w:rPr>
        <w:t xml:space="preserve"> S3. </w:t>
      </w:r>
      <w:r w:rsidRPr="008444C3">
        <w:rPr>
          <w:b/>
          <w:bCs/>
          <w:lang w:val="en-US"/>
        </w:rPr>
        <w:t xml:space="preserve">Purification of wt NamPT and </w:t>
      </w:r>
      <w:r>
        <w:rPr>
          <w:b/>
          <w:bCs/>
        </w:rPr>
        <w:t>Δ</w:t>
      </w:r>
      <w:r w:rsidRPr="008444C3">
        <w:rPr>
          <w:b/>
          <w:bCs/>
          <w:lang w:val="en-US"/>
        </w:rPr>
        <w:t>42-51 NamPT.</w:t>
      </w:r>
      <w:r w:rsidRPr="008444C3">
        <w:rPr>
          <w:lang w:val="en-US"/>
        </w:rPr>
        <w:t xml:space="preserve"> A) Elution profile of wildtype NamPT and mutant </w:t>
      </w:r>
      <w:r>
        <w:t>Δ</w:t>
      </w:r>
      <w:r w:rsidRPr="008444C3">
        <w:rPr>
          <w:lang w:val="en-US"/>
        </w:rPr>
        <w:t xml:space="preserve">42-51 on size-exclusion chromatography using a Superdex 200 16/60 column. B) Coomassie stained denaturating SDS-PAGE analysis of </w:t>
      </w:r>
      <w:r>
        <w:t>Δ</w:t>
      </w:r>
      <w:r w:rsidRPr="008444C3">
        <w:rPr>
          <w:lang w:val="en-US"/>
        </w:rPr>
        <w:t>42-51 NamPT (lane 1) and wt N</w:t>
      </w:r>
      <w:r w:rsidRPr="008444C3">
        <w:rPr>
          <w:lang w:val="en-US"/>
        </w:rPr>
        <w:t>amPT (lane 2). 3 µg of pooled enzyme eluted from SEC loaded onto the gel. C) The column was calibrated with apronitin 6.5 kDa, ovalbumine 42.7 kDa, coalbumine 75 kDa and blue dextran 2000 kDa. The partition coefficient (Kav) was determined for each standar</w:t>
      </w:r>
      <w:r w:rsidRPr="008444C3">
        <w:rPr>
          <w:lang w:val="en-US"/>
        </w:rPr>
        <w:t>d (light grey squares) and plotted versus log</w:t>
      </w:r>
      <w:r w:rsidRPr="008444C3">
        <w:rPr>
          <w:vertAlign w:val="subscript"/>
          <w:lang w:val="en-US"/>
        </w:rPr>
        <w:t>10</w:t>
      </w:r>
      <w:r w:rsidRPr="008444C3">
        <w:rPr>
          <w:lang w:val="en-US"/>
        </w:rPr>
        <w:t xml:space="preserve"> molecular weight. The Kav was determined for wt NamPT and </w:t>
      </w:r>
      <w:r>
        <w:t>Δ</w:t>
      </w:r>
      <w:r w:rsidRPr="008444C3">
        <w:rPr>
          <w:lang w:val="en-US"/>
        </w:rPr>
        <w:t>42-51 NamPT and the apparent molecular weight calculated to be 135 kDa and 110 kDa, respectively.</w:t>
      </w:r>
      <w:r w:rsidRPr="008444C3">
        <w:rPr>
          <w:lang w:val="en-US"/>
        </w:rPr>
        <w:br w:type="page"/>
      </w:r>
    </w:p>
    <w:p w14:paraId="01796228" w14:textId="77777777" w:rsidR="00CB6041" w:rsidRPr="008444C3" w:rsidRDefault="008444C3">
      <w:pPr>
        <w:rPr>
          <w:lang w:val="en-US"/>
        </w:rPr>
      </w:pPr>
      <w:r>
        <w:rPr>
          <w:noProof/>
        </w:rPr>
        <w:lastRenderedPageBreak/>
        <w:drawing>
          <wp:anchor distT="0" distB="0" distL="0" distR="0" simplePos="0" relativeHeight="4" behindDoc="0" locked="0" layoutInCell="1" allowOverlap="1" wp14:anchorId="750BE0E0" wp14:editId="63BEDA0C">
            <wp:simplePos x="0" y="0"/>
            <wp:positionH relativeFrom="column">
              <wp:align>center</wp:align>
            </wp:positionH>
            <wp:positionV relativeFrom="paragraph">
              <wp:posOffset>635</wp:posOffset>
            </wp:positionV>
            <wp:extent cx="6120130" cy="437832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6120130" cy="4378325"/>
                    </a:xfrm>
                    <a:prstGeom prst="rect">
                      <a:avLst/>
                    </a:prstGeom>
                  </pic:spPr>
                </pic:pic>
              </a:graphicData>
            </a:graphic>
          </wp:anchor>
        </w:drawing>
      </w:r>
    </w:p>
    <w:p w14:paraId="28B740FF" w14:textId="77777777" w:rsidR="00CB6041" w:rsidRPr="008444C3" w:rsidRDefault="008444C3">
      <w:pPr>
        <w:rPr>
          <w:lang w:val="en-US"/>
        </w:rPr>
      </w:pPr>
      <w:r w:rsidRPr="008444C3">
        <w:rPr>
          <w:lang w:val="en-US"/>
        </w:rPr>
        <w:t xml:space="preserve">Supplementary Figure S4. </w:t>
      </w:r>
      <w:r w:rsidRPr="008444C3">
        <w:rPr>
          <w:b/>
          <w:bCs/>
          <w:lang w:val="en-US"/>
        </w:rPr>
        <w:t>NMR measurement of NamP</w:t>
      </w:r>
      <w:r w:rsidRPr="008444C3">
        <w:rPr>
          <w:b/>
          <w:bCs/>
          <w:lang w:val="en-US"/>
        </w:rPr>
        <w:t xml:space="preserve">T activity. </w:t>
      </w:r>
      <w:r w:rsidRPr="008444C3">
        <w:rPr>
          <w:lang w:val="en-US"/>
        </w:rPr>
        <w:t>NamPT activity was measured as described in Experimental Procedures and product (NMN) formation was detected using 1D 1H NMR spectroscopy. Inset on the right: molecular structure of NMN with the atom detected by NMR indicated by an arrow. The r</w:t>
      </w:r>
      <w:r w:rsidRPr="008444C3">
        <w:rPr>
          <w:lang w:val="en-US"/>
        </w:rPr>
        <w:t>ange used for NMN detection in typical 1D 1H NMR spectra of the enzymatic reactions is shown. NMN quantification was done with the singlet detected at 9.52 ppm. From the top to the bottom, peak detection of NMN standard (200 µM), wildtype NamPT (1 mM Nam a</w:t>
      </w:r>
      <w:r w:rsidRPr="008444C3">
        <w:rPr>
          <w:lang w:val="en-US"/>
        </w:rPr>
        <w:t xml:space="preserve">nd 1 mM PRPP), mutant </w:t>
      </w:r>
      <w:r>
        <w:t>Δ</w:t>
      </w:r>
      <w:r w:rsidRPr="008444C3">
        <w:rPr>
          <w:lang w:val="en-US"/>
        </w:rPr>
        <w:t xml:space="preserve">42-51 NamPT (1 mM Nam and 1 mM PRPP), wildtype NamPT with FK866, and mutant </w:t>
      </w:r>
      <w:r>
        <w:t>Δ</w:t>
      </w:r>
      <w:r w:rsidRPr="008444C3">
        <w:rPr>
          <w:lang w:val="en-US"/>
        </w:rPr>
        <w:t>42-51 NamPT with FK866. Incubation with inhibitor FK866 was done for 30 min at 30 °C.</w:t>
      </w:r>
      <w:r w:rsidRPr="008444C3">
        <w:rPr>
          <w:lang w:val="en-US"/>
        </w:rPr>
        <w:br w:type="page"/>
      </w:r>
    </w:p>
    <w:p w14:paraId="19452D6A" w14:textId="77777777" w:rsidR="00CB6041" w:rsidRPr="008444C3" w:rsidRDefault="008444C3">
      <w:pPr>
        <w:rPr>
          <w:lang w:val="en-US"/>
        </w:rPr>
      </w:pPr>
      <w:r>
        <w:rPr>
          <w:noProof/>
        </w:rPr>
        <w:lastRenderedPageBreak/>
        <w:drawing>
          <wp:anchor distT="0" distB="0" distL="0" distR="0" simplePos="0" relativeHeight="5" behindDoc="0" locked="0" layoutInCell="1" allowOverlap="1" wp14:anchorId="2BBFF51F" wp14:editId="7E2B7C47">
            <wp:simplePos x="0" y="0"/>
            <wp:positionH relativeFrom="column">
              <wp:align>center</wp:align>
            </wp:positionH>
            <wp:positionV relativeFrom="paragraph">
              <wp:posOffset>635</wp:posOffset>
            </wp:positionV>
            <wp:extent cx="6113780" cy="382143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6113780" cy="3821430"/>
                    </a:xfrm>
                    <a:prstGeom prst="rect">
                      <a:avLst/>
                    </a:prstGeom>
                  </pic:spPr>
                </pic:pic>
              </a:graphicData>
            </a:graphic>
          </wp:anchor>
        </w:drawing>
      </w:r>
      <w:r w:rsidRPr="008444C3">
        <w:rPr>
          <w:lang w:val="en-US"/>
        </w:rPr>
        <w:t>Supplementary Figure S5. Root mean square deviation (RMSD) with resp</w:t>
      </w:r>
      <w:r w:rsidRPr="008444C3">
        <w:rPr>
          <w:lang w:val="en-US"/>
        </w:rPr>
        <w:t>ect to initial structure for simulation of NamPT with loop insertion (red) and without loop insertion (blue), respectively. The RMSD values for the entire simulation (in total 1000 ns) show stable structures with small fluctuations.</w:t>
      </w:r>
    </w:p>
    <w:sectPr w:rsidR="00CB6041" w:rsidRPr="008444C3">
      <w:pgSz w:w="11906" w:h="16838"/>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B0604020202020204"/>
    <w:charset w:val="01"/>
    <w:family w:val="roman"/>
    <w:pitch w:val="variable"/>
  </w:font>
  <w:font w:name="WenQuanYi Micro Hei">
    <w:panose1 w:val="020B0604020202020204"/>
    <w:charset w:val="00"/>
    <w:family w:val="roman"/>
    <w:notTrueType/>
    <w:pitch w:val="default"/>
  </w:font>
  <w:font w:name="Lohit Devanagari">
    <w:altName w:val="Cambria"/>
    <w:panose1 w:val="020B0604020202020204"/>
    <w:charset w:val="00"/>
    <w:family w:val="roman"/>
    <w:notTrueType/>
    <w:pitch w:val="default"/>
  </w:font>
  <w:font w:name="Times New Roman">
    <w:panose1 w:val="02020603050405020304"/>
    <w:charset w:val="00"/>
    <w:family w:val="roman"/>
    <w:pitch w:val="variable"/>
    <w:sig w:usb0="E0002AEF" w:usb1="C0007841" w:usb2="00000009" w:usb3="00000000" w:csb0="000001FF" w:csb1="00000000"/>
  </w:font>
  <w:font w:name="Liberation Sans">
    <w:altName w:val="Arial"/>
    <w:panose1 w:val="020B0604020202020204"/>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grammar="clean"/>
  <w:defaultTabStop w:val="680"/>
  <w:characterSpacingControl w:val="doNotCompress"/>
  <w:compat>
    <w:compatSetting w:name="compatibilityMode" w:uri="http://schemas.microsoft.com/office/word" w:val="12"/>
    <w:compatSetting w:name="useWord2013TrackBottomHyphenation" w:uri="http://schemas.microsoft.com/office/word" w:val="1"/>
  </w:compat>
  <w:rsids>
    <w:rsidRoot w:val="00CB6041"/>
    <w:rsid w:val="008444C3"/>
    <w:rsid w:val="00CB604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20EE3AF1"/>
  <w15:docId w15:val="{FDE22C3C-C97C-3C46-84CE-DA16827E9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WenQuanYi Micro Hei" w:hAnsi="Liberation Serif" w:cs="Lohit Devanagari"/>
        <w:szCs w:val="24"/>
        <w:lang w:val="nb-NO"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38451-19B7-6944-9288-93176CA66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Pages>
  <Words>339</Words>
  <Characters>1938</Characters>
  <Application>Microsoft Office Word</Application>
  <DocSecurity>0</DocSecurity>
  <Lines>16</Lines>
  <Paragraphs>4</Paragraphs>
  <ScaleCrop>false</ScaleCrop>
  <Company/>
  <LinksUpToDate>false</LinksUpToDate>
  <CharactersWithSpaces>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B. </dc:creator>
  <dc:description/>
  <cp:lastModifiedBy>Ines Heiland</cp:lastModifiedBy>
  <cp:revision>6</cp:revision>
  <dcterms:created xsi:type="dcterms:W3CDTF">2018-11-28T14:56:00Z</dcterms:created>
  <dcterms:modified xsi:type="dcterms:W3CDTF">2018-11-30T11:15:00Z</dcterms:modified>
  <dc:language>nb-NO</dc:language>
</cp:coreProperties>
</file>