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2C09" w14:textId="0D55345E" w:rsidR="008E6512" w:rsidRPr="00E03DE0" w:rsidRDefault="00F5064F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Documentation</w:t>
      </w:r>
    </w:p>
    <w:bookmarkEnd w:id="0"/>
    <w:p w14:paraId="250B3F25" w14:textId="4F4ADA35" w:rsidR="00C568D7" w:rsidRPr="00E03DE0" w:rsidRDefault="00F5064F" w:rsidP="00974967">
      <w:pPr>
        <w:pStyle w:val="Title"/>
        <w:rPr>
          <w:color w:val="E03326"/>
        </w:rPr>
      </w:pPr>
      <w:r>
        <w:t>Création de nouveau bloque</w:t>
      </w:r>
    </w:p>
    <w:p w14:paraId="3B823B3E" w14:textId="53E55DAA" w:rsidR="00974967" w:rsidRPr="00E03DE0" w:rsidRDefault="00F5064F" w:rsidP="00C77E95">
      <w:pPr>
        <w:pStyle w:val="Heading1"/>
      </w:pPr>
      <w:r>
        <w:t>Introduction</w:t>
      </w:r>
    </w:p>
    <w:p w14:paraId="0E279A56" w14:textId="2E7C3490" w:rsidR="00974967" w:rsidRPr="00985F5C" w:rsidRDefault="00F5064F" w:rsidP="00F5064F">
      <w:r>
        <w:t>Ce document décrit les étapes de création d’un bloque custom dans OpenPLC</w:t>
      </w:r>
      <w:r w:rsidR="002E77BA">
        <w:t xml:space="preserve"> sans utiliser l’outil d’import</w:t>
      </w:r>
      <w:r>
        <w:t xml:space="preserve">. La plus part de ces étapes sont décrit plus en détails dans leur </w:t>
      </w:r>
      <w:hyperlink r:id="rId8" w:history="1">
        <w:r w:rsidRPr="00F5064F">
          <w:rPr>
            <w:rStyle w:val="Hyperlink"/>
          </w:rPr>
          <w:t>documentation</w:t>
        </w:r>
      </w:hyperlink>
      <w:r>
        <w:t>.</w:t>
      </w:r>
    </w:p>
    <w:p w14:paraId="7DAA61B9" w14:textId="656E112F" w:rsidR="00974967" w:rsidRDefault="00974967" w:rsidP="00F5064F">
      <w:pPr>
        <w:pStyle w:val="Heading1"/>
      </w:pPr>
      <w:r w:rsidRPr="00E03DE0">
        <w:t>Description</w:t>
      </w:r>
    </w:p>
    <w:p w14:paraId="7C309B28" w14:textId="0DAA0614" w:rsidR="00F5064F" w:rsidRDefault="002014F9" w:rsidP="00F5064F">
      <w:pPr>
        <w:pStyle w:val="ListParagraph"/>
        <w:numPr>
          <w:ilvl w:val="0"/>
          <w:numId w:val="24"/>
        </w:numPr>
      </w:pPr>
      <w:r w:rsidRPr="002014F9">
        <w:t>editor\plcopen\definitions.py</w:t>
      </w:r>
      <w:r>
        <w:t xml:space="preserve"> : Ajouter la référence vers l’XML ou seront stoker la liste de bloque de cette </w:t>
      </w:r>
      <w:r w:rsidR="000005BF">
        <w:t>librairie</w:t>
      </w:r>
      <w:r>
        <w:t>.</w:t>
      </w:r>
    </w:p>
    <w:p w14:paraId="52EC6339" w14:textId="77777777" w:rsidR="002014F9" w:rsidRPr="002014F9" w:rsidRDefault="002014F9" w:rsidP="00201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20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StdTC6Libs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= [</w:t>
      </w:r>
    </w:p>
    <w:p w14:paraId="69FADD38" w14:textId="667FF4B1" w:rsidR="002014F9" w:rsidRDefault="004A0394" w:rsidP="00201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              </w:t>
      </w:r>
      <w:r w:rsid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...</w:t>
      </w:r>
    </w:p>
    <w:p w14:paraId="5751975C" w14:textId="584F2EE5" w:rsidR="002014F9" w:rsidRDefault="002014F9" w:rsidP="00201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  (</w:t>
      </w:r>
      <w:r w:rsidRPr="0020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20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"AW9523B"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), </w:t>
      </w:r>
      <w:r w:rsidRPr="002014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join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2014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sd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r w:rsidRPr="0020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"AW9523B.xml"</w:t>
      </w: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))</w:t>
      </w:r>
      <w:r w:rsid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,</w:t>
      </w:r>
    </w:p>
    <w:p w14:paraId="069D94CA" w14:textId="422138B7" w:rsidR="00C02D22" w:rsidRPr="002014F9" w:rsidRDefault="00C02D22" w:rsidP="00C02D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              (</w:t>
      </w:r>
      <w:r w:rsidRPr="00C02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_</w:t>
      </w: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C02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"RLY08"</w:t>
      </w: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), </w:t>
      </w:r>
      <w:r w:rsidRPr="00C02D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ko-KR"/>
          <w14:ligatures w14:val="none"/>
        </w:rPr>
        <w:t>join</w:t>
      </w: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(</w:t>
      </w:r>
      <w:r w:rsidRPr="00C02D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ko-KR"/>
          <w14:ligatures w14:val="none"/>
        </w:rPr>
        <w:t>sd</w:t>
      </w: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 xml:space="preserve">, </w:t>
      </w:r>
      <w:r w:rsidRPr="00C02D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"RLY08.xml"</w:t>
      </w:r>
      <w:r w:rsidRPr="00C02D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)</w:t>
      </w:r>
    </w:p>
    <w:p w14:paraId="73C2E8DB" w14:textId="4A99D870" w:rsidR="002014F9" w:rsidRPr="002014F9" w:rsidRDefault="002014F9" w:rsidP="00F40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201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]</w:t>
      </w:r>
    </w:p>
    <w:p w14:paraId="4E59A5BD" w14:textId="77777777" w:rsidR="002014F9" w:rsidRPr="00F5064F" w:rsidRDefault="002014F9" w:rsidP="002014F9"/>
    <w:p w14:paraId="3906EB77" w14:textId="0CCB4DB6" w:rsidR="00AD33F1" w:rsidRDefault="000005BF" w:rsidP="000005BF">
      <w:pPr>
        <w:pStyle w:val="ListParagraph"/>
        <w:numPr>
          <w:ilvl w:val="0"/>
          <w:numId w:val="24"/>
        </w:numPr>
      </w:pPr>
      <w:r w:rsidRPr="000005BF">
        <w:t>editor\plcopen\</w:t>
      </w:r>
      <w:r w:rsidR="000515CD" w:rsidRPr="00B3581F">
        <w:t>AW9523B</w:t>
      </w:r>
      <w:r w:rsidRPr="000005BF">
        <w:t>.xml</w:t>
      </w:r>
      <w:r>
        <w:t> : Définition des bloques contenue dans librairie.</w:t>
      </w:r>
      <w:r w:rsidR="00B71437">
        <w:t xml:space="preserve"> (cf. doc)</w:t>
      </w:r>
      <w:r>
        <w:t xml:space="preserve"> Attention</w:t>
      </w:r>
      <w:r w:rsidR="00AD33F1">
        <w:t xml:space="preserve"> : </w:t>
      </w:r>
    </w:p>
    <w:p w14:paraId="046E25B0" w14:textId="5B507DCD" w:rsidR="00AD33F1" w:rsidRDefault="00AD33F1" w:rsidP="00AD33F1">
      <w:pPr>
        <w:pStyle w:val="ListParagraph"/>
        <w:numPr>
          <w:ilvl w:val="1"/>
          <w:numId w:val="24"/>
        </w:numPr>
      </w:pPr>
      <w:r>
        <w:t>D</w:t>
      </w:r>
      <w:r w:rsidR="000005BF">
        <w:t>eux bloques ne peuvent pas avoir le même nom même si ils sont située dans deux librairies différente</w:t>
      </w:r>
      <w:r>
        <w:t xml:space="preserve">. </w:t>
      </w:r>
    </w:p>
    <w:p w14:paraId="303F6BA8" w14:textId="4AE5CD93" w:rsidR="00E03DE0" w:rsidRDefault="00AD33F1" w:rsidP="00AD33F1">
      <w:pPr>
        <w:pStyle w:val="ListParagraph"/>
        <w:numPr>
          <w:ilvl w:val="1"/>
          <w:numId w:val="24"/>
        </w:numPr>
      </w:pPr>
      <w:r>
        <w:t>Tout les noms de variable doit être en majuscule</w:t>
      </w:r>
    </w:p>
    <w:p w14:paraId="6D154EE8" w14:textId="373A8C59" w:rsidR="00906482" w:rsidRDefault="00B3581F" w:rsidP="000005BF">
      <w:pPr>
        <w:pStyle w:val="ListParagraph"/>
        <w:numPr>
          <w:ilvl w:val="0"/>
          <w:numId w:val="24"/>
        </w:numPr>
      </w:pPr>
      <w:r w:rsidRPr="00B3581F">
        <w:t>matiec\lib\AW9523B.txt</w:t>
      </w:r>
      <w:r>
        <w:t> </w:t>
      </w:r>
      <w:r w:rsidR="000515CD">
        <w:t>/</w:t>
      </w:r>
      <w:r w:rsidR="000515CD" w:rsidRPr="000515CD">
        <w:t xml:space="preserve"> editor\arduino\src\lib\AW9523B.txt</w:t>
      </w:r>
      <w:r>
        <w:t>: Définition de la fonction pour le compilateur</w:t>
      </w:r>
      <w:r w:rsidR="00036F98">
        <w:t>. A note que le programme ne peut pas être vide.</w:t>
      </w:r>
    </w:p>
    <w:p w14:paraId="57993850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FUNCTION_BLOCK DQ_1</w:t>
      </w:r>
    </w:p>
    <w:p w14:paraId="2C122AB5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VAR_INPUT</w:t>
      </w:r>
    </w:p>
    <w:p w14:paraId="4FFD2CD5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B_AD : BYTE;</w:t>
      </w:r>
    </w:p>
    <w:p w14:paraId="3EADC15E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P_AD : BYTE;</w:t>
      </w:r>
    </w:p>
    <w:p w14:paraId="2AE012C2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Pin : BOOL;</w:t>
      </w:r>
    </w:p>
    <w:p w14:paraId="713C6D9F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END_VAR</w:t>
      </w:r>
    </w:p>
    <w:p w14:paraId="3646621A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VAR_OUTPUT</w:t>
      </w:r>
    </w:p>
    <w:p w14:paraId="452E444E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DUMMY : BOOL;</w:t>
      </w:r>
    </w:p>
    <w:p w14:paraId="1AFF3B68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END_VAR</w:t>
      </w:r>
    </w:p>
    <w:p w14:paraId="4C96BACE" w14:textId="77777777" w:rsidR="00DC4BB9" w:rsidRPr="00DC4BB9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DUMMY := 0;</w:t>
      </w:r>
    </w:p>
    <w:p w14:paraId="1253C89C" w14:textId="0F52293D" w:rsidR="00036F98" w:rsidRPr="00FA6C44" w:rsidRDefault="00DC4BB9" w:rsidP="00DC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DC4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END_FUNCTION_BLOCK</w:t>
      </w:r>
    </w:p>
    <w:p w14:paraId="5C833DC1" w14:textId="77777777" w:rsidR="00FA6C44" w:rsidRDefault="00FA6C44" w:rsidP="00FA6C44">
      <w:pPr>
        <w:ind w:left="0"/>
      </w:pPr>
    </w:p>
    <w:p w14:paraId="0501050A" w14:textId="22B77513" w:rsidR="00FA6C44" w:rsidRDefault="00FA6C44" w:rsidP="00FA6C44">
      <w:pPr>
        <w:pStyle w:val="ListParagraph"/>
        <w:numPr>
          <w:ilvl w:val="0"/>
          <w:numId w:val="24"/>
        </w:numPr>
      </w:pPr>
      <w:r w:rsidRPr="00FA6C44">
        <w:t>matiec\lib\standard_FB.txt</w:t>
      </w:r>
      <w:r w:rsidR="000515CD">
        <w:t xml:space="preserve"> /</w:t>
      </w:r>
      <w:r w:rsidR="000515CD" w:rsidRPr="000515CD">
        <w:t xml:space="preserve"> editor\arduino\src\lib\standard_FB.txt</w:t>
      </w:r>
      <w:r>
        <w:t xml:space="preserve"> : inclusion des fonctions définis </w:t>
      </w:r>
    </w:p>
    <w:p w14:paraId="657DAD4D" w14:textId="77777777" w:rsidR="00FA6C44" w:rsidRPr="00FA6C44" w:rsidRDefault="00FA6C44" w:rsidP="00FA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FA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{#include "AW9523B.txt"}</w:t>
      </w:r>
    </w:p>
    <w:p w14:paraId="216E5923" w14:textId="77777777" w:rsidR="00FA6C44" w:rsidRPr="00FA6C44" w:rsidRDefault="00FA6C44" w:rsidP="00FA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FA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lastRenderedPageBreak/>
        <w:t>{#include "RLY08.txt"}</w:t>
      </w:r>
    </w:p>
    <w:p w14:paraId="6D5C5228" w14:textId="215E585A" w:rsidR="00FA6C44" w:rsidRDefault="00FA6C44" w:rsidP="00FA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FA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  <w:t>{enable code generation}</w:t>
      </w:r>
    </w:p>
    <w:p w14:paraId="7013D79F" w14:textId="77777777" w:rsidR="00FA6C44" w:rsidRDefault="00FA6C44" w:rsidP="00FA6C44">
      <w:pPr>
        <w:ind w:left="0"/>
      </w:pPr>
    </w:p>
    <w:p w14:paraId="3DCED190" w14:textId="320F66E3" w:rsidR="00FA6C44" w:rsidRDefault="00B71437" w:rsidP="00FA6C44">
      <w:pPr>
        <w:pStyle w:val="ListParagraph"/>
        <w:numPr>
          <w:ilvl w:val="0"/>
          <w:numId w:val="24"/>
        </w:numPr>
      </w:pPr>
      <w:r w:rsidRPr="00B71437">
        <w:t>matiec\lib\C\AW9523B.h</w:t>
      </w:r>
      <w:r>
        <w:t xml:space="preserve"> : </w:t>
      </w:r>
      <w:r w:rsidR="006558B1">
        <w:t>Définition</w:t>
      </w:r>
      <w:r>
        <w:t xml:space="preserve"> des fonctions en C</w:t>
      </w:r>
      <w:r w:rsidRPr="00B71437">
        <w:t xml:space="preserve"> </w:t>
      </w:r>
      <w:r>
        <w:t>(cf. doc)</w:t>
      </w:r>
    </w:p>
    <w:p w14:paraId="1EF09E62" w14:textId="34948112" w:rsidR="00B71437" w:rsidRDefault="00B71437" w:rsidP="00FA6C44">
      <w:pPr>
        <w:pStyle w:val="ListParagraph"/>
        <w:numPr>
          <w:ilvl w:val="0"/>
          <w:numId w:val="24"/>
        </w:numPr>
      </w:pPr>
      <w:r w:rsidRPr="00B71437">
        <w:t>matiec\lib\C\iec_std_FB.h</w:t>
      </w:r>
      <w:r>
        <w:t> :</w:t>
      </w:r>
      <w:r w:rsidR="006558B1">
        <w:t xml:space="preserve"> Inclusion du fichier C</w:t>
      </w:r>
    </w:p>
    <w:p w14:paraId="0892A4DC" w14:textId="77777777" w:rsidR="00E92332" w:rsidRPr="00E92332" w:rsidRDefault="00E92332" w:rsidP="00E9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E9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#include</w:t>
      </w:r>
      <w:r w:rsidRPr="00E9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ko-KR"/>
          <w14:ligatures w14:val="none"/>
        </w:rPr>
        <w:t xml:space="preserve"> </w:t>
      </w:r>
      <w:r w:rsidRPr="00E9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ko-KR"/>
          <w14:ligatures w14:val="none"/>
        </w:rPr>
        <w:t>"AW9523B.h"</w:t>
      </w:r>
    </w:p>
    <w:p w14:paraId="7CCB2E50" w14:textId="77777777" w:rsidR="00E92332" w:rsidRPr="00E92332" w:rsidRDefault="00E92332" w:rsidP="00E9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</w:p>
    <w:p w14:paraId="739B5309" w14:textId="750B7104" w:rsidR="00E92332" w:rsidRPr="00E92332" w:rsidRDefault="00E92332" w:rsidP="00E92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ko-KR"/>
          <w14:ligatures w14:val="none"/>
        </w:rPr>
      </w:pPr>
      <w:r w:rsidRPr="00E9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ko-KR"/>
          <w14:ligatures w14:val="none"/>
        </w:rPr>
        <w:t>#endif</w:t>
      </w:r>
      <w:r w:rsidRPr="00E923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ko-KR"/>
          <w14:ligatures w14:val="none"/>
        </w:rPr>
        <w:t xml:space="preserve"> //_IEC_STD_FB_H</w:t>
      </w:r>
    </w:p>
    <w:p w14:paraId="3296C63A" w14:textId="77777777" w:rsidR="00E92332" w:rsidRDefault="00E92332" w:rsidP="00E92332"/>
    <w:p w14:paraId="6333D79B" w14:textId="77777777" w:rsidR="00B71437" w:rsidRPr="00FA6C44" w:rsidRDefault="00B71437" w:rsidP="00B71437"/>
    <w:sectPr w:rsidR="00B71437" w:rsidRPr="00FA6C44" w:rsidSect="00D12F55">
      <w:headerReference w:type="default" r:id="rId9"/>
      <w:footerReference w:type="default" r:id="rId10"/>
      <w:footerReference w:type="first" r:id="rId11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41DF" w14:textId="77777777" w:rsidR="00997767" w:rsidRPr="00E03DE0" w:rsidRDefault="00997767" w:rsidP="00312E94">
      <w:r w:rsidRPr="00E03DE0">
        <w:separator/>
      </w:r>
    </w:p>
  </w:endnote>
  <w:endnote w:type="continuationSeparator" w:id="0">
    <w:p w14:paraId="00F2940D" w14:textId="77777777" w:rsidR="00997767" w:rsidRPr="00E03DE0" w:rsidRDefault="00997767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5B64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ACE341" wp14:editId="4797034A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65FD16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CE341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0765FD16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188506F6" w14:textId="025C7B31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2E77BA">
        <w:rPr>
          <w:noProof/>
        </w:rPr>
        <w:t>13/01/2025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EC753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E03F5" w14:textId="77777777" w:rsidR="00997767" w:rsidRPr="00E03DE0" w:rsidRDefault="00997767" w:rsidP="00312E94">
      <w:r w:rsidRPr="00E03DE0">
        <w:separator/>
      </w:r>
    </w:p>
  </w:footnote>
  <w:footnote w:type="continuationSeparator" w:id="0">
    <w:p w14:paraId="1FCD24E7" w14:textId="77777777" w:rsidR="00997767" w:rsidRPr="00E03DE0" w:rsidRDefault="00997767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4D36D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6311909E" wp14:editId="33E5DF1B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612FEEF0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2CFB31E0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06EE4E39" w14:textId="7897747E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2E77BA">
            <w:rPr>
              <w:b/>
              <w:noProof/>
              <w:color w:val="FFFFFF" w:themeColor="background1"/>
              <w:spacing w:val="30"/>
              <w:lang w:val="fr-FR" w:eastAsia="ja-JP"/>
            </w:rPr>
            <w:t>Documentation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7F3B9CCC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3BB52A47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5805613"/>
    <w:multiLevelType w:val="hybridMultilevel"/>
    <w:tmpl w:val="81B8FF6A"/>
    <w:lvl w:ilvl="0" w:tplc="D93A2C0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86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7"/>
  </w:num>
  <w:num w:numId="2" w16cid:durableId="637879307">
    <w:abstractNumId w:val="23"/>
  </w:num>
  <w:num w:numId="3" w16cid:durableId="906380314">
    <w:abstractNumId w:val="21"/>
  </w:num>
  <w:num w:numId="4" w16cid:durableId="1048532790">
    <w:abstractNumId w:val="19"/>
  </w:num>
  <w:num w:numId="5" w16cid:durableId="2141534075">
    <w:abstractNumId w:val="20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8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5"/>
  </w:num>
  <w:num w:numId="20" w16cid:durableId="1544906259">
    <w:abstractNumId w:val="14"/>
  </w:num>
  <w:num w:numId="21" w16cid:durableId="1567767092">
    <w:abstractNumId w:val="12"/>
  </w:num>
  <w:num w:numId="22" w16cid:durableId="1364525660">
    <w:abstractNumId w:val="16"/>
  </w:num>
  <w:num w:numId="23" w16cid:durableId="1877155760">
    <w:abstractNumId w:val="22"/>
  </w:num>
  <w:num w:numId="24" w16cid:durableId="1037006982">
    <w:abstractNumId w:val="13"/>
  </w:num>
  <w:num w:numId="25" w16cid:durableId="1335574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4F"/>
    <w:rsid w:val="000005BF"/>
    <w:rsid w:val="00002162"/>
    <w:rsid w:val="00023BD0"/>
    <w:rsid w:val="000269F3"/>
    <w:rsid w:val="00036F98"/>
    <w:rsid w:val="000515CD"/>
    <w:rsid w:val="00052ECF"/>
    <w:rsid w:val="00064D8D"/>
    <w:rsid w:val="000721E0"/>
    <w:rsid w:val="00074EEF"/>
    <w:rsid w:val="0008481C"/>
    <w:rsid w:val="000879AA"/>
    <w:rsid w:val="000B39E7"/>
    <w:rsid w:val="000C6579"/>
    <w:rsid w:val="000E6FDD"/>
    <w:rsid w:val="000F7285"/>
    <w:rsid w:val="001138B3"/>
    <w:rsid w:val="001225BD"/>
    <w:rsid w:val="00136963"/>
    <w:rsid w:val="00142DD1"/>
    <w:rsid w:val="00175374"/>
    <w:rsid w:val="001C4E3F"/>
    <w:rsid w:val="001D26DC"/>
    <w:rsid w:val="001D5AE4"/>
    <w:rsid w:val="001E6530"/>
    <w:rsid w:val="001F18A6"/>
    <w:rsid w:val="002014F9"/>
    <w:rsid w:val="002162FB"/>
    <w:rsid w:val="002316FD"/>
    <w:rsid w:val="0024191A"/>
    <w:rsid w:val="00256147"/>
    <w:rsid w:val="00280E8F"/>
    <w:rsid w:val="00285016"/>
    <w:rsid w:val="002857FF"/>
    <w:rsid w:val="002B0D44"/>
    <w:rsid w:val="002B39A2"/>
    <w:rsid w:val="002D1977"/>
    <w:rsid w:val="002E77BA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3E35BC"/>
    <w:rsid w:val="00405544"/>
    <w:rsid w:val="004421B8"/>
    <w:rsid w:val="004A0394"/>
    <w:rsid w:val="004A5199"/>
    <w:rsid w:val="004B054A"/>
    <w:rsid w:val="004C2C35"/>
    <w:rsid w:val="004C5DD7"/>
    <w:rsid w:val="004C70CA"/>
    <w:rsid w:val="004E0024"/>
    <w:rsid w:val="004F3CE2"/>
    <w:rsid w:val="005155C8"/>
    <w:rsid w:val="00534171"/>
    <w:rsid w:val="00543345"/>
    <w:rsid w:val="00590F14"/>
    <w:rsid w:val="005A7337"/>
    <w:rsid w:val="005C6CE2"/>
    <w:rsid w:val="005E1730"/>
    <w:rsid w:val="00601719"/>
    <w:rsid w:val="00614A17"/>
    <w:rsid w:val="00623DCB"/>
    <w:rsid w:val="006558B1"/>
    <w:rsid w:val="00673EF9"/>
    <w:rsid w:val="0068142B"/>
    <w:rsid w:val="006815E5"/>
    <w:rsid w:val="0068340D"/>
    <w:rsid w:val="006A0167"/>
    <w:rsid w:val="006A0A56"/>
    <w:rsid w:val="006A27FA"/>
    <w:rsid w:val="006B12D2"/>
    <w:rsid w:val="006D6804"/>
    <w:rsid w:val="006F4D63"/>
    <w:rsid w:val="00727DAD"/>
    <w:rsid w:val="00754129"/>
    <w:rsid w:val="00767726"/>
    <w:rsid w:val="007A3F07"/>
    <w:rsid w:val="007D03D3"/>
    <w:rsid w:val="007F3B81"/>
    <w:rsid w:val="008059DC"/>
    <w:rsid w:val="00815865"/>
    <w:rsid w:val="00817E42"/>
    <w:rsid w:val="0083208E"/>
    <w:rsid w:val="008627BA"/>
    <w:rsid w:val="00882B58"/>
    <w:rsid w:val="008922FD"/>
    <w:rsid w:val="008D03B9"/>
    <w:rsid w:val="008E6512"/>
    <w:rsid w:val="009063DE"/>
    <w:rsid w:val="00906482"/>
    <w:rsid w:val="0091348D"/>
    <w:rsid w:val="00923867"/>
    <w:rsid w:val="00924207"/>
    <w:rsid w:val="00924E85"/>
    <w:rsid w:val="00926765"/>
    <w:rsid w:val="00937866"/>
    <w:rsid w:val="009558A3"/>
    <w:rsid w:val="00961905"/>
    <w:rsid w:val="00974967"/>
    <w:rsid w:val="00985F5C"/>
    <w:rsid w:val="00995737"/>
    <w:rsid w:val="00997767"/>
    <w:rsid w:val="009A2578"/>
    <w:rsid w:val="00A21133"/>
    <w:rsid w:val="00A47D16"/>
    <w:rsid w:val="00A576C5"/>
    <w:rsid w:val="00A70254"/>
    <w:rsid w:val="00A93972"/>
    <w:rsid w:val="00AA7D51"/>
    <w:rsid w:val="00AB1380"/>
    <w:rsid w:val="00AD33F1"/>
    <w:rsid w:val="00AE03B1"/>
    <w:rsid w:val="00AF42A2"/>
    <w:rsid w:val="00B3581F"/>
    <w:rsid w:val="00B46AAB"/>
    <w:rsid w:val="00B71437"/>
    <w:rsid w:val="00BB6DB1"/>
    <w:rsid w:val="00BC0FEF"/>
    <w:rsid w:val="00BC647C"/>
    <w:rsid w:val="00BC6C0B"/>
    <w:rsid w:val="00BD2953"/>
    <w:rsid w:val="00BD5F72"/>
    <w:rsid w:val="00C02D22"/>
    <w:rsid w:val="00C17D2C"/>
    <w:rsid w:val="00C20125"/>
    <w:rsid w:val="00C2346A"/>
    <w:rsid w:val="00C3369E"/>
    <w:rsid w:val="00C53889"/>
    <w:rsid w:val="00C568D7"/>
    <w:rsid w:val="00C77E95"/>
    <w:rsid w:val="00C96DDE"/>
    <w:rsid w:val="00CB40C1"/>
    <w:rsid w:val="00CB742B"/>
    <w:rsid w:val="00CC0E94"/>
    <w:rsid w:val="00CC7541"/>
    <w:rsid w:val="00CE79DC"/>
    <w:rsid w:val="00D12F55"/>
    <w:rsid w:val="00D304E5"/>
    <w:rsid w:val="00D4604D"/>
    <w:rsid w:val="00D55EFC"/>
    <w:rsid w:val="00D64352"/>
    <w:rsid w:val="00D74127"/>
    <w:rsid w:val="00D75296"/>
    <w:rsid w:val="00DC4BB9"/>
    <w:rsid w:val="00DC5174"/>
    <w:rsid w:val="00DD7CA9"/>
    <w:rsid w:val="00DE3DEE"/>
    <w:rsid w:val="00DE7062"/>
    <w:rsid w:val="00E01F9B"/>
    <w:rsid w:val="00E03DE0"/>
    <w:rsid w:val="00E41498"/>
    <w:rsid w:val="00E92332"/>
    <w:rsid w:val="00ED2282"/>
    <w:rsid w:val="00F1585F"/>
    <w:rsid w:val="00F409FC"/>
    <w:rsid w:val="00F43619"/>
    <w:rsid w:val="00F5064F"/>
    <w:rsid w:val="00F522BE"/>
    <w:rsid w:val="00FA6C44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98377"/>
  <w15:chartTrackingRefBased/>
  <w15:docId w15:val="{0FDC80BB-DFB6-45C5-A62D-4952C3AD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19</cp:revision>
  <cp:lastPrinted>2024-10-01T15:01:00Z</cp:lastPrinted>
  <dcterms:created xsi:type="dcterms:W3CDTF">2024-11-12T13:52:00Z</dcterms:created>
  <dcterms:modified xsi:type="dcterms:W3CDTF">2025-01-13T08:48:00Z</dcterms:modified>
</cp:coreProperties>
</file>