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100"/>
        <w:jc w:val="center"/>
      </w:pPr>
      <w:r>
        <w:rPr>
          <w:rFonts w:ascii="Arial" w:cs="Arial" w:eastAsia="Arial" w:hAnsi="Arial"/>
          <w:b/>
          <w:bCs/>
          <w:color w:val="1B4F8A"/>
          <w:sz w:val="72"/>
          <w:szCs w:val="72"/>
        </w:rPr>
        <w:t xml:space="preserve">SÉMANTIQUE.IA</w:t>
      </w:r>
    </w:p>
    <w:p>
      <w:pPr>
        <w:spacing w:before="0" w:after="300"/>
        <w:jc w:val="center"/>
      </w:pPr>
      <w:r>
        <w:rPr>
          <w:rFonts w:ascii="Arial" w:cs="Arial" w:eastAsia="Arial" w:hAnsi="Arial"/>
          <w:i/>
          <w:iCs/>
          <w:color w:val="7F8C8D"/>
          <w:sz w:val="30"/>
          <w:szCs w:val="30"/>
        </w:rPr>
        <w:t xml:space="preserve">Votre entreprise, enfin visible par les intelligences artificielles</w:t>
      </w:r>
    </w:p>
    <w:p>
      <w:pPr>
        <w:pBdr>
          <w:bottom w:val="single" w:color="1B4F8A" w:sz="6" w:space="2"/>
        </w:pBdr>
        <w:spacing w:before="120" w:after="120"/>
      </w:pPr>
    </w:p>
    <w:p>
      <w:pPr>
        <w:spacing w:before="0" w:after="80"/>
      </w:pPr>
      <w:r>
        <w:t xml:space="preserve"/>
      </w:r>
    </w:p>
    <w:p>
      <w:pPr>
        <w:spacing w:before="0" w:after="600"/>
        <w:jc w:val="center"/>
      </w:pPr>
      <w:r>
        <w:rPr>
          <w:rFonts w:ascii="Arial" w:cs="Arial" w:eastAsia="Arial" w:hAnsi="Arial"/>
          <w:color w:val="7F8C8D"/>
          <w:sz w:val="24"/>
          <w:szCs w:val="24"/>
        </w:rPr>
        <w:t xml:space="preserve">Dossier de présentation — Prospects &amp; Investisseurs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00"/>
              <w:left w:type="dxa" w:w="150"/>
              <w:bottom w:type="dxa" w:w="100"/>
              <w:right w:type="dxa" w:w="150"/>
            </w:tcMar>
            <w:vAlign w:val="top"/>
          </w:tcPr>
          <w:p>
            <w:pPr>
              <w:spacing w:before="100" w:after="60"/>
              <w:jc w:val="center"/>
            </w:pPr>
            <w:r>
              <w:rPr>
                <w:rFonts w:ascii="Arial" w:cs="Arial" w:eastAsia="Arial" w:hAnsi="Arial"/>
                <w:i/>
                <w:iCs/>
                <w:color w:val="2C3E50"/>
                <w:sz w:val="26"/>
                <w:szCs w:val="26"/>
              </w:rPr>
              <w:t xml:space="preserve">« En 2025, être bien référencé sur Google ne suffit plus.</w:t>
            </w:r>
          </w:p>
          <w:p>
            <w:pPr>
              <w:spacing w:before="0" w:after="100"/>
              <w:jc w:val="center"/>
            </w:pPr>
            <w:r>
              <w:rPr>
                <w:rFonts w:ascii="Arial" w:cs="Arial" w:eastAsia="Arial" w:hAnsi="Arial"/>
                <w:b/>
                <w:bCs/>
                <w:i/>
                <w:iCs/>
                <w:color w:val="1B4F8A"/>
                <w:sz w:val="26"/>
                <w:szCs w:val="26"/>
              </w:rPr>
              <w:t xml:space="preserve">Il faut être compris par les IA. Nous automatisons cela. »</w:t>
            </w:r>
          </w:p>
        </w:tc>
      </w:tr>
    </w:tbl>
    <w:p>
      <w:pPr>
        <w:spacing w:before="0" w:after="80"/>
      </w:pPr>
      <w:r>
        <w:t xml:space="preserve"/>
      </w:r>
    </w:p>
    <w:p>
      <w:pPr>
        <w:spacing w:before="0" w:after="80"/>
      </w:pPr>
      <w:r>
        <w:t xml:space="preserve"/>
      </w:r>
    </w:p>
    <w:p>
      <w:r>
        <w:br w:type="page"/>
      </w:r>
    </w:p>
    <w:p>
      <w:pPr>
        <w:pStyle w:val="Heading1"/>
        <w:spacing w:before="400" w:after="160"/>
      </w:pPr>
      <w:r>
        <w:rPr>
          <w:rFonts w:ascii="Arial" w:cs="Arial" w:eastAsia="Arial" w:hAnsi="Arial"/>
          <w:b/>
          <w:bCs/>
          <w:color w:val="1B4F8A"/>
          <w:sz w:val="36"/>
          <w:szCs w:val="36"/>
        </w:rPr>
        <w:t xml:space="preserve">Le Problème — Invisible aux Yeux des IA</w:t>
      </w:r>
    </w:p>
    <w:p>
      <w:pPr>
        <w:spacing w:before="80" w:after="100" w:line="276"/>
        <w:jc w:val="both"/>
      </w:pPr>
      <w:r>
        <w:rPr>
          <w:rFonts w:ascii="Arial" w:cs="Arial" w:eastAsia="Arial" w:hAnsi="Arial"/>
          <w:b w:val="false"/>
          <w:bCs w:val="false"/>
          <w:i w:val="false"/>
          <w:iCs w:val="false"/>
          <w:color w:val="2C3E50"/>
          <w:sz w:val="22"/>
          <w:szCs w:val="22"/>
        </w:rPr>
        <w:t xml:space="preserve">Depuis 2023, un bouleversement silencieux transforme la façon dont les acheteurs trouvent des produits et services. Google SGE, ChatGPT, Bing Copilot, les assistants vocaux — ces intelligences artificielles répondent directement aux questions des utilisateurs, sans que ceux-ci cliquent sur un site web.</w:t>
      </w:r>
    </w:p>
    <w:p>
      <w:pPr>
        <w:spacing w:before="0" w:after="80"/>
      </w:pPr>
      <w:r>
        <w:t xml:space="preserve"/>
      </w:r>
    </w:p>
    <w:p>
      <w:pPr>
        <w:spacing w:before="80" w:after="100" w:line="276"/>
        <w:jc w:val="both"/>
      </w:pPr>
      <w:r>
        <w:rPr>
          <w:rFonts w:ascii="Arial" w:cs="Arial" w:eastAsia="Arial" w:hAnsi="Arial"/>
          <w:b w:val="false"/>
          <w:bCs w:val="false"/>
          <w:i w:val="false"/>
          <w:iCs w:val="false"/>
          <w:color w:val="2C3E50"/>
          <w:sz w:val="22"/>
          <w:szCs w:val="22"/>
        </w:rPr>
        <w:t xml:space="preserve">Le résultat est brutal : les entreprises qui ne "parlent pas le langage des IA" disparaissent de leur champ de vision, même si elles ont un excellent produit. Ce langage, c'est le JSON-LD et le schema.org — des métadonnées structurées que les moteurs lisent mais que les humains ne voient pas.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67E22"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2"/>
                <w:szCs w:val="22"/>
              </w:rPr>
              <w:t xml:space="preserve">LA RÉALITÉ AUJOURD'HUI</w:t>
            </w:r>
          </w:p>
        </w:tc>
        <w:tc>
          <w:tcPr>
            <w:tcW w:type="dxa" w:w="4680"/>
            <w:tcBorders>
              <w:top w:val="none" w:color="FFFFFF" w:sz="0"/>
              <w:left w:val="none" w:color="FFFFFF" w:sz="0"/>
              <w:bottom w:val="none" w:color="FFFFFF" w:sz="0"/>
              <w:right w:val="none" w:color="FFFFFF" w:sz="0"/>
            </w:tcBorders>
            <w:shd w:fill="1A7A4A"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2"/>
                <w:szCs w:val="22"/>
              </w:rPr>
              <w:t xml:space="preserve">CE QUE LES IA ATTENDENT</w:t>
            </w:r>
          </w:p>
        </w:tc>
      </w:tr>
      <w:tr>
        <w:tc>
          <w:tcPr>
            <w:tcW w:type="dxa" w:w="46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pStyle w:val="ListParagraph"/>
              <w:numPr>
                <w:ilvl w:val="0"/>
                <w:numId w:val="2"/>
              </w:numPr>
              <w:spacing w:before="60" w:after="60" w:line="264"/>
            </w:pPr>
            <w:r>
              <w:rPr>
                <w:rFonts w:ascii="Arial" w:cs="Arial" w:eastAsia="Arial" w:hAnsi="Arial"/>
                <w:color w:val="2C3E50"/>
                <w:sz w:val="22"/>
                <w:szCs w:val="22"/>
              </w:rPr>
              <w:t xml:space="preserve">95% des PME ont un JSON-LD inexistant ou incomplet</w:t>
            </w:r>
          </w:p>
          <w:p>
            <w:pPr>
              <w:pStyle w:val="ListParagraph"/>
              <w:numPr>
                <w:ilvl w:val="0"/>
                <w:numId w:val="2"/>
              </w:numPr>
              <w:spacing w:before="60" w:after="60" w:line="264"/>
            </w:pPr>
            <w:r>
              <w:rPr>
                <w:rFonts w:ascii="Arial" w:cs="Arial" w:eastAsia="Arial" w:hAnsi="Arial"/>
                <w:color w:val="2C3E50"/>
                <w:sz w:val="22"/>
                <w:szCs w:val="22"/>
              </w:rPr>
              <w:t xml:space="preserve">Les équipes marketing ne connaissent pas schema.org</w:t>
            </w:r>
          </w:p>
          <w:p>
            <w:pPr>
              <w:pStyle w:val="ListParagraph"/>
              <w:numPr>
                <w:ilvl w:val="0"/>
                <w:numId w:val="2"/>
              </w:numPr>
              <w:spacing w:before="60" w:after="60" w:line="264"/>
            </w:pPr>
            <w:r>
              <w:rPr>
                <w:rFonts w:ascii="Arial" w:cs="Arial" w:eastAsia="Arial" w:hAnsi="Arial"/>
                <w:color w:val="2C3E50"/>
                <w:sz w:val="22"/>
                <w:szCs w:val="22"/>
              </w:rPr>
              <w:t xml:space="preserve">Les agences SEO facturent 2 000–5 000 € pour un audit ponctuel qui se périme en 3 mois</w:t>
            </w:r>
          </w:p>
          <w:p>
            <w:pPr>
              <w:pStyle w:val="ListParagraph"/>
              <w:numPr>
                <w:ilvl w:val="0"/>
                <w:numId w:val="2"/>
              </w:numPr>
              <w:spacing w:before="60" w:after="60" w:line="264"/>
            </w:pPr>
            <w:r>
              <w:rPr>
                <w:rFonts w:ascii="Arial" w:cs="Arial" w:eastAsia="Arial" w:hAnsi="Arial"/>
                <w:color w:val="2C3E50"/>
                <w:sz w:val="22"/>
                <w:szCs w:val="22"/>
              </w:rPr>
              <w:t xml:space="preserve">Résultat : invisibilité croissante dans les réponses IA</w:t>
            </w:r>
          </w:p>
        </w:tc>
        <w:tc>
          <w:tcPr>
            <w:tcW w:type="dxa" w:w="46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pStyle w:val="ListParagraph"/>
              <w:numPr>
                <w:ilvl w:val="0"/>
                <w:numId w:val="2"/>
              </w:numPr>
              <w:spacing w:before="60" w:after="60" w:line="264"/>
            </w:pPr>
            <w:r>
              <w:rPr>
                <w:rFonts w:ascii="Arial" w:cs="Arial" w:eastAsia="Arial" w:hAnsi="Arial"/>
                <w:color w:val="2C3E50"/>
                <w:sz w:val="22"/>
                <w:szCs w:val="22"/>
              </w:rPr>
              <w:t xml:space="preserve">Des entités clairement typées (Product, Organization, FAQPage...)</w:t>
            </w:r>
          </w:p>
          <w:p>
            <w:pPr>
              <w:pStyle w:val="ListParagraph"/>
              <w:numPr>
                <w:ilvl w:val="0"/>
                <w:numId w:val="2"/>
              </w:numPr>
              <w:spacing w:before="60" w:after="60" w:line="264"/>
            </w:pPr>
            <w:r>
              <w:rPr>
                <w:rFonts w:ascii="Arial" w:cs="Arial" w:eastAsia="Arial" w:hAnsi="Arial"/>
                <w:color w:val="2C3E50"/>
                <w:sz w:val="22"/>
                <w:szCs w:val="22"/>
              </w:rPr>
              <w:t xml:space="preserve">Des relations inter-entités riches (marque, fabricant, avis)</w:t>
            </w:r>
          </w:p>
          <w:p>
            <w:pPr>
              <w:pStyle w:val="ListParagraph"/>
              <w:numPr>
                <w:ilvl w:val="0"/>
                <w:numId w:val="2"/>
              </w:numPr>
              <w:spacing w:before="60" w:after="60" w:line="264"/>
            </w:pPr>
            <w:r>
              <w:rPr>
                <w:rFonts w:ascii="Arial" w:cs="Arial" w:eastAsia="Arial" w:hAnsi="Arial"/>
                <w:color w:val="2C3E50"/>
                <w:sz w:val="22"/>
                <w:szCs w:val="22"/>
              </w:rPr>
              <w:t xml:space="preserve">Des valeurs sémantiquement denses, pas des placeholders</w:t>
            </w:r>
          </w:p>
          <w:p>
            <w:pPr>
              <w:pStyle w:val="ListParagraph"/>
              <w:numPr>
                <w:ilvl w:val="0"/>
                <w:numId w:val="2"/>
              </w:numPr>
              <w:spacing w:before="60" w:after="60" w:line="264"/>
            </w:pPr>
            <w:r>
              <w:rPr>
                <w:rFonts w:ascii="Arial" w:cs="Arial" w:eastAsia="Arial" w:hAnsi="Arial"/>
                <w:color w:val="2C3E50"/>
                <w:sz w:val="22"/>
                <w:szCs w:val="22"/>
              </w:rPr>
              <w:t xml:space="preserve">Une mise à jour continue — pas un audit annuel</w:t>
            </w:r>
          </w:p>
        </w:tc>
      </w:tr>
    </w:tbl>
    <w:p>
      <w:pPr>
        <w:spacing w:before="0" w:after="80"/>
      </w:pPr>
      <w:r>
        <w:t xml:space="preserve"/>
      </w:r>
    </w:p>
    <w:p>
      <w:pPr>
        <w:spacing w:before="0" w:after="80"/>
      </w:pPr>
      <w:r>
        <w:t xml:space="preserve"/>
      </w:r>
    </w:p>
    <w:p>
      <w:r>
        <w:br w:type="page"/>
      </w:r>
    </w:p>
    <w:p>
      <w:pPr>
        <w:pStyle w:val="Heading1"/>
        <w:spacing w:before="400" w:after="160"/>
      </w:pPr>
      <w:r>
        <w:rPr>
          <w:rFonts w:ascii="Arial" w:cs="Arial" w:eastAsia="Arial" w:hAnsi="Arial"/>
          <w:b/>
          <w:bCs/>
          <w:color w:val="1B4F8A"/>
          <w:sz w:val="36"/>
          <w:szCs w:val="36"/>
        </w:rPr>
        <w:t xml:space="preserve">La Solution — Un Employé IA qui Travaille la Nuit</w:t>
      </w:r>
    </w:p>
    <w:p>
      <w:pPr>
        <w:spacing w:before="80" w:after="100" w:line="276"/>
        <w:jc w:val="both"/>
      </w:pPr>
      <w:r>
        <w:rPr>
          <w:rFonts w:ascii="Arial" w:cs="Arial" w:eastAsia="Arial" w:hAnsi="Arial"/>
          <w:b w:val="false"/>
          <w:bCs w:val="false"/>
          <w:i w:val="false"/>
          <w:iCs w:val="false"/>
          <w:color w:val="2C3E50"/>
          <w:sz w:val="22"/>
          <w:szCs w:val="22"/>
        </w:rPr>
        <w:t xml:space="preserve">Sémantique.IA est un système autonome qui optimise en continu la façon dont votre entreprise est comprise par les intelligences artificielles. Il combine deux technologies complémentaires pour atteindre ce qu'aucune agence humaine ne peut faire : une optimisation permanente, à coût marginal quasi nul.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CE4" w:sz="1"/>
              <w:left w:val="single" w:color="D5DCE4" w:sz="1"/>
              <w:bottom w:val="single" w:color="D5DCE4" w:sz="1"/>
              <w:right w:val="single" w:color="D5DCE4" w:sz="1"/>
            </w:tcBorders>
            <w:shd w:fill="EAFAF1"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6"/>
                <w:szCs w:val="26"/>
              </w:rPr>
              <w:t xml:space="preserve">AGENT RL — L'Explorateur</w:t>
            </w:r>
          </w:p>
          <w:p>
            <w:pPr>
              <w:spacing w:before="0" w:after="80"/>
            </w:pPr>
            <w:r>
              <w:t xml:space="preserve"/>
            </w:r>
          </w:p>
          <w:p>
            <w:pPr>
              <w:spacing w:before="80" w:after="100" w:line="276"/>
              <w:jc w:val="both"/>
            </w:pPr>
            <w:r>
              <w:rPr>
                <w:rFonts w:ascii="Arial" w:cs="Arial" w:eastAsia="Arial" w:hAnsi="Arial"/>
                <w:b w:val="false"/>
                <w:bCs w:val="false"/>
                <w:i w:val="false"/>
                <w:iCs w:val="false"/>
                <w:color w:val="2C3E50"/>
                <w:sz w:val="22"/>
                <w:szCs w:val="22"/>
              </w:rPr>
              <w:t xml:space="preserve">Un algorithme d'apprentissage par renforcement qui teste des milliers de combinaisons de métadonnées chaque nuit. Comme un enfant qui apprend à vélo — sans manuel, par essais et erreurs.</w:t>
            </w:r>
          </w:p>
          <w:p>
            <w:pPr>
              <w:spacing w:before="0" w:after="80"/>
            </w:pPr>
            <w:r>
              <w:t xml:space="preserve"/>
            </w:r>
          </w:p>
          <w:p>
            <w:pPr>
              <w:spacing w:before="80" w:after="100" w:line="276"/>
              <w:jc w:val="both"/>
            </w:pPr>
            <w:r>
              <w:rPr>
                <w:rFonts w:ascii="Arial" w:cs="Arial" w:eastAsia="Arial" w:hAnsi="Arial"/>
                <w:b w:val="false"/>
                <w:bCs w:val="false"/>
                <w:i w:val="false"/>
                <w:iCs w:val="false"/>
                <w:color w:val="2C3E50"/>
                <w:sz w:val="22"/>
                <w:szCs w:val="22"/>
              </w:rPr>
              <w:t xml:space="preserve">Il ne comprend pas le langage. Il ne consomme aucun token. Il ne coûte rien à faire tourner. Il travaille à 1 milliseconde par décision pendant que vous dormez.</w:t>
            </w:r>
          </w:p>
        </w:tc>
        <w:tc>
          <w:tcPr>
            <w:tcW w:type="dxa" w:w="4680"/>
            <w:tcBorders>
              <w:top w:val="single" w:color="D5DCE4" w:sz="1"/>
              <w:left w:val="single" w:color="D5DCE4" w:sz="1"/>
              <w:bottom w:val="single" w:color="D5DCE4" w:sz="1"/>
              <w:right w:val="single" w:color="D5DCE4" w:sz="1"/>
            </w:tcBorders>
            <w:shd w:fill="EBF5FB"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6"/>
                <w:szCs w:val="26"/>
              </w:rPr>
              <w:t xml:space="preserve">LLM LOCAL — Le Stratège</w:t>
            </w:r>
          </w:p>
          <w:p>
            <w:pPr>
              <w:spacing w:before="0" w:after="80"/>
            </w:pPr>
            <w:r>
              <w:t xml:space="preserve"/>
            </w:r>
          </w:p>
          <w:p>
            <w:pPr>
              <w:spacing w:before="80" w:after="100" w:line="276"/>
              <w:jc w:val="both"/>
            </w:pPr>
            <w:r>
              <w:rPr>
                <w:rFonts w:ascii="Arial" w:cs="Arial" w:eastAsia="Arial" w:hAnsi="Arial"/>
                <w:b w:val="false"/>
                <w:bCs w:val="false"/>
                <w:i w:val="false"/>
                <w:iCs w:val="false"/>
                <w:color w:val="2C3E50"/>
                <w:sz w:val="22"/>
                <w:szCs w:val="22"/>
              </w:rPr>
              <w:t xml:space="preserve">Un grand modèle de langage (Mistral, Llama, Qwen) qui tourne entièrement sur votre serveur. Il comprend vos enjeux, génère le contenu sémantique riche, et produit les rapports lisibles par vos équipes.</w:t>
            </w:r>
          </w:p>
          <w:p>
            <w:pPr>
              <w:spacing w:before="0" w:after="80"/>
            </w:pPr>
            <w:r>
              <w:t xml:space="preserve"/>
            </w:r>
          </w:p>
          <w:p>
            <w:pPr>
              <w:spacing w:before="80" w:after="100" w:line="276"/>
              <w:jc w:val="both"/>
            </w:pPr>
            <w:r>
              <w:rPr>
                <w:rFonts w:ascii="Arial" w:cs="Arial" w:eastAsia="Arial" w:hAnsi="Arial"/>
                <w:b w:val="false"/>
                <w:bCs w:val="false"/>
                <w:i w:val="false"/>
                <w:iCs w:val="false"/>
                <w:color w:val="2C3E50"/>
                <w:sz w:val="22"/>
                <w:szCs w:val="22"/>
              </w:rPr>
              <w:t xml:space="preserve">Zéro donnée ne quitte votre machine. Zéro abonnement cloud. Vos données clients, vos prix, vos stratégies restent chez vous.</w:t>
            </w:r>
          </w:p>
        </w:tc>
      </w:tr>
    </w:tbl>
    <w:p>
      <w:pPr>
        <w:spacing w:before="0" w:after="80"/>
      </w:pPr>
      <w:r>
        <w:t xml:space="preserve"/>
      </w:r>
    </w:p>
    <w:p>
      <w:pPr>
        <w:spacing w:before="0" w:after="80"/>
      </w:pPr>
      <w:r>
        <w:t xml:space="preserve"/>
      </w:r>
    </w:p>
    <w:p>
      <w:pPr>
        <w:pStyle w:val="Heading1"/>
        <w:spacing w:before="400" w:after="160"/>
      </w:pPr>
      <w:r>
        <w:rPr>
          <w:rFonts w:ascii="Arial" w:cs="Arial" w:eastAsia="Arial" w:hAnsi="Arial"/>
          <w:b/>
          <w:bCs/>
          <w:color w:val="1B4F8A"/>
          <w:sz w:val="36"/>
          <w:szCs w:val="36"/>
        </w:rPr>
        <w:t xml:space="preserve">La Promesse de Valeur — Aujourd'hui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8"/>
                <w:szCs w:val="28"/>
              </w:rPr>
              <w:t xml:space="preserve">1</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Audit sémantique instantané</w:t>
            </w:r>
          </w:p>
        </w:tc>
        <w:tc>
          <w:tcPr>
            <w:tcW w:type="dxa" w:w="6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En 30 secondes, le système analyse tous vos produits et donne un score de maturité sémantique par entité, avec les propriétés manquantes classées par impact. Ce que facturerait une agence 1 500 €.</w:t>
            </w:r>
          </w:p>
        </w:tc>
      </w:tr>
      <w:tr>
        <w:tc>
          <w:tcPr>
            <w:tcW w:type="dxa" w:w="40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8"/>
                <w:szCs w:val="28"/>
              </w:rPr>
              <w:t xml:space="preserve">2</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Optimisation autonome nocturne</w:t>
            </w:r>
          </w:p>
        </w:tc>
        <w:tc>
          <w:tcPr>
            <w:tcW w:type="dxa" w:w="6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Chaque nuit, les agents RL testent automatiquement des centaines de combinaisons de métadonnées et sélectionnent les meilleures selon votre secteur, votre image de marque et les comportements de vos concurrents.</w:t>
            </w:r>
          </w:p>
        </w:tc>
      </w:tr>
      <w:tr>
        <w:tc>
          <w:tcPr>
            <w:tcW w:type="dxa" w:w="40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8"/>
                <w:szCs w:val="28"/>
              </w:rPr>
              <w:t xml:space="preserve">3</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Pages web générées prêtes à déployer</w:t>
            </w:r>
          </w:p>
        </w:tc>
        <w:tc>
          <w:tcPr>
            <w:tcW w:type="dxa" w:w="6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Le matin, vos pages HTML sont reécrites avec le JSON-LD optimisé intégré, le title, la meta description, la structure sémantique H1/H2, les FAQ Schema, les rich results activés. Copiez-collez et déployez.</w:t>
            </w:r>
          </w:p>
        </w:tc>
      </w:tr>
      <w:tr>
        <w:tc>
          <w:tcPr>
            <w:tcW w:type="dxa" w:w="40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8"/>
                <w:szCs w:val="28"/>
              </w:rPr>
              <w:t xml:space="preserve">4</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Gardien de marque automatique</w:t>
            </w:r>
          </w:p>
        </w:tc>
        <w:tc>
          <w:tcPr>
            <w:tcW w:type="dxa" w:w="6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Toute proposition de l'IA est filtrée par votre "constitution de marque" : valeurs, ton, mots interdits, territoires sémantiques à conquérir. Le système ne peut pas aller à l'encontre de votre identité.</w:t>
            </w:r>
          </w:p>
        </w:tc>
      </w:tr>
      <w:tr>
        <w:tc>
          <w:tcPr>
            <w:tcW w:type="dxa" w:w="40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8"/>
                <w:szCs w:val="28"/>
              </w:rPr>
              <w:t xml:space="preserve">5</w:t>
            </w:r>
          </w:p>
        </w:tc>
        <w:tc>
          <w:tcPr>
            <w:tcW w:type="dxa" w:w="24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Souveraineté totale des données</w:t>
            </w:r>
          </w:p>
        </w:tc>
        <w:tc>
          <w:tcPr>
            <w:tcW w:type="dxa" w:w="656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L'ensemble tourne sur votre serveur local. LLM local (Ollama), base de données locale (SQLite), agents RL locaux. Aucun fournisseur cloud ne voit vos données clients ou votre stratégie.</w:t>
            </w:r>
          </w:p>
        </w:tc>
      </w:tr>
    </w:tbl>
    <w:p>
      <w:pPr>
        <w:spacing w:before="0" w:after="80"/>
      </w:pPr>
      <w:r>
        <w:t xml:space="preserve"/>
      </w:r>
    </w:p>
    <w:p>
      <w:pPr>
        <w:spacing w:before="0" w:after="80"/>
      </w:pPr>
      <w:r>
        <w:t xml:space="preserve"/>
      </w:r>
    </w:p>
    <w:p>
      <w:r>
        <w:br w:type="page"/>
      </w:r>
    </w:p>
    <w:p>
      <w:pPr>
        <w:pStyle w:val="Heading1"/>
        <w:spacing w:before="400" w:after="160"/>
      </w:pPr>
      <w:r>
        <w:rPr>
          <w:rFonts w:ascii="Arial" w:cs="Arial" w:eastAsia="Arial" w:hAnsi="Arial"/>
          <w:b/>
          <w:bCs/>
          <w:color w:val="1B4F8A"/>
          <w:sz w:val="36"/>
          <w:szCs w:val="36"/>
        </w:rPr>
        <w:t xml:space="preserve">La Vision — Demain</w:t>
      </w:r>
    </w:p>
    <w:p>
      <w:pPr>
        <w:spacing w:before="80" w:after="100" w:line="276"/>
        <w:jc w:val="both"/>
      </w:pPr>
      <w:r>
        <w:rPr>
          <w:rFonts w:ascii="Arial" w:cs="Arial" w:eastAsia="Arial" w:hAnsi="Arial"/>
          <w:b w:val="false"/>
          <w:bCs w:val="false"/>
          <w:i w:val="false"/>
          <w:iCs w:val="false"/>
          <w:color w:val="2C3E50"/>
          <w:sz w:val="22"/>
          <w:szCs w:val="22"/>
        </w:rPr>
        <w:t xml:space="preserve">Nous sommes au début d'une rupture fondamentale dans la façon dont les entreprises communiquent. Non plus avec des humains qui googlelisent, mais avec des IA qui synthétisent, recommandent et décident. Ce que nous construisons aujourd'hui est l'infrastructure de communication entre votre entreprise et ce monde qui arrive.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FEUILLE DE ROUTE — HORIZONS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HORIZON</w:t>
            </w:r>
          </w:p>
        </w:tc>
        <w:tc>
          <w:tcPr>
            <w:tcW w:type="dxa" w:w="348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CAPACITÉ</w:t>
            </w:r>
          </w:p>
        </w:tc>
        <w:tc>
          <w:tcPr>
            <w:tcW w:type="dxa" w:w="408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FFFFFF"/>
                <w:sz w:val="22"/>
                <w:szCs w:val="22"/>
              </w:rPr>
              <w:t xml:space="preserve">IMPACT BUSINESS</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A7A4A"/>
                <w:sz w:val="22"/>
                <w:szCs w:val="22"/>
              </w:rPr>
              <w:t xml:space="preserve">6 mois</w:t>
            </w:r>
          </w:p>
        </w:tc>
        <w:tc>
          <w:tcPr>
            <w:tcW w:type="dxa" w:w="34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Dialogue multi-jours avec les bots de scraping. Le système apprend en continu depuis les comportements réels des visiteurs non-acheteurs.</w:t>
            </w:r>
          </w:p>
        </w:tc>
        <w:tc>
          <w:tcPr>
            <w:tcW w:type="dxa" w:w="408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Réduction du taux d'abandon de 15–35%. Identification automatique des freins à l'achat invisibles.</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E75B6"/>
                <w:sz w:val="22"/>
                <w:szCs w:val="22"/>
              </w:rPr>
              <w:t xml:space="preserve">12 mois</w:t>
            </w:r>
          </w:p>
        </w:tc>
        <w:tc>
          <w:tcPr>
            <w:tcW w:type="dxa" w:w="34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Communication IA-to-IA : le système interroge directement les API de Google SGE, Bing Copilot, Perplexity pour mesurer si votre marque apparaît dans leurs réponses.</w:t>
            </w:r>
          </w:p>
        </w:tc>
        <w:tc>
          <w:tcPr>
            <w:tcW w:type="dxa" w:w="408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Mesure de la "part de voix IA" — un KPI inédit. Optimisation en temps réel basée sur ce que les LLMs retournent réellement.</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2"/>
                <w:szCs w:val="22"/>
              </w:rPr>
              <w:t xml:space="preserve">18 mois</w:t>
            </w:r>
          </w:p>
        </w:tc>
        <w:tc>
          <w:tcPr>
            <w:tcW w:type="dxa" w:w="34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Self-play sémantique : un agent "attaque" (teste comment une IA adverse lirait votre schéma) et un agent "défend" (renforce les points faibles détectés). Co-évolution continue.</w:t>
            </w:r>
          </w:p>
        </w:tc>
        <w:tc>
          <w:tcPr>
            <w:tcW w:type="dxa" w:w="408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Cartographie sémantique complète du secteur. Détection automatique des territoires libres que les concurrents n'ont pas colonisés.</w:t>
            </w:r>
          </w:p>
        </w:tc>
      </w:tr>
      <w:tr>
        <w:tc>
          <w:tcPr>
            <w:tcW w:type="dxa" w:w="180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2C3E50"/>
                <w:sz w:val="22"/>
                <w:szCs w:val="22"/>
              </w:rPr>
              <w:t xml:space="preserve">24 mois</w:t>
            </w:r>
          </w:p>
        </w:tc>
        <w:tc>
          <w:tcPr>
            <w:tcW w:type="dxa" w:w="34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Modèle sectoriel dédié : un LLM fine-tuné sur votre secteur, vos données historiques, votre marque. Plus besoin de prompts complexes — le modèle connaît votre ADN.</w:t>
            </w:r>
          </w:p>
        </w:tc>
        <w:tc>
          <w:tcPr>
            <w:tcW w:type="dxa" w:w="4080"/>
            <w:tcBorders>
              <w:top w:val="single" w:color="D5DCE4" w:sz="1"/>
              <w:left w:val="single" w:color="D5DCE4" w:sz="1"/>
              <w:bottom w:val="single" w:color="D5DCE4" w:sz="1"/>
              <w:right w:val="single" w:color="D5DCE4" w:sz="1"/>
            </w:tcBorders>
            <w:shd w:fill="F4F6F8" w:val="clear"/>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Un actif propriétaire : votre modèle sémantique devient un avantage concurrentiel impossible à copier rapidement.</w:t>
            </w:r>
          </w:p>
        </w:tc>
      </w:tr>
    </w:tbl>
    <w:p>
      <w:pPr>
        <w:spacing w:before="0" w:after="80"/>
      </w:pPr>
      <w:r>
        <w:t xml:space="preserve"/>
      </w:r>
    </w:p>
    <w:p>
      <w:pPr>
        <w:spacing w:before="0" w:after="80"/>
      </w:pPr>
      <w:r>
        <w:t xml:space="preserve"/>
      </w:r>
    </w:p>
    <w:p>
      <w:pPr>
        <w:pStyle w:val="Heading1"/>
        <w:spacing w:before="400" w:after="160"/>
      </w:pPr>
      <w:r>
        <w:rPr>
          <w:rFonts w:ascii="Arial" w:cs="Arial" w:eastAsia="Arial" w:hAnsi="Arial"/>
          <w:b/>
          <w:bCs/>
          <w:color w:val="1B4F8A"/>
          <w:sz w:val="36"/>
          <w:szCs w:val="36"/>
        </w:rPr>
        <w:t xml:space="preserve">Le Marché et le Modèle Économique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6"/>
                <w:szCs w:val="26"/>
              </w:rPr>
              <w:t xml:space="preserve">MARCHÉ ADRESSABLE</w:t>
            </w:r>
          </w:p>
          <w:p>
            <w:pPr>
              <w:spacing w:before="0" w:after="80"/>
            </w:pPr>
            <w:r>
              <w:t xml:space="preserve"/>
            </w:r>
          </w:p>
          <w:p>
            <w:pPr>
              <w:pStyle w:val="ListParagraph"/>
              <w:numPr>
                <w:ilvl w:val="0"/>
                <w:numId w:val="2"/>
              </w:numPr>
              <w:spacing w:before="60" w:after="60" w:line="264"/>
            </w:pPr>
            <w:r>
              <w:rPr>
                <w:rFonts w:ascii="Arial" w:cs="Arial" w:eastAsia="Arial" w:hAnsi="Arial"/>
                <w:color w:val="2C3E50"/>
                <w:sz w:val="22"/>
                <w:szCs w:val="22"/>
              </w:rPr>
              <w:t xml:space="preserve">4,2 millions de PME en France</w:t>
            </w:r>
          </w:p>
          <w:p>
            <w:pPr>
              <w:pStyle w:val="ListParagraph"/>
              <w:numPr>
                <w:ilvl w:val="0"/>
                <w:numId w:val="2"/>
              </w:numPr>
              <w:spacing w:before="60" w:after="60" w:line="264"/>
            </w:pPr>
            <w:r>
              <w:rPr>
                <w:rFonts w:ascii="Arial" w:cs="Arial" w:eastAsia="Arial" w:hAnsi="Arial"/>
                <w:color w:val="2C3E50"/>
                <w:sz w:val="22"/>
                <w:szCs w:val="22"/>
              </w:rPr>
              <w:t xml:space="preserve">87% ont un site web, &lt;5% ont un JSON-LD complet</w:t>
            </w:r>
          </w:p>
          <w:p>
            <w:pPr>
              <w:pStyle w:val="ListParagraph"/>
              <w:numPr>
                <w:ilvl w:val="0"/>
                <w:numId w:val="2"/>
              </w:numPr>
              <w:spacing w:before="60" w:after="60" w:line="264"/>
            </w:pPr>
            <w:r>
              <w:rPr>
                <w:rFonts w:ascii="Arial" w:cs="Arial" w:eastAsia="Arial" w:hAnsi="Arial"/>
                <w:color w:val="2C3E50"/>
                <w:sz w:val="22"/>
                <w:szCs w:val="22"/>
              </w:rPr>
              <w:t xml:space="preserve">Budget SEO moyen PME : 500–3 000 €/mois</w:t>
            </w:r>
          </w:p>
          <w:p>
            <w:pPr>
              <w:pStyle w:val="ListParagraph"/>
              <w:numPr>
                <w:ilvl w:val="0"/>
                <w:numId w:val="2"/>
              </w:numPr>
              <w:spacing w:before="60" w:after="60" w:line="264"/>
            </w:pPr>
            <w:r>
              <w:rPr>
                <w:rFonts w:ascii="Arial" w:cs="Arial" w:eastAsia="Arial" w:hAnsi="Arial"/>
                <w:color w:val="2C3E50"/>
                <w:sz w:val="22"/>
                <w:szCs w:val="22"/>
              </w:rPr>
              <w:t xml:space="preserve">Marché SEO France : 3,8 Mds€ (2024)</w:t>
            </w:r>
          </w:p>
          <w:p>
            <w:pPr>
              <w:spacing w:before="0" w:after="80"/>
            </w:pPr>
            <w:r>
              <w:t xml:space="preserve"/>
            </w:r>
          </w:p>
          <w:p>
            <w:pPr>
              <w:spacing w:before="80" w:after="100" w:line="276"/>
              <w:jc w:val="both"/>
            </w:pPr>
            <w:r>
              <w:rPr>
                <w:rFonts w:ascii="Arial" w:cs="Arial" w:eastAsia="Arial" w:hAnsi="Arial"/>
                <w:b w:val="false"/>
                <w:bCs w:val="false"/>
                <w:i/>
                <w:iCs/>
                <w:color w:val="7F8C8D"/>
                <w:sz w:val="22"/>
                <w:szCs w:val="22"/>
              </w:rPr>
              <w:t xml:space="preserve">Le segment "SEO sémantique IA" est émergent et non adressé par les outils actuels.</w:t>
            </w:r>
          </w:p>
        </w:tc>
        <w:tc>
          <w:tcPr>
            <w:tcW w:type="dxa" w:w="468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bCs/>
                <w:i w:val="false"/>
                <w:iCs w:val="false"/>
                <w:color w:val="1B4F8A"/>
                <w:sz w:val="26"/>
                <w:szCs w:val="26"/>
              </w:rPr>
              <w:t xml:space="preserve">MODÈLE ÉCONOMIQUE</w:t>
            </w:r>
          </w:p>
          <w:p>
            <w:pPr>
              <w:spacing w:before="0" w:after="80"/>
            </w:pPr>
            <w:r>
              <w:t xml:space="preserve"/>
            </w:r>
          </w:p>
          <w:p>
            <w:pPr>
              <w:pStyle w:val="ListParagraph"/>
              <w:numPr>
                <w:ilvl w:val="0"/>
                <w:numId w:val="2"/>
              </w:numPr>
              <w:spacing w:before="60" w:after="60" w:line="264"/>
            </w:pPr>
            <w:r>
              <w:rPr>
                <w:rFonts w:ascii="Arial" w:cs="Arial" w:eastAsia="Arial" w:hAnsi="Arial"/>
                <w:color w:val="2C3E50"/>
                <w:sz w:val="22"/>
                <w:szCs w:val="22"/>
              </w:rPr>
              <w:t xml:space="preserve">SaaS On-Premise : 290 €/mois — PME standard</w:t>
            </w:r>
          </w:p>
          <w:p>
            <w:pPr>
              <w:pStyle w:val="ListParagraph"/>
              <w:numPr>
                <w:ilvl w:val="0"/>
                <w:numId w:val="2"/>
              </w:numPr>
              <w:spacing w:before="60" w:after="60" w:line="264"/>
            </w:pPr>
            <w:r>
              <w:rPr>
                <w:rFonts w:ascii="Arial" w:cs="Arial" w:eastAsia="Arial" w:hAnsi="Arial"/>
                <w:color w:val="2C3E50"/>
                <w:sz w:val="22"/>
                <w:szCs w:val="22"/>
              </w:rPr>
              <w:t xml:space="preserve">SaaS Souverain : 690 €/mois — données sensibles</w:t>
            </w:r>
          </w:p>
          <w:p>
            <w:pPr>
              <w:pStyle w:val="ListParagraph"/>
              <w:numPr>
                <w:ilvl w:val="0"/>
                <w:numId w:val="2"/>
              </w:numPr>
              <w:spacing w:before="60" w:after="60" w:line="264"/>
            </w:pPr>
            <w:r>
              <w:rPr>
                <w:rFonts w:ascii="Arial" w:cs="Arial" w:eastAsia="Arial" w:hAnsi="Arial"/>
                <w:color w:val="2C3E50"/>
                <w:sz w:val="22"/>
                <w:szCs w:val="22"/>
              </w:rPr>
              <w:t xml:space="preserve">Intégration CMS : plugin WordPress/Shopify (marketplace)</w:t>
            </w:r>
          </w:p>
          <w:p>
            <w:pPr>
              <w:pStyle w:val="ListParagraph"/>
              <w:numPr>
                <w:ilvl w:val="0"/>
                <w:numId w:val="2"/>
              </w:numPr>
              <w:spacing w:before="60" w:after="60" w:line="264"/>
            </w:pPr>
            <w:r>
              <w:rPr>
                <w:rFonts w:ascii="Arial" w:cs="Arial" w:eastAsia="Arial" w:hAnsi="Arial"/>
                <w:color w:val="2C3E50"/>
                <w:sz w:val="22"/>
                <w:szCs w:val="22"/>
              </w:rPr>
              <w:t xml:space="preserve">Licence Agence : sous-marque, revendu à leurs clients</w:t>
            </w:r>
          </w:p>
          <w:p>
            <w:pPr>
              <w:spacing w:before="0" w:after="80"/>
            </w:pPr>
            <w:r>
              <w:t xml:space="preserve"/>
            </w:r>
          </w:p>
          <w:p>
            <w:pPr>
              <w:spacing w:before="80" w:after="100" w:line="276"/>
              <w:jc w:val="both"/>
            </w:pPr>
            <w:r>
              <w:rPr>
                <w:rFonts w:ascii="Arial" w:cs="Arial" w:eastAsia="Arial" w:hAnsi="Arial"/>
                <w:b w:val="false"/>
                <w:bCs w:val="false"/>
                <w:i/>
                <w:iCs/>
                <w:color w:val="7F8C8D"/>
                <w:sz w:val="22"/>
                <w:szCs w:val="22"/>
              </w:rPr>
              <w:t xml:space="preserve">ROI client estimé : 1 200 € économisés/mois vs agence SEO traditionnelle.</w:t>
            </w:r>
          </w:p>
        </w:tc>
      </w:tr>
    </w:tbl>
    <w:p>
      <w:pPr>
        <w:spacing w:before="0" w:after="80"/>
      </w:pPr>
      <w:r>
        <w:t xml:space="preserve"/>
      </w:r>
    </w:p>
    <w:p>
      <w:pPr>
        <w:spacing w:before="0" w:after="80"/>
      </w:pPr>
      <w:r>
        <w:t xml:space="preserve"/>
      </w:r>
    </w:p>
    <w:p>
      <w:pPr>
        <w:pStyle w:val="Heading1"/>
        <w:spacing w:before="400" w:after="160"/>
      </w:pPr>
      <w:r>
        <w:rPr>
          <w:rFonts w:ascii="Arial" w:cs="Arial" w:eastAsia="Arial" w:hAnsi="Arial"/>
          <w:b/>
          <w:bCs/>
          <w:color w:val="1B4F8A"/>
          <w:sz w:val="36"/>
          <w:szCs w:val="36"/>
        </w:rPr>
        <w:t xml:space="preserve">Pourquoi Maintenant ?</w:t>
      </w:r>
    </w:p>
    <w:p>
      <w:pPr>
        <w:spacing w:before="80" w:after="100" w:line="276"/>
        <w:jc w:val="both"/>
      </w:pPr>
      <w:r>
        <w:rPr>
          <w:rFonts w:ascii="Arial" w:cs="Arial" w:eastAsia="Arial" w:hAnsi="Arial"/>
          <w:b w:val="false"/>
          <w:bCs w:val="false"/>
          <w:i w:val="false"/>
          <w:iCs w:val="false"/>
          <w:color w:val="2C3E50"/>
          <w:sz w:val="22"/>
          <w:szCs w:val="22"/>
        </w:rPr>
        <w:t xml:space="preserve">Trois convergences créent une fenêtre d'opportunité unique qui se ferme dans 18 à 24 mois.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4F8A"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2"/>
                <w:szCs w:val="22"/>
              </w:rPr>
              <w:t xml:space="preserve">1 — L'IA Générative</w:t>
            </w:r>
          </w:p>
        </w:tc>
        <w:tc>
          <w:tcPr>
            <w:tcW w:type="dxa" w:w="312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2"/>
                <w:szCs w:val="22"/>
              </w:rPr>
              <w:t xml:space="preserve">2 — Les LLMs Locaux</w:t>
            </w:r>
          </w:p>
        </w:tc>
        <w:tc>
          <w:tcPr>
            <w:tcW w:type="dxa" w:w="3120"/>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vAlign w:val="top"/>
          </w:tcPr>
          <w:p>
            <w:pPr>
              <w:spacing w:before="80" w:after="100" w:line="276"/>
              <w:jc w:val="center"/>
            </w:pPr>
            <w:r>
              <w:rPr>
                <w:rFonts w:ascii="Arial" w:cs="Arial" w:eastAsia="Arial" w:hAnsi="Arial"/>
                <w:b/>
                <w:bCs/>
                <w:i w:val="false"/>
                <w:iCs w:val="false"/>
                <w:color w:val="FFFFFF"/>
                <w:sz w:val="22"/>
                <w:szCs w:val="22"/>
              </w:rPr>
              <w:t xml:space="preserve">3 — La Réglementation</w:t>
            </w:r>
          </w:p>
        </w:tc>
      </w:tr>
      <w:tr>
        <w:tc>
          <w:tcPr>
            <w:tcW w:type="dxa" w:w="312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Google SGE, Bing Copilot, Perplexity changent radicalement les règles du référencement. Les PME ne l'ont pas encore compris. L'écart de visibilité se creuse chaque semaine.</w:t>
            </w:r>
          </w:p>
        </w:tc>
        <w:tc>
          <w:tcPr>
            <w:tcW w:type="dxa" w:w="312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Llama 3, Mistral, Qwen atteignent le niveau GPT-4 sur un simple PC gaming. Pour la première fois, une PME peut héberger son propre LLM pour 900 €.</w:t>
            </w:r>
          </w:p>
        </w:tc>
        <w:tc>
          <w:tcPr>
            <w:tcW w:type="dxa" w:w="3120"/>
            <w:tcBorders>
              <w:top w:val="single" w:color="D5DCE4" w:sz="1"/>
              <w:left w:val="single" w:color="D5DCE4" w:sz="1"/>
              <w:bottom w:val="single" w:color="D5DCE4" w:sz="1"/>
              <w:right w:val="single" w:color="D5DCE4" w:sz="1"/>
            </w:tcBorders>
            <w:tcMar>
              <w:top w:type="dxa" w:w="100"/>
              <w:left w:type="dxa" w:w="150"/>
              <w:bottom w:type="dxa" w:w="100"/>
              <w:right w:type="dxa" w:w="150"/>
            </w:tcMar>
            <w:vAlign w:val="top"/>
          </w:tcPr>
          <w:p>
            <w:pPr>
              <w:spacing w:before="80" w:after="100" w:line="276"/>
              <w:jc w:val="both"/>
            </w:pPr>
            <w:r>
              <w:rPr>
                <w:rFonts w:ascii="Arial" w:cs="Arial" w:eastAsia="Arial" w:hAnsi="Arial"/>
                <w:b w:val="false"/>
                <w:bCs w:val="false"/>
                <w:i w:val="false"/>
                <w:iCs w:val="false"/>
                <w:color w:val="2C3E50"/>
                <w:sz w:val="22"/>
                <w:szCs w:val="22"/>
              </w:rPr>
              <w:t xml:space="preserve">Le RGPD et l'AI Act européen poussent les entreprises vers la souveraineté des données. Notre architecture "zéro cloud" répond directement à cette contrainte réglementaire.</w:t>
            </w:r>
          </w:p>
        </w:tc>
      </w:tr>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none" w:color="FFFFFF" w:sz="0"/>
              <w:bottom w:val="single" w:color="1B4F8A" w:sz="1"/>
              <w:right w:val="none" w:color="FFFFFF" w:sz="0"/>
            </w:tcBorders>
            <w:shd w:fill="F4F6F8" w:val="clear"/>
            <w:tcMar>
              <w:top w:type="dxa" w:w="100"/>
              <w:left w:type="dxa" w:w="150"/>
              <w:bottom w:type="dxa" w:w="100"/>
              <w:right w:type="dxa" w:w="150"/>
            </w:tcMar>
            <w:vAlign w:val="top"/>
          </w:tcPr>
          <w:p>
            <w:pPr>
              <w:spacing w:before="120" w:after="80"/>
              <w:jc w:val="center"/>
            </w:pPr>
            <w:r>
              <w:rPr>
                <w:rFonts w:ascii="Arial" w:cs="Arial" w:eastAsia="Arial" w:hAnsi="Arial"/>
                <w:b/>
                <w:bCs/>
                <w:color w:val="1B4F8A"/>
                <w:sz w:val="28"/>
                <w:szCs w:val="28"/>
              </w:rPr>
              <w:t xml:space="preserve">Nous ne vendons pas du SEO.</w:t>
            </w:r>
          </w:p>
          <w:p>
            <w:pPr>
              <w:spacing w:before="0" w:after="60"/>
              <w:jc w:val="center"/>
            </w:pPr>
            <w:r>
              <w:rPr>
                <w:rFonts w:ascii="Arial" w:cs="Arial" w:eastAsia="Arial" w:hAnsi="Arial"/>
                <w:color w:val="2C3E50"/>
                <w:sz w:val="26"/>
                <w:szCs w:val="26"/>
              </w:rPr>
              <w:t xml:space="preserve">Nous construisons l'infrastructure de communication</w:t>
            </w:r>
          </w:p>
          <w:p>
            <w:pPr>
              <w:spacing w:before="0" w:after="120"/>
              <w:jc w:val="center"/>
            </w:pPr>
            <w:r>
              <w:rPr>
                <w:rFonts w:ascii="Arial" w:cs="Arial" w:eastAsia="Arial" w:hAnsi="Arial"/>
                <w:color w:val="2C3E50"/>
                <w:sz w:val="26"/>
                <w:szCs w:val="26"/>
              </w:rPr>
              <w:t xml:space="preserve">entre les entreprises humaines et les intelligences artificielles qui façonnent les décisions d'achat de demain.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1B4F8A"/>
        <w:sz w:val="22"/>
        <w:szCs w:val="22"/>
      </w:rPr>
    </w:lvl>
    <w:lvl w:ilvl="1" w15:tentative="1">
      <w:start w:val="1"/>
      <w:numFmt w:val="bullet"/>
      <w:lvlText w:val="◦"/>
      <w:lvlJc w:val="left"/>
      <w:pPr>
        <w:ind w:left="1000" w:hanging="300"/>
      </w:pPr>
      <w:rPr>
        <w:rFonts w:ascii="Arial" w:cs="Arial" w:eastAsia="Arial" w:hAnsi="Arial"/>
        <w:color w:val="7F8C8D"/>
        <w:sz w:val="20"/>
        <w:szCs w:val="20"/>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b/>
        <w:bCs/>
        <w:color w:val="1B4F8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2026-02-24T15:03:23.286Z</dcterms:created>
  <dcterms:modified xsi:type="dcterms:W3CDTF">2026-02-24T15:03:23.286Z</dcterms:modified>
</cp:coreProperties>
</file>

<file path=docProps/custom.xml><?xml version="1.0" encoding="utf-8"?>
<Properties xmlns="http://schemas.openxmlformats.org/officeDocument/2006/custom-properties" xmlns:vt="http://schemas.openxmlformats.org/officeDocument/2006/docPropsVTypes"/>
</file>