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fldChar w:fldCharType="begin"/>
        <w:instrText xml:space="preserve"> ADDIN ZOTERO_BIBLIOGRAPHY </w:instrText>
      </w:r>
      <w:r>
        <w:fldChar w:fldCharType="separate"/>
      </w:r>
      <w:r>
        <w:t xml:space="preserve">  </w:t>
        <w:br/>
        <w:t xml:space="preserve">    [1]tesseract-ocr/tesstrain. tesseract-ocr, 2025. Consulté le: 23 avril 2025. [En ligne]. Disponible sur: https://github.com/tesseract-ocr/tesstrain</w:t>
        <w:br/>
        <w:t xml:space="preserve">  </w:t>
        <w:br/>
        <w:t xml:space="preserve">  </w:t>
        <w:br/>
        <w:t xml:space="preserve">    [2]« How to train Tesseract 4.00 », tessdoc. Consulté le: 23 avril 2025. [En ligne]. Disponible sur: https://tesseract-ocr.github.io/tessdoc/tess4/TrainingTesseract-4.00.html</w:t>
        <w:br/>
        <w:t xml:space="preserve">  </w:t>
        <w:br/>
        <w:t xml:space="preserve">  </w:t>
        <w:br/>
        <w:t xml:space="preserve">    [3]« How to train Tesseract 4.00 », tessdoc. Consulté le: 23 avril 2025. [En ligne]. Disponible sur: https://tesseract-ocr.github.io/tessdoc/tess4/TrainingTesseract-4.00.html</w:t>
        <w:br/>
        <w:t xml:space="preserve">  </w:t>
        <w:br/>
        <w:t xml:space="preserve">  </w:t>
        <w:br/>
        <w:t xml:space="preserve">    [4]tesseract-ocr/tesseract. tesseract-ocr, 2025. Consulté le: 23 avril 2025. [En ligne]. Disponible sur: https://github.com/tesseract-ocr/tesseract</w:t>
        <w:br/>
        <w:t xml:space="preserve">  </w:t>
        <w:br/>
        <w:t xml:space="preserve">  </w:t>
        <w:br/>
        <w:t xml:space="preserve">    [5]« Mobile Web Capture », ABBYY. Consulté le: 23 avril 2025. [En ligne]. Disponible sur: https://www.abbyy.com/ocr-sdk/</w:t>
        <w:br/>
        <w:t xml:space="preserve">  </w:t>
        <w:br/>
        <w:t xml:space="preserve">  </w:t>
        <w:br/>
        <w:t xml:space="preserve">    [6]D. Zhu, Y. Fang, Z. Min, D. Ho, et M. Q.-H. Meng, « OCR-RCNN: An Accurate and Efficient Framework for Elevator Button Recognition », IEEE Transactions on Industrial Electronics, vol. 69, no 1, 2022, doi: 10.1109/TIE.2021.3050357.</w:t>
        <w:br/>
        <w:t xml:space="preserve">  </w:t>
        <w:br/>
        <w:t xml:space="preserve">  </w:t>
        <w:br/>
        <w:t xml:space="preserve">    [7]JaidedAI/EasyOCR. Jaided AI, 2025. Consulté le: 23 avril 2025. [En ligne]. Disponible sur: https://github.com/JaidedAI/EasyOCR</w:t>
        <w:br/>
        <w:t xml:space="preserve">  </w:t>
        <w:br/>
        <w:t xml:space="preserve">  </w:t>
        <w:br/>
        <w:t xml:space="preserve">    [8]K. Leung, kennethleungty/OCR-Metrics-CER-WER. 2025. Consulté le: 23 avril 2025. [En ligne]. Disponible sur: https://github.com/kennethleungty/OCR-Metrics-CER-WER</w:t>
        <w:br/>
        <w:t xml:space="preserve">  </w:t>
        <w:br/>
        <w:t xml:space="preserve">  </w:t>
        <w:br/>
        <w:t xml:space="preserve">    [9]K. Leung, kennethleungty/OCR-Metrics-CER-WER. 2025. Consulté le: 23 avril 2025. [En ligne]. Disponible sur: https://github.com/kennethleungty/OCR-Metrics-CER-WER</w:t>
        <w:br/>
        <w:t xml:space="preserve">  </w:t>
        <w:br/>
      </w:r>
      <w:r/>
      <w:r/>
    </w:p>
    <w:p>
      <w:pPr>
        <w:pBdr/>
        <w:spacing/>
        <w:ind/>
        <w:rPr>
          <w:highlight w:val="none"/>
        </w:rPr>
      </w:pPr>
      <w:r>
        <w:fldChar w:fldCharType="end"/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/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2025-04-23T21:51:46Z</dcterms:modified>
</cp:coreProperties>
</file>