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FC497E" w14:textId="77777777" w:rsidR="005F6C20" w:rsidRPr="00A21827" w:rsidRDefault="00414322" w:rsidP="00A21827">
      <w:pPr>
        <w:pStyle w:val="Heading1"/>
        <w:rPr>
          <w:rFonts w:ascii="Times New Roman" w:hAnsi="Times New Roman" w:cs="Times New Roman"/>
          <w:color w:val="000000" w:themeColor="text1"/>
        </w:rPr>
      </w:pPr>
      <w:r w:rsidRPr="00A21827">
        <w:rPr>
          <w:rFonts w:ascii="Times New Roman" w:hAnsi="Times New Roman" w:cs="Times New Roman"/>
          <w:color w:val="000000" w:themeColor="text1"/>
        </w:rPr>
        <w:t>Supplemental methods</w:t>
      </w:r>
    </w:p>
    <w:p w14:paraId="0D9C5FC9" w14:textId="77777777" w:rsidR="00414322" w:rsidRPr="00A21827" w:rsidRDefault="00414322">
      <w:pPr>
        <w:rPr>
          <w:rFonts w:ascii="Times New Roman" w:hAnsi="Times New Roman" w:cs="Times New Roman"/>
        </w:rPr>
      </w:pPr>
    </w:p>
    <w:p w14:paraId="431362FC" w14:textId="77777777" w:rsidR="00A21827" w:rsidRPr="00A21827" w:rsidRDefault="00A21827" w:rsidP="00A21827">
      <w:pPr>
        <w:pStyle w:val="Heading2"/>
        <w:numPr>
          <w:ilvl w:val="1"/>
          <w:numId w:val="3"/>
        </w:numPr>
        <w:spacing w:after="160"/>
        <w:ind w:left="475" w:hanging="475"/>
        <w:rPr>
          <w:rFonts w:ascii="Times New Roman" w:hAnsi="Times New Roman" w:cs="Times New Roman"/>
          <w:color w:val="000000" w:themeColor="text1"/>
          <w:sz w:val="30"/>
          <w:szCs w:val="30"/>
        </w:rPr>
      </w:pPr>
      <w:r w:rsidRPr="00A21827">
        <w:rPr>
          <w:rFonts w:ascii="Times New Roman" w:hAnsi="Times New Roman" w:cs="Times New Roman"/>
          <w:color w:val="000000" w:themeColor="text1"/>
          <w:sz w:val="30"/>
          <w:szCs w:val="30"/>
        </w:rPr>
        <w:t>Inclusion and exclusion criteria</w:t>
      </w:r>
    </w:p>
    <w:p w14:paraId="59C92387" w14:textId="77777777" w:rsidR="00A21827" w:rsidRPr="00A21827" w:rsidRDefault="00A21827" w:rsidP="00A21827">
      <w:pPr>
        <w:pStyle w:val="TextBody"/>
        <w:spacing w:line="360" w:lineRule="auto"/>
        <w:jc w:val="both"/>
        <w:rPr>
          <w:rFonts w:ascii="Times New Roman" w:hAnsi="Times New Roman" w:cs="Times New Roman"/>
        </w:rPr>
      </w:pPr>
      <w:r w:rsidRPr="00A21827">
        <w:rPr>
          <w:rFonts w:ascii="Times New Roman" w:hAnsi="Times New Roman" w:cs="Times New Roman"/>
          <w:color w:val="auto"/>
        </w:rPr>
        <w:t>The 29 participants in this study were recruited from the patient populations at 14 medical centers, and scanned at 13 HR-</w:t>
      </w:r>
      <w:proofErr w:type="spellStart"/>
      <w:r w:rsidRPr="00A21827">
        <w:rPr>
          <w:rFonts w:ascii="Times New Roman" w:hAnsi="Times New Roman" w:cs="Times New Roman"/>
          <w:color w:val="auto"/>
        </w:rPr>
        <w:t>pQCT</w:t>
      </w:r>
      <w:proofErr w:type="spellEnd"/>
      <w:r w:rsidRPr="00A21827">
        <w:rPr>
          <w:rFonts w:ascii="Times New Roman" w:hAnsi="Times New Roman" w:cs="Times New Roman"/>
          <w:color w:val="auto"/>
        </w:rPr>
        <w:t xml:space="preserve"> imaging sites in North America and Europe as part of the </w:t>
      </w:r>
      <w:r w:rsidRPr="00A21827">
        <w:rPr>
          <w:rFonts w:ascii="Times New Roman" w:hAnsi="Times New Roman" w:cs="Times New Roman"/>
        </w:rPr>
        <w:t xml:space="preserve">ASTEROID Phase 2b, multinational, randomized, double-blind, dose-finding study in adults with OI. </w:t>
      </w:r>
      <w:r w:rsidR="00F929DA">
        <w:rPr>
          <w:rFonts w:ascii="Times New Roman" w:hAnsi="Times New Roman" w:cs="Times New Roman"/>
        </w:rPr>
        <w:t xml:space="preserve">Inclusion </w:t>
      </w:r>
      <w:r w:rsidRPr="00A21827">
        <w:rPr>
          <w:rFonts w:ascii="Times New Roman" w:hAnsi="Times New Roman" w:cs="Times New Roman"/>
        </w:rPr>
        <w:t xml:space="preserve">criteria included male and female patients with a clinical diagnosis of OI Type I, III or IV with a </w:t>
      </w:r>
      <w:r w:rsidRPr="00A21827">
        <w:rPr>
          <w:rFonts w:ascii="Times New Roman" w:hAnsi="Times New Roman" w:cs="Times New Roman"/>
          <w:i/>
        </w:rPr>
        <w:t>COL1A1</w:t>
      </w:r>
      <w:r w:rsidRPr="00A21827">
        <w:rPr>
          <w:rFonts w:ascii="Times New Roman" w:hAnsi="Times New Roman" w:cs="Times New Roman"/>
        </w:rPr>
        <w:t>/</w:t>
      </w:r>
      <w:r w:rsidRPr="00A21827">
        <w:rPr>
          <w:rFonts w:ascii="Times New Roman" w:hAnsi="Times New Roman" w:cs="Times New Roman"/>
          <w:i/>
        </w:rPr>
        <w:t>COL1A2</w:t>
      </w:r>
      <w:r w:rsidRPr="00A21827">
        <w:rPr>
          <w:rFonts w:ascii="Times New Roman" w:hAnsi="Times New Roman" w:cs="Times New Roman"/>
        </w:rPr>
        <w:t xml:space="preserve"> defect confirmed by genetic testing, age greater than 18 years, and one or more non-traumatic long bone, rib, hand/feet and/or vertebral fracture(s) in the past five years. Female participants were ineligible if pregnant, breastfeeding, or following contraceptive guidance. Patients were ineligible to participate if they were greater than 75 years of age, or had a history of the following: skeletal malignancies/bone metastases; neural </w:t>
      </w:r>
      <w:proofErr w:type="spellStart"/>
      <w:r w:rsidRPr="00A21827">
        <w:rPr>
          <w:rFonts w:ascii="Times New Roman" w:hAnsi="Times New Roman" w:cs="Times New Roman"/>
        </w:rPr>
        <w:t>foraminal</w:t>
      </w:r>
      <w:proofErr w:type="spellEnd"/>
      <w:r w:rsidRPr="00A21827">
        <w:rPr>
          <w:rFonts w:ascii="Times New Roman" w:hAnsi="Times New Roman" w:cs="Times New Roman"/>
        </w:rPr>
        <w:t xml:space="preserve"> stenosis; uncontrolled diseases affecting bone metabolism; skeletal conditions leading to long bone deformities or increased fracture risk other than OI; bisphosphonate treatment 3 months prior to baseline; </w:t>
      </w:r>
      <w:proofErr w:type="spellStart"/>
      <w:r w:rsidRPr="00A21827">
        <w:rPr>
          <w:rFonts w:ascii="Times New Roman" w:hAnsi="Times New Roman" w:cs="Times New Roman"/>
        </w:rPr>
        <w:t>teriparatide</w:t>
      </w:r>
      <w:proofErr w:type="spellEnd"/>
      <w:r w:rsidRPr="00A21827">
        <w:rPr>
          <w:rFonts w:ascii="Times New Roman" w:hAnsi="Times New Roman" w:cs="Times New Roman"/>
        </w:rPr>
        <w:t xml:space="preserve">, </w:t>
      </w:r>
      <w:proofErr w:type="spellStart"/>
      <w:r w:rsidRPr="00A21827">
        <w:rPr>
          <w:rFonts w:ascii="Times New Roman" w:hAnsi="Times New Roman" w:cs="Times New Roman"/>
        </w:rPr>
        <w:t>denosumab</w:t>
      </w:r>
      <w:proofErr w:type="spellEnd"/>
      <w:r w:rsidRPr="00A21827">
        <w:rPr>
          <w:rFonts w:ascii="Times New Roman" w:hAnsi="Times New Roman" w:cs="Times New Roman"/>
        </w:rPr>
        <w:t xml:space="preserve"> or other anabolic or anti-</w:t>
      </w:r>
      <w:proofErr w:type="spellStart"/>
      <w:r w:rsidRPr="00A21827">
        <w:rPr>
          <w:rFonts w:ascii="Times New Roman" w:hAnsi="Times New Roman" w:cs="Times New Roman"/>
        </w:rPr>
        <w:t>resorptive</w:t>
      </w:r>
      <w:proofErr w:type="spellEnd"/>
      <w:r w:rsidRPr="00A21827">
        <w:rPr>
          <w:rFonts w:ascii="Times New Roman" w:hAnsi="Times New Roman" w:cs="Times New Roman"/>
        </w:rPr>
        <w:t xml:space="preserve"> medication within 6 months prior to baseline; myocardial infarction, </w:t>
      </w:r>
      <w:proofErr w:type="spellStart"/>
      <w:r w:rsidRPr="00A21827">
        <w:rPr>
          <w:rFonts w:ascii="Times New Roman" w:hAnsi="Times New Roman" w:cs="Times New Roman"/>
        </w:rPr>
        <w:t>agina</w:t>
      </w:r>
      <w:proofErr w:type="spellEnd"/>
      <w:r w:rsidRPr="00A21827">
        <w:rPr>
          <w:rFonts w:ascii="Times New Roman" w:hAnsi="Times New Roman" w:cs="Times New Roman"/>
        </w:rPr>
        <w:t xml:space="preserve"> pectoris, </w:t>
      </w:r>
      <w:proofErr w:type="spellStart"/>
      <w:r w:rsidRPr="00A21827">
        <w:rPr>
          <w:rFonts w:ascii="Times New Roman" w:hAnsi="Times New Roman" w:cs="Times New Roman"/>
        </w:rPr>
        <w:t>ischaemic</w:t>
      </w:r>
      <w:proofErr w:type="spellEnd"/>
      <w:r w:rsidRPr="00A21827">
        <w:rPr>
          <w:rFonts w:ascii="Times New Roman" w:hAnsi="Times New Roman" w:cs="Times New Roman"/>
        </w:rPr>
        <w:t xml:space="preserve"> stroke, or transient </w:t>
      </w:r>
      <w:proofErr w:type="spellStart"/>
      <w:r w:rsidRPr="00A21827">
        <w:rPr>
          <w:rFonts w:ascii="Times New Roman" w:hAnsi="Times New Roman" w:cs="Times New Roman"/>
        </w:rPr>
        <w:t>ischaemic</w:t>
      </w:r>
      <w:proofErr w:type="spellEnd"/>
      <w:r w:rsidRPr="00A21827">
        <w:rPr>
          <w:rFonts w:ascii="Times New Roman" w:hAnsi="Times New Roman" w:cs="Times New Roman"/>
        </w:rPr>
        <w:t xml:space="preserve"> attack; alcohol or drug abuse in 12 months prior to dosing; significant psychiatric or medical disorder affecting compliance to study protocol; history of external radiation; participation in any clinical investigation within 4 weeks or 5 half-lives of the drug prior to dosing; or allergy to the study drug. </w:t>
      </w:r>
    </w:p>
    <w:p w14:paraId="1464E4E9" w14:textId="77777777" w:rsidR="00A21827" w:rsidRPr="00A21827" w:rsidRDefault="00A21827" w:rsidP="00A21827">
      <w:pPr>
        <w:pStyle w:val="Heading2"/>
        <w:numPr>
          <w:ilvl w:val="1"/>
          <w:numId w:val="3"/>
        </w:numPr>
        <w:spacing w:after="160"/>
        <w:ind w:left="475" w:hanging="475"/>
        <w:rPr>
          <w:rFonts w:ascii="Times New Roman" w:hAnsi="Times New Roman" w:cs="Times New Roman"/>
          <w:color w:val="000000" w:themeColor="text1"/>
          <w:sz w:val="30"/>
          <w:szCs w:val="30"/>
        </w:rPr>
      </w:pPr>
      <w:r w:rsidRPr="00A21827">
        <w:rPr>
          <w:rFonts w:ascii="Times New Roman" w:hAnsi="Times New Roman" w:cs="Times New Roman"/>
          <w:color w:val="000000" w:themeColor="text1"/>
          <w:sz w:val="30"/>
          <w:szCs w:val="30"/>
        </w:rPr>
        <w:t>Imaging</w:t>
      </w:r>
    </w:p>
    <w:p w14:paraId="7DAE8393" w14:textId="77777777" w:rsidR="00A21827" w:rsidRPr="00A21827" w:rsidRDefault="00A21827" w:rsidP="00A21827">
      <w:pPr>
        <w:spacing w:line="360" w:lineRule="auto"/>
        <w:jc w:val="both"/>
        <w:rPr>
          <w:rFonts w:ascii="Times New Roman" w:hAnsi="Times New Roman" w:cs="Times New Roman"/>
        </w:rPr>
      </w:pPr>
      <w:r w:rsidRPr="00A21827">
        <w:rPr>
          <w:rFonts w:ascii="Times New Roman" w:hAnsi="Times New Roman" w:cs="Times New Roman"/>
          <w:b/>
          <w:i/>
        </w:rPr>
        <w:t>Imaging phantoms</w:t>
      </w:r>
      <w:r w:rsidRPr="00A21827">
        <w:rPr>
          <w:rFonts w:ascii="Times New Roman" w:hAnsi="Times New Roman" w:cs="Times New Roman"/>
          <w:i/>
        </w:rPr>
        <w:t xml:space="preserve">. </w:t>
      </w:r>
      <w:r w:rsidRPr="00A21827">
        <w:rPr>
          <w:rFonts w:ascii="Times New Roman" w:hAnsi="Times New Roman" w:cs="Times New Roman"/>
        </w:rPr>
        <w:t xml:space="preserve">The quality control phantom (QC1, SCANCO Medical AG) consists of four cylinders with varying densities (approximately 800, 400, 200, 100 </w:t>
      </w:r>
      <w:proofErr w:type="spellStart"/>
      <w:r w:rsidRPr="00A21827">
        <w:rPr>
          <w:rFonts w:ascii="Times New Roman" w:hAnsi="Times New Roman" w:cs="Times New Roman"/>
        </w:rPr>
        <w:t>mgHA</w:t>
      </w:r>
      <w:proofErr w:type="spellEnd"/>
      <w:r w:rsidRPr="00A21827">
        <w:rPr>
          <w:rFonts w:ascii="Times New Roman" w:hAnsi="Times New Roman" w:cs="Times New Roman"/>
        </w:rPr>
        <w:t>/</w:t>
      </w:r>
      <w:proofErr w:type="spellStart"/>
      <w:r w:rsidRPr="00A21827">
        <w:rPr>
          <w:rFonts w:ascii="Times New Roman" w:hAnsi="Times New Roman" w:cs="Times New Roman"/>
        </w:rPr>
        <w:t>ccm</w:t>
      </w:r>
      <w:proofErr w:type="spellEnd"/>
      <w:r w:rsidRPr="00A21827">
        <w:rPr>
          <w:rFonts w:ascii="Times New Roman" w:hAnsi="Times New Roman" w:cs="Times New Roman"/>
        </w:rPr>
        <w:t>) embedded in water-equivalent resin (</w:t>
      </w:r>
      <w:r w:rsidRPr="00A21827">
        <w:rPr>
          <w:rFonts w:ascii="Times New Roman" w:hAnsi="Times New Roman" w:cs="Times New Roman"/>
          <w:b/>
        </w:rPr>
        <w:t>Fig 1A</w:t>
      </w:r>
      <w:r w:rsidRPr="00A21827">
        <w:rPr>
          <w:rFonts w:ascii="Times New Roman" w:hAnsi="Times New Roman" w:cs="Times New Roman"/>
        </w:rPr>
        <w:t>). The European Forearm Phantom (EFP, QRM GmbH) mimics the macroscopic morphology of the forearm with two hollow rods (</w:t>
      </w:r>
      <w:r w:rsidRPr="00A21827">
        <w:rPr>
          <w:rFonts w:ascii="Times New Roman" w:hAnsi="Times New Roman" w:cs="Times New Roman"/>
          <w:b/>
        </w:rPr>
        <w:t>Fig 1B</w:t>
      </w:r>
      <w:r w:rsidRPr="00A21827">
        <w:rPr>
          <w:rFonts w:ascii="Times New Roman" w:hAnsi="Times New Roman" w:cs="Times New Roman"/>
        </w:rPr>
        <w:t>). The rod, representing the radius has four bone mimicking (</w:t>
      </w:r>
      <w:r w:rsidRPr="00A21827">
        <w:rPr>
          <w:rFonts w:ascii="Times New Roman" w:hAnsi="Times New Roman" w:cs="Times New Roman"/>
          <w:vertAlign w:val="superscript"/>
        </w:rPr>
        <w:t>BM</w:t>
      </w:r>
      <w:r w:rsidRPr="00A21827">
        <w:rPr>
          <w:rFonts w:ascii="Times New Roman" w:hAnsi="Times New Roman" w:cs="Times New Roman"/>
        </w:rPr>
        <w:t>) sections, imitating cortical and trabecular bone macro-architecture through varying diameter (28.0, 19.8, 14.0, 10.0 mm), thickness (1.2, 0.6, 1.2, 2.5 mm), and density (</w:t>
      </w:r>
      <w:proofErr w:type="spellStart"/>
      <w:r w:rsidRPr="00A21827">
        <w:rPr>
          <w:rFonts w:ascii="Times New Roman" w:hAnsi="Times New Roman" w:cs="Times New Roman"/>
        </w:rPr>
        <w:t>cortical</w:t>
      </w:r>
      <w:r w:rsidRPr="00A21827">
        <w:rPr>
          <w:rFonts w:ascii="Times New Roman" w:hAnsi="Times New Roman" w:cs="Times New Roman"/>
          <w:vertAlign w:val="superscript"/>
        </w:rPr>
        <w:t>BM</w:t>
      </w:r>
      <w:proofErr w:type="spellEnd"/>
      <w:r w:rsidRPr="00A21827">
        <w:rPr>
          <w:rFonts w:ascii="Times New Roman" w:hAnsi="Times New Roman" w:cs="Times New Roman"/>
        </w:rPr>
        <w:t xml:space="preserve"> volumetric bone mineral density [</w:t>
      </w:r>
      <w:proofErr w:type="spellStart"/>
      <w:r w:rsidRPr="00A21827">
        <w:rPr>
          <w:rFonts w:ascii="Times New Roman" w:hAnsi="Times New Roman" w:cs="Times New Roman"/>
        </w:rPr>
        <w:t>vBMD</w:t>
      </w:r>
      <w:proofErr w:type="spellEnd"/>
      <w:r w:rsidRPr="00A21827">
        <w:rPr>
          <w:rFonts w:ascii="Times New Roman" w:hAnsi="Times New Roman" w:cs="Times New Roman"/>
        </w:rPr>
        <w:t xml:space="preserve">]: 800 </w:t>
      </w:r>
      <w:proofErr w:type="spellStart"/>
      <w:r w:rsidRPr="00A21827">
        <w:rPr>
          <w:rFonts w:ascii="Times New Roman" w:hAnsi="Times New Roman" w:cs="Times New Roman"/>
        </w:rPr>
        <w:t>mgHA</w:t>
      </w:r>
      <w:proofErr w:type="spellEnd"/>
      <w:r w:rsidRPr="00A21827">
        <w:rPr>
          <w:rFonts w:ascii="Times New Roman" w:hAnsi="Times New Roman" w:cs="Times New Roman"/>
        </w:rPr>
        <w:t>/</w:t>
      </w:r>
      <w:proofErr w:type="spellStart"/>
      <w:r w:rsidRPr="00A21827">
        <w:rPr>
          <w:rFonts w:ascii="Times New Roman" w:hAnsi="Times New Roman" w:cs="Times New Roman"/>
        </w:rPr>
        <w:t>ccm</w:t>
      </w:r>
      <w:proofErr w:type="spellEnd"/>
      <w:r w:rsidRPr="00A21827">
        <w:rPr>
          <w:rFonts w:ascii="Times New Roman" w:hAnsi="Times New Roman" w:cs="Times New Roman"/>
        </w:rPr>
        <w:t xml:space="preserve">; </w:t>
      </w:r>
      <w:proofErr w:type="spellStart"/>
      <w:r w:rsidRPr="00A21827">
        <w:rPr>
          <w:rFonts w:ascii="Times New Roman" w:hAnsi="Times New Roman" w:cs="Times New Roman"/>
        </w:rPr>
        <w:t>trabecular</w:t>
      </w:r>
      <w:r w:rsidRPr="00A21827">
        <w:rPr>
          <w:rFonts w:ascii="Times New Roman" w:hAnsi="Times New Roman" w:cs="Times New Roman"/>
          <w:vertAlign w:val="superscript"/>
        </w:rPr>
        <w:t>BM</w:t>
      </w:r>
      <w:proofErr w:type="spellEnd"/>
      <w:r w:rsidRPr="00A21827">
        <w:rPr>
          <w:rFonts w:ascii="Times New Roman" w:hAnsi="Times New Roman" w:cs="Times New Roman"/>
        </w:rPr>
        <w:t xml:space="preserve"> </w:t>
      </w:r>
      <w:proofErr w:type="spellStart"/>
      <w:r w:rsidRPr="00A21827">
        <w:rPr>
          <w:rFonts w:ascii="Times New Roman" w:hAnsi="Times New Roman" w:cs="Times New Roman"/>
        </w:rPr>
        <w:t>vBMD</w:t>
      </w:r>
      <w:proofErr w:type="spellEnd"/>
      <w:r w:rsidRPr="00A21827">
        <w:rPr>
          <w:rFonts w:ascii="Times New Roman" w:hAnsi="Times New Roman" w:cs="Times New Roman"/>
        </w:rPr>
        <w:t xml:space="preserve">: 200, 100, 50 </w:t>
      </w:r>
      <w:proofErr w:type="spellStart"/>
      <w:r w:rsidRPr="00A21827">
        <w:rPr>
          <w:rFonts w:ascii="Times New Roman" w:hAnsi="Times New Roman" w:cs="Times New Roman"/>
        </w:rPr>
        <w:t>mgHA</w:t>
      </w:r>
      <w:proofErr w:type="spellEnd"/>
      <w:r w:rsidRPr="00A21827">
        <w:rPr>
          <w:rFonts w:ascii="Times New Roman" w:hAnsi="Times New Roman" w:cs="Times New Roman"/>
        </w:rPr>
        <w:t>/</w:t>
      </w:r>
      <w:proofErr w:type="spellStart"/>
      <w:r w:rsidRPr="00A21827">
        <w:rPr>
          <w:rFonts w:ascii="Times New Roman" w:hAnsi="Times New Roman" w:cs="Times New Roman"/>
        </w:rPr>
        <w:t>ccm</w:t>
      </w:r>
      <w:proofErr w:type="spellEnd"/>
      <w:r w:rsidRPr="00A21827">
        <w:rPr>
          <w:rFonts w:ascii="Times New Roman" w:hAnsi="Times New Roman" w:cs="Times New Roman"/>
        </w:rPr>
        <w:t xml:space="preserve">, water-equivalent resin). </w:t>
      </w:r>
    </w:p>
    <w:p w14:paraId="2AFAA2CD" w14:textId="366B6FF5" w:rsidR="00A21827" w:rsidRPr="00A21827" w:rsidRDefault="00A21827" w:rsidP="00A21827">
      <w:pPr>
        <w:pStyle w:val="NoSpacing"/>
        <w:spacing w:after="160" w:line="360" w:lineRule="auto"/>
        <w:jc w:val="both"/>
        <w:rPr>
          <w:szCs w:val="24"/>
          <w:lang w:val="en-US"/>
        </w:rPr>
      </w:pPr>
      <w:r w:rsidRPr="00A21827">
        <w:rPr>
          <w:b/>
          <w:i/>
          <w:lang w:val="en-US"/>
        </w:rPr>
        <w:lastRenderedPageBreak/>
        <w:t>Micro-computed tomography of the different EFP compartments</w:t>
      </w:r>
      <w:r w:rsidRPr="00A21827">
        <w:rPr>
          <w:b/>
          <w:lang w:val="en-US"/>
        </w:rPr>
        <w:t xml:space="preserve">. </w:t>
      </w:r>
      <w:r w:rsidRPr="00A21827">
        <w:rPr>
          <w:bCs/>
          <w:lang w:val="en-US"/>
        </w:rPr>
        <w:t>The EFP phantom was scanned with m</w:t>
      </w:r>
      <w:r w:rsidRPr="00A21827">
        <w:rPr>
          <w:szCs w:val="24"/>
          <w:lang w:val="en-US"/>
        </w:rPr>
        <w:t xml:space="preserve">icrocomputed tomography (µCT; SkyScan1276, Bruker, </w:t>
      </w:r>
      <w:proofErr w:type="spellStart"/>
      <w:r w:rsidRPr="00A21827">
        <w:rPr>
          <w:szCs w:val="24"/>
          <w:lang w:val="en-US"/>
        </w:rPr>
        <w:t>Kontich</w:t>
      </w:r>
      <w:proofErr w:type="spellEnd"/>
      <w:r w:rsidRPr="00A21827">
        <w:rPr>
          <w:szCs w:val="24"/>
          <w:lang w:val="en-US"/>
        </w:rPr>
        <w:t xml:space="preserve">, Belgium) to investigate cortical and trabecular bone-mimic structural parameters. The following scanning parameters were used: isotropic voxel size of 10.6 µm, peak voltage of 100 </w:t>
      </w:r>
      <w:proofErr w:type="spellStart"/>
      <w:r w:rsidRPr="00A21827">
        <w:rPr>
          <w:szCs w:val="24"/>
          <w:lang w:val="en-US"/>
        </w:rPr>
        <w:t>kVp</w:t>
      </w:r>
      <w:proofErr w:type="spellEnd"/>
      <w:r w:rsidRPr="00A21827">
        <w:rPr>
          <w:szCs w:val="24"/>
          <w:lang w:val="en-US"/>
        </w:rPr>
        <w:t xml:space="preserve">, </w:t>
      </w:r>
      <w:proofErr w:type="spellStart"/>
      <w:r w:rsidRPr="00A21827">
        <w:rPr>
          <w:szCs w:val="24"/>
          <w:lang w:val="en-US"/>
        </w:rPr>
        <w:t>Aluminium</w:t>
      </w:r>
      <w:proofErr w:type="spellEnd"/>
      <w:r w:rsidRPr="00A21827">
        <w:rPr>
          <w:szCs w:val="24"/>
          <w:lang w:val="en-US"/>
        </w:rPr>
        <w:t xml:space="preserve">-Copper filter, source current of 100 µA, 0.3° rotational steps for full 360°, and frame averaging of 5. All EFP sections were </w:t>
      </w:r>
      <w:proofErr w:type="spellStart"/>
      <w:r w:rsidRPr="00A21827">
        <w:rPr>
          <w:szCs w:val="24"/>
          <w:lang w:val="en-US"/>
        </w:rPr>
        <w:t>binarized</w:t>
      </w:r>
      <w:proofErr w:type="spellEnd"/>
      <w:r w:rsidRPr="00A21827">
        <w:rPr>
          <w:szCs w:val="24"/>
          <w:lang w:val="en-US"/>
        </w:rPr>
        <w:t xml:space="preserve"> using a global threshold of 450 </w:t>
      </w:r>
      <w:proofErr w:type="spellStart"/>
      <w:r w:rsidRPr="00A21827">
        <w:rPr>
          <w:szCs w:val="24"/>
          <w:lang w:val="en-US"/>
        </w:rPr>
        <w:t>mgHA</w:t>
      </w:r>
      <w:proofErr w:type="spellEnd"/>
      <w:r w:rsidRPr="00A21827">
        <w:rPr>
          <w:szCs w:val="24"/>
          <w:lang w:val="en-US"/>
        </w:rPr>
        <w:t>/cm</w:t>
      </w:r>
      <w:r w:rsidRPr="00A21827">
        <w:rPr>
          <w:szCs w:val="24"/>
          <w:vertAlign w:val="superscript"/>
          <w:lang w:val="en-US"/>
        </w:rPr>
        <w:t>3</w:t>
      </w:r>
      <w:r w:rsidRPr="00A21827">
        <w:rPr>
          <w:szCs w:val="24"/>
          <w:lang w:val="en-US"/>
        </w:rPr>
        <w:t>, the same threshold used in XCT2 scans. Measured outcome parameters included</w:t>
      </w:r>
      <w:r w:rsidRPr="00A21827">
        <w:rPr>
          <w:szCs w:val="24"/>
          <w:lang w:val="en-US"/>
        </w:rPr>
        <w:fldChar w:fldCharType="begin"/>
      </w:r>
      <w:r w:rsidRPr="00A21827">
        <w:rPr>
          <w:szCs w:val="24"/>
          <w:lang w:val="en-US"/>
        </w:rPr>
        <w:instrText xml:space="preserve"> ADDIN EN.CITE &lt;EndNote&gt;&lt;Cite&gt;&lt;Author&gt;Bouxsein&lt;/Author&gt;&lt;Year&gt;2010&lt;/Year&gt;&lt;RecNum&gt;26&lt;/RecNum&gt;&lt;DisplayText&gt;&lt;style face="superscript"&gt;(24)&lt;/style&gt;&lt;/DisplayText&gt;&lt;record&gt;&lt;rec-number&gt;26&lt;/rec-number&gt;&lt;foreign-keys&gt;&lt;key app="EN" db-id="t2twa5dfwpdatue2fs6xa0v32ardsx9952d9" timestamp="1587517937"&gt;26&lt;/key&gt;&lt;/foreign-keys&gt;&lt;ref-type name="Journal Article"&gt;17&lt;/ref-type&gt;&lt;contributors&gt;&lt;authors&gt;&lt;author&gt;Bouxsein, Mary L.&lt;/author&gt;&lt;author&gt;Boyd, Stephen K.&lt;/author&gt;&lt;author&gt;Christiansen, Blaine A.&lt;/author&gt;&lt;author&gt;Guldberg, Robert E.&lt;/author&gt;&lt;author&gt;Jepsen, Karl J.&lt;/author&gt;&lt;author&gt;Müller, Ralph&lt;/author&gt;&lt;/authors&gt;&lt;/contributors&gt;&lt;titles&gt;&lt;title&gt;Guidelines for assessment of bone microstructure in rodents using micro–computed tomography&lt;/title&gt;&lt;secondary-title&gt;Journal of Bone and Mineral Research&lt;/secondary-title&gt;&lt;/titles&gt;&lt;periodical&gt;&lt;full-title&gt;Journal of Bone and Mineral Research&lt;/full-title&gt;&lt;/periodical&gt;&lt;pages&gt;1468-1486&lt;/pages&gt;&lt;volume&gt;25&lt;/volume&gt;&lt;number&gt;7&lt;/number&gt;&lt;keywords&gt;&lt;keyword&gt;micro–computed tomography&lt;/keyword&gt;&lt;keyword&gt;µCT&lt;/keyword&gt;&lt;keyword&gt;guidelines&lt;/keyword&gt;&lt;keyword&gt;nomenclature&lt;/keyword&gt;&lt;/keywords&gt;&lt;dates&gt;&lt;year&gt;2010&lt;/year&gt;&lt;pub-dates&gt;&lt;date&gt;2010/07/01&lt;/date&gt;&lt;/pub-dates&gt;&lt;/dates&gt;&lt;publisher&gt;John Wiley &amp;amp; Sons, Ltd&lt;/publisher&gt;&lt;isbn&gt;0884-0431&lt;/isbn&gt;&lt;urls&gt;&lt;related-urls&gt;&lt;url&gt;https://doi.org/10.1002/jbmr.141&lt;/url&gt;&lt;/related-urls&gt;&lt;/urls&gt;&lt;electronic-resource-num&gt;10.1002/jbmr.141&lt;/electronic-resource-num&gt;&lt;access-date&gt;2020/04/03&lt;/access-date&gt;&lt;/record&gt;&lt;/Cite&gt;&lt;/EndNote&gt;</w:instrText>
      </w:r>
      <w:r w:rsidRPr="00A21827">
        <w:rPr>
          <w:szCs w:val="24"/>
          <w:lang w:val="en-US"/>
        </w:rPr>
        <w:fldChar w:fldCharType="separate"/>
      </w:r>
      <w:r w:rsidRPr="00A21827">
        <w:rPr>
          <w:noProof/>
          <w:szCs w:val="24"/>
          <w:vertAlign w:val="superscript"/>
          <w:lang w:val="en-US"/>
        </w:rPr>
        <w:t>(24)</w:t>
      </w:r>
      <w:r w:rsidRPr="00A21827">
        <w:rPr>
          <w:szCs w:val="24"/>
          <w:lang w:val="en-US"/>
        </w:rPr>
        <w:fldChar w:fldCharType="end"/>
      </w:r>
      <w:r w:rsidRPr="00A21827">
        <w:rPr>
          <w:szCs w:val="24"/>
          <w:lang w:val="en-US"/>
        </w:rPr>
        <w:t xml:space="preserve">: volumetric BMD inside each trabecular bone mimicking region, </w:t>
      </w:r>
      <w:proofErr w:type="spellStart"/>
      <w:r w:rsidRPr="00A21827">
        <w:rPr>
          <w:szCs w:val="24"/>
          <w:lang w:val="en-US"/>
        </w:rPr>
        <w:t>Tb.vBMD</w:t>
      </w:r>
      <w:proofErr w:type="spellEnd"/>
      <w:r w:rsidRPr="00A21827">
        <w:rPr>
          <w:vertAlign w:val="superscript"/>
        </w:rPr>
        <w:t>BM</w:t>
      </w:r>
      <w:r w:rsidRPr="00A21827">
        <w:rPr>
          <w:szCs w:val="24"/>
          <w:lang w:val="en-US"/>
        </w:rPr>
        <w:t xml:space="preserve"> (</w:t>
      </w:r>
      <w:proofErr w:type="spellStart"/>
      <w:r w:rsidRPr="00A21827">
        <w:rPr>
          <w:szCs w:val="24"/>
          <w:lang w:val="en-US"/>
        </w:rPr>
        <w:t>mgHA</w:t>
      </w:r>
      <w:proofErr w:type="spellEnd"/>
      <w:r w:rsidRPr="00A21827">
        <w:rPr>
          <w:szCs w:val="24"/>
          <w:lang w:val="en-US"/>
        </w:rPr>
        <w:t>/cm</w:t>
      </w:r>
      <w:r w:rsidRPr="00A21827">
        <w:rPr>
          <w:szCs w:val="24"/>
          <w:vertAlign w:val="superscript"/>
          <w:lang w:val="en-US"/>
        </w:rPr>
        <w:t>3</w:t>
      </w:r>
      <w:r w:rsidRPr="00A21827">
        <w:rPr>
          <w:szCs w:val="24"/>
          <w:lang w:val="en-US"/>
        </w:rPr>
        <w:t xml:space="preserve">); trabecular area, </w:t>
      </w:r>
      <w:proofErr w:type="spellStart"/>
      <w:r w:rsidRPr="00A21827">
        <w:rPr>
          <w:szCs w:val="24"/>
          <w:lang w:val="en-US"/>
        </w:rPr>
        <w:t>Tb.Ar</w:t>
      </w:r>
      <w:proofErr w:type="spellEnd"/>
      <w:r w:rsidRPr="00A21827">
        <w:rPr>
          <w:vertAlign w:val="superscript"/>
        </w:rPr>
        <w:t>BM</w:t>
      </w:r>
      <w:r w:rsidRPr="00A21827">
        <w:rPr>
          <w:szCs w:val="24"/>
          <w:lang w:val="en-US"/>
        </w:rPr>
        <w:t xml:space="preserve"> (mm</w:t>
      </w:r>
      <w:r w:rsidRPr="00A21827">
        <w:rPr>
          <w:szCs w:val="24"/>
          <w:vertAlign w:val="superscript"/>
          <w:lang w:val="en-US"/>
        </w:rPr>
        <w:t>2</w:t>
      </w:r>
      <w:r w:rsidRPr="00A21827">
        <w:rPr>
          <w:szCs w:val="24"/>
          <w:lang w:val="en-US"/>
        </w:rPr>
        <w:t xml:space="preserve">); cortical thickness, </w:t>
      </w:r>
      <w:proofErr w:type="spellStart"/>
      <w:r w:rsidRPr="00A21827">
        <w:rPr>
          <w:szCs w:val="24"/>
          <w:lang w:val="en-US"/>
        </w:rPr>
        <w:t>Ct.Th</w:t>
      </w:r>
      <w:proofErr w:type="spellEnd"/>
      <w:r w:rsidRPr="00A21827">
        <w:rPr>
          <w:vertAlign w:val="superscript"/>
        </w:rPr>
        <w:t>BM</w:t>
      </w:r>
      <w:r w:rsidRPr="00A21827">
        <w:rPr>
          <w:szCs w:val="24"/>
          <w:lang w:val="en-US"/>
        </w:rPr>
        <w:t xml:space="preserve"> (mm); cortical porosity, </w:t>
      </w:r>
      <w:proofErr w:type="spellStart"/>
      <w:r w:rsidRPr="00A21827">
        <w:rPr>
          <w:szCs w:val="24"/>
          <w:lang w:val="en-US"/>
        </w:rPr>
        <w:t>Ct.Po</w:t>
      </w:r>
      <w:proofErr w:type="spellEnd"/>
      <w:r w:rsidRPr="00A21827">
        <w:rPr>
          <w:vertAlign w:val="superscript"/>
        </w:rPr>
        <w:t>BM</w:t>
      </w:r>
      <w:r w:rsidRPr="00A21827">
        <w:rPr>
          <w:szCs w:val="24"/>
          <w:lang w:val="en-US"/>
        </w:rPr>
        <w:t xml:space="preserve"> (mm</w:t>
      </w:r>
      <w:r w:rsidRPr="00A21827">
        <w:rPr>
          <w:szCs w:val="24"/>
          <w:vertAlign w:val="superscript"/>
          <w:lang w:val="en-US"/>
        </w:rPr>
        <w:t>3</w:t>
      </w:r>
      <w:r w:rsidRPr="00A21827">
        <w:rPr>
          <w:szCs w:val="24"/>
          <w:lang w:val="en-US"/>
        </w:rPr>
        <w:t>/ mm</w:t>
      </w:r>
      <w:r w:rsidRPr="00A21827">
        <w:rPr>
          <w:szCs w:val="24"/>
          <w:vertAlign w:val="superscript"/>
          <w:lang w:val="en-US"/>
        </w:rPr>
        <w:t>3</w:t>
      </w:r>
      <w:r w:rsidRPr="00A21827">
        <w:rPr>
          <w:szCs w:val="24"/>
          <w:lang w:val="en-US"/>
        </w:rPr>
        <w:t xml:space="preserve">); cortical area, </w:t>
      </w:r>
      <w:proofErr w:type="spellStart"/>
      <w:r w:rsidRPr="00A21827">
        <w:rPr>
          <w:szCs w:val="24"/>
          <w:lang w:val="en-US"/>
        </w:rPr>
        <w:t>Ct.Ar</w:t>
      </w:r>
      <w:r w:rsidRPr="00A21827">
        <w:rPr>
          <w:szCs w:val="24"/>
          <w:vertAlign w:val="superscript"/>
          <w:lang w:val="en-US"/>
        </w:rPr>
        <w:t>BM</w:t>
      </w:r>
      <w:proofErr w:type="spellEnd"/>
      <w:r w:rsidRPr="00A21827">
        <w:rPr>
          <w:szCs w:val="24"/>
          <w:lang w:val="en-US"/>
        </w:rPr>
        <w:t xml:space="preserve"> (mm</w:t>
      </w:r>
      <w:r w:rsidRPr="00A21827">
        <w:rPr>
          <w:szCs w:val="24"/>
          <w:vertAlign w:val="superscript"/>
          <w:lang w:val="en-US"/>
        </w:rPr>
        <w:t>2</w:t>
      </w:r>
      <w:r w:rsidRPr="00A21827">
        <w:rPr>
          <w:szCs w:val="24"/>
          <w:lang w:val="en-US"/>
        </w:rPr>
        <w:t xml:space="preserve">); cortical perimeter, </w:t>
      </w:r>
      <w:proofErr w:type="spellStart"/>
      <w:r w:rsidRPr="00A21827">
        <w:rPr>
          <w:szCs w:val="24"/>
          <w:lang w:val="en-US"/>
        </w:rPr>
        <w:t>Ct.Pm</w:t>
      </w:r>
      <w:r w:rsidRPr="00A21827">
        <w:rPr>
          <w:szCs w:val="24"/>
          <w:vertAlign w:val="superscript"/>
          <w:lang w:val="en-US"/>
        </w:rPr>
        <w:t>BM</w:t>
      </w:r>
      <w:proofErr w:type="spellEnd"/>
      <w:r w:rsidRPr="00A21827">
        <w:rPr>
          <w:szCs w:val="24"/>
          <w:lang w:val="en-US"/>
        </w:rPr>
        <w:t xml:space="preserve"> (mm); volumetric BMD inside each cortical bone mimicking region, </w:t>
      </w:r>
      <w:proofErr w:type="spellStart"/>
      <w:r w:rsidRPr="00A21827">
        <w:rPr>
          <w:szCs w:val="24"/>
          <w:lang w:val="en-US"/>
        </w:rPr>
        <w:t>Ct.vBMD</w:t>
      </w:r>
      <w:proofErr w:type="spellEnd"/>
      <w:r w:rsidRPr="00A21827">
        <w:rPr>
          <w:vertAlign w:val="superscript"/>
        </w:rPr>
        <w:t>BM</w:t>
      </w:r>
      <w:r w:rsidRPr="00A21827">
        <w:rPr>
          <w:szCs w:val="24"/>
          <w:lang w:val="en-US"/>
        </w:rPr>
        <w:t xml:space="preserve"> (</w:t>
      </w:r>
      <w:proofErr w:type="spellStart"/>
      <w:r w:rsidRPr="00A21827">
        <w:rPr>
          <w:szCs w:val="24"/>
          <w:lang w:val="en-US"/>
        </w:rPr>
        <w:t>mgHA</w:t>
      </w:r>
      <w:proofErr w:type="spellEnd"/>
      <w:r w:rsidRPr="00A21827">
        <w:rPr>
          <w:szCs w:val="24"/>
          <w:lang w:val="en-US"/>
        </w:rPr>
        <w:t>/cm</w:t>
      </w:r>
      <w:r w:rsidRPr="00A21827">
        <w:rPr>
          <w:szCs w:val="24"/>
          <w:vertAlign w:val="superscript"/>
          <w:lang w:val="en-US"/>
        </w:rPr>
        <w:t>3</w:t>
      </w:r>
      <w:r w:rsidRPr="00A21827">
        <w:rPr>
          <w:szCs w:val="24"/>
          <w:lang w:val="en-US"/>
        </w:rPr>
        <w:t xml:space="preserve">); and total area, </w:t>
      </w:r>
      <w:proofErr w:type="spellStart"/>
      <w:r w:rsidRPr="00A21827">
        <w:rPr>
          <w:szCs w:val="24"/>
          <w:lang w:val="en-US"/>
        </w:rPr>
        <w:t>Tt.Ar</w:t>
      </w:r>
      <w:proofErr w:type="spellEnd"/>
      <w:r w:rsidRPr="00A21827">
        <w:rPr>
          <w:vertAlign w:val="superscript"/>
        </w:rPr>
        <w:t>BM</w:t>
      </w:r>
      <w:r w:rsidRPr="00A21827">
        <w:rPr>
          <w:szCs w:val="24"/>
          <w:lang w:val="en-US"/>
        </w:rPr>
        <w:t xml:space="preserve"> (mm</w:t>
      </w:r>
      <w:r w:rsidRPr="00A21827">
        <w:rPr>
          <w:szCs w:val="24"/>
          <w:vertAlign w:val="superscript"/>
          <w:lang w:val="en-US"/>
        </w:rPr>
        <w:t>2</w:t>
      </w:r>
      <w:r w:rsidRPr="00A21827">
        <w:rPr>
          <w:szCs w:val="24"/>
          <w:lang w:val="en-US"/>
        </w:rPr>
        <w:t xml:space="preserve">). Trabecular microstructural parameters were not measured because the trabecular bone mimic portion is nearly homogenous and displays a lack of microstructure. </w:t>
      </w:r>
    </w:p>
    <w:p w14:paraId="6C446AD0" w14:textId="1A8B3F68" w:rsidR="00A21827" w:rsidRPr="00A21827" w:rsidRDefault="00A21827" w:rsidP="00A21827">
      <w:pPr>
        <w:spacing w:line="360" w:lineRule="auto"/>
        <w:jc w:val="both"/>
        <w:rPr>
          <w:rFonts w:ascii="Times New Roman" w:hAnsi="Times New Roman" w:cs="Times New Roman"/>
          <w:i/>
        </w:rPr>
      </w:pPr>
      <w:r w:rsidRPr="00A21827">
        <w:rPr>
          <w:rFonts w:ascii="Times New Roman" w:hAnsi="Times New Roman" w:cs="Times New Roman"/>
          <w:b/>
          <w:i/>
        </w:rPr>
        <w:t xml:space="preserve">Repeated scans of OI participants </w:t>
      </w:r>
      <w:r w:rsidRPr="00A21827">
        <w:rPr>
          <w:rFonts w:ascii="Times New Roman" w:hAnsi="Times New Roman" w:cs="Times New Roman"/>
        </w:rPr>
        <w:t xml:space="preserve">Repeated scans of OI participants were used to assess </w:t>
      </w:r>
      <w:r w:rsidR="00FE266D">
        <w:rPr>
          <w:rFonts w:ascii="Times New Roman" w:hAnsi="Times New Roman" w:cs="Times New Roman"/>
        </w:rPr>
        <w:t xml:space="preserve">short-term </w:t>
      </w:r>
      <w:r w:rsidR="00FE266D" w:rsidRPr="009C764E">
        <w:rPr>
          <w:rFonts w:ascii="Times New Roman" w:hAnsi="Times New Roman" w:cs="Times New Roman"/>
        </w:rPr>
        <w:t>reproducibility.</w:t>
      </w:r>
      <w:r w:rsidRPr="009C764E">
        <w:rPr>
          <w:rFonts w:ascii="Times New Roman" w:hAnsi="Times New Roman" w:cs="Times New Roman"/>
        </w:rPr>
        <w:t xml:space="preserve"> </w:t>
      </w:r>
      <w:r w:rsidR="00FE266D" w:rsidRPr="009C764E">
        <w:rPr>
          <w:rFonts w:ascii="Times New Roman" w:hAnsi="Times New Roman" w:cs="Times New Roman"/>
        </w:rPr>
        <w:t xml:space="preserve">Scans were performed at the non-dominant radius/tibia, unless there was a history of prior fractures, surgery, or implants producing metal artifacts. </w:t>
      </w:r>
      <w:r w:rsidRPr="009C764E">
        <w:rPr>
          <w:rFonts w:ascii="Times New Roman" w:hAnsi="Times New Roman" w:cs="Times New Roman"/>
        </w:rPr>
        <w:t>The radius</w:t>
      </w:r>
      <w:r w:rsidRPr="00A21827">
        <w:rPr>
          <w:rFonts w:ascii="Times New Roman" w:hAnsi="Times New Roman" w:cs="Times New Roman"/>
        </w:rPr>
        <w:t xml:space="preserve"> length was estimated from the ulnar length, measured from the ulnar styloid process to the olecranon process, while the tibial length was measured from the tibial plateau to the distal edge of the medial malleolus. </w:t>
      </w:r>
      <w:r w:rsidR="00365667">
        <w:rPr>
          <w:rFonts w:ascii="Times New Roman" w:hAnsi="Times New Roman" w:cs="Times New Roman"/>
        </w:rPr>
        <w:t xml:space="preserve">For each participant, the radius and tibia lengths were measured once and the measured values were used in the acquisition of both repeated scans. </w:t>
      </w:r>
      <w:r w:rsidRPr="00A21827">
        <w:rPr>
          <w:rFonts w:ascii="Times New Roman" w:hAnsi="Times New Roman" w:cs="Times New Roman"/>
        </w:rPr>
        <w:t>The reference line was positioned by the technician at the medial proximal margin of the radial articular surface for radius scans and at the tibial plateau for tibia scans. The mid-point of the scanned volume of interest was located at a distance of 4% (radius) and 7% (tibia) of total bone length from the reference line</w:t>
      </w:r>
      <w:r w:rsidRPr="00A21827">
        <w:rPr>
          <w:rFonts w:ascii="Times New Roman" w:hAnsi="Times New Roman" w:cs="Times New Roman"/>
        </w:rPr>
        <w:fldChar w:fldCharType="begin">
          <w:fldData xml:space="preserve">PEVuZE5vdGU+PENpdGU+PEF1dGhvcj5Cb25hcmV0dGk8L0F1dGhvcj48WWVhcj4yMDE3PC9ZZWFy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=
</w:fldData>
        </w:fldChar>
      </w:r>
      <w:r w:rsidRPr="00A21827">
        <w:rPr>
          <w:rFonts w:ascii="Times New Roman" w:hAnsi="Times New Roman" w:cs="Times New Roman"/>
        </w:rPr>
        <w:instrText xml:space="preserve"> ADDIN EN.CITE </w:instrText>
      </w:r>
      <w:r w:rsidRPr="00A21827">
        <w:rPr>
          <w:rFonts w:ascii="Times New Roman" w:hAnsi="Times New Roman" w:cs="Times New Roman"/>
        </w:rPr>
        <w:fldChar w:fldCharType="begin">
          <w:fldData xml:space="preserve">PEVuZE5vdGU+PENpdGU+PEF1dGhvcj5Cb25hcmV0dGk8L0F1dGhvcj48WWVhcj4yMDE3PC9ZZWFy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=
</w:fldData>
        </w:fldChar>
      </w:r>
      <w:r w:rsidRPr="00A21827">
        <w:rPr>
          <w:rFonts w:ascii="Times New Roman" w:hAnsi="Times New Roman" w:cs="Times New Roman"/>
        </w:rPr>
        <w:instrText xml:space="preserve"> ADDIN EN.CITE.DATA </w:instrText>
      </w:r>
      <w:r w:rsidRPr="00A21827">
        <w:rPr>
          <w:rFonts w:ascii="Times New Roman" w:hAnsi="Times New Roman" w:cs="Times New Roman"/>
        </w:rPr>
      </w:r>
      <w:r w:rsidRPr="00A21827">
        <w:rPr>
          <w:rFonts w:ascii="Times New Roman" w:hAnsi="Times New Roman" w:cs="Times New Roman"/>
        </w:rPr>
        <w:fldChar w:fldCharType="end"/>
      </w:r>
      <w:r w:rsidRPr="00A21827">
        <w:rPr>
          <w:rFonts w:ascii="Times New Roman" w:hAnsi="Times New Roman" w:cs="Times New Roman"/>
        </w:rPr>
      </w:r>
      <w:r w:rsidRPr="00A21827">
        <w:rPr>
          <w:rFonts w:ascii="Times New Roman" w:hAnsi="Times New Roman" w:cs="Times New Roman"/>
        </w:rPr>
        <w:fldChar w:fldCharType="separate"/>
      </w:r>
      <w:r w:rsidRPr="00A21827">
        <w:rPr>
          <w:rFonts w:ascii="Times New Roman" w:hAnsi="Times New Roman" w:cs="Times New Roman"/>
          <w:noProof/>
          <w:vertAlign w:val="superscript"/>
        </w:rPr>
        <w:t>(25,26)</w:t>
      </w:r>
      <w:r w:rsidRPr="00A21827">
        <w:rPr>
          <w:rFonts w:ascii="Times New Roman" w:hAnsi="Times New Roman" w:cs="Times New Roman"/>
        </w:rPr>
        <w:fldChar w:fldCharType="end"/>
      </w:r>
      <w:r w:rsidRPr="00A21827">
        <w:rPr>
          <w:rFonts w:ascii="Times New Roman" w:hAnsi="Times New Roman" w:cs="Times New Roman"/>
        </w:rPr>
        <w:t xml:space="preserve">. The standard scan region was 110 slices at </w:t>
      </w:r>
      <w:r w:rsidRPr="00A21827">
        <w:rPr>
          <w:rFonts w:ascii="Times New Roman" w:hAnsi="Times New Roman" w:cs="Times New Roman"/>
          <w:color w:val="131413"/>
        </w:rPr>
        <w:t xml:space="preserve">82 </w:t>
      </w:r>
      <w:proofErr w:type="spellStart"/>
      <w:r w:rsidRPr="00A21827">
        <w:rPr>
          <w:rFonts w:ascii="Times New Roman" w:hAnsi="Times New Roman" w:cs="Times New Roman"/>
          <w:color w:val="131413"/>
        </w:rPr>
        <w:t>μm</w:t>
      </w:r>
      <w:proofErr w:type="spellEnd"/>
      <w:r w:rsidRPr="00A21827">
        <w:rPr>
          <w:rFonts w:ascii="Times New Roman" w:hAnsi="Times New Roman" w:cs="Times New Roman"/>
          <w:color w:val="131413"/>
        </w:rPr>
        <w:t xml:space="preserve"> isotropic voxel size</w:t>
      </w:r>
      <w:r w:rsidRPr="00A21827">
        <w:rPr>
          <w:rFonts w:ascii="Times New Roman" w:hAnsi="Times New Roman" w:cs="Times New Roman"/>
        </w:rPr>
        <w:t xml:space="preserve"> for XCT and 168 slices</w:t>
      </w:r>
      <w:r w:rsidRPr="00A21827">
        <w:rPr>
          <w:rFonts w:ascii="Times New Roman" w:hAnsi="Times New Roman" w:cs="Times New Roman"/>
          <w:color w:val="131413"/>
        </w:rPr>
        <w:t xml:space="preserve"> at 60.7 </w:t>
      </w:r>
      <w:proofErr w:type="spellStart"/>
      <w:r w:rsidRPr="00A21827">
        <w:rPr>
          <w:rFonts w:ascii="Times New Roman" w:hAnsi="Times New Roman" w:cs="Times New Roman"/>
          <w:color w:val="131413"/>
        </w:rPr>
        <w:t>μm</w:t>
      </w:r>
      <w:proofErr w:type="spellEnd"/>
      <w:r w:rsidRPr="00A21827">
        <w:rPr>
          <w:rFonts w:ascii="Times New Roman" w:hAnsi="Times New Roman" w:cs="Times New Roman"/>
          <w:color w:val="131413"/>
        </w:rPr>
        <w:t xml:space="preserve"> isotropic voxel size for XCT2</w:t>
      </w:r>
      <w:r w:rsidRPr="00A21827">
        <w:rPr>
          <w:rFonts w:ascii="Times New Roman" w:hAnsi="Times New Roman" w:cs="Times New Roman"/>
        </w:rPr>
        <w:t xml:space="preserve">. All scans were acquired </w:t>
      </w:r>
      <w:r w:rsidRPr="00A21827">
        <w:rPr>
          <w:rFonts w:ascii="Times New Roman" w:hAnsi="Times New Roman" w:cs="Times New Roman"/>
          <w:color w:val="131413"/>
        </w:rPr>
        <w:t xml:space="preserve">according to the manufacturer's standard </w:t>
      </w:r>
      <w:r w:rsidRPr="00A21827">
        <w:rPr>
          <w:rFonts w:ascii="Times New Roman" w:hAnsi="Times New Roman" w:cs="Times New Roman"/>
          <w:i/>
          <w:color w:val="131413"/>
        </w:rPr>
        <w:t>in vivo</w:t>
      </w:r>
      <w:r w:rsidRPr="00A21827">
        <w:rPr>
          <w:rFonts w:ascii="Times New Roman" w:hAnsi="Times New Roman" w:cs="Times New Roman"/>
          <w:color w:val="131413"/>
        </w:rPr>
        <w:t xml:space="preserve"> acquisition protocol for each respective generation of the scanner. For the </w:t>
      </w:r>
      <w:r w:rsidRPr="00A21827">
        <w:rPr>
          <w:rFonts w:ascii="Times New Roman" w:hAnsi="Times New Roman" w:cs="Times New Roman"/>
        </w:rPr>
        <w:t xml:space="preserve">XCT, the acquisition protocol is as follows: energy: 59.4 </w:t>
      </w:r>
      <w:proofErr w:type="spellStart"/>
      <w:r w:rsidRPr="00A21827">
        <w:rPr>
          <w:rFonts w:ascii="Times New Roman" w:hAnsi="Times New Roman" w:cs="Times New Roman"/>
        </w:rPr>
        <w:t>kVp</w:t>
      </w:r>
      <w:proofErr w:type="spellEnd"/>
      <w:r w:rsidRPr="00A21827">
        <w:rPr>
          <w:rFonts w:ascii="Times New Roman" w:hAnsi="Times New Roman" w:cs="Times New Roman"/>
        </w:rPr>
        <w:t xml:space="preserve">, current: 900 </w:t>
      </w:r>
      <w:proofErr w:type="spellStart"/>
      <w:r w:rsidRPr="00A21827">
        <w:rPr>
          <w:rFonts w:ascii="Times New Roman" w:hAnsi="Times New Roman" w:cs="Times New Roman"/>
          <w:color w:val="131413"/>
        </w:rPr>
        <w:t>μA</w:t>
      </w:r>
      <w:proofErr w:type="spellEnd"/>
      <w:r w:rsidRPr="00A21827">
        <w:rPr>
          <w:rFonts w:ascii="Times New Roman" w:hAnsi="Times New Roman" w:cs="Times New Roman"/>
          <w:color w:val="131413"/>
        </w:rPr>
        <w:t xml:space="preserve">, field of view: 12.6 cm, integration time: 100 </w:t>
      </w:r>
      <w:proofErr w:type="spellStart"/>
      <w:r w:rsidRPr="00A21827">
        <w:rPr>
          <w:rFonts w:ascii="Times New Roman" w:hAnsi="Times New Roman" w:cs="Times New Roman"/>
          <w:color w:val="131413"/>
        </w:rPr>
        <w:t>ms</w:t>
      </w:r>
      <w:proofErr w:type="spellEnd"/>
      <w:r w:rsidRPr="00A21827">
        <w:rPr>
          <w:rFonts w:ascii="Times New Roman" w:hAnsi="Times New Roman" w:cs="Times New Roman"/>
          <w:color w:val="131413"/>
        </w:rPr>
        <w:t xml:space="preserve">, scan time: 2.8 min, stack length: 9.020 mm. For the </w:t>
      </w:r>
      <w:r w:rsidRPr="00A21827">
        <w:rPr>
          <w:rFonts w:ascii="Times New Roman" w:hAnsi="Times New Roman" w:cs="Times New Roman"/>
        </w:rPr>
        <w:t xml:space="preserve">XCT2, the acquisition protocol is as follows: 68.0 </w:t>
      </w:r>
      <w:proofErr w:type="spellStart"/>
      <w:r w:rsidRPr="00A21827">
        <w:rPr>
          <w:rFonts w:ascii="Times New Roman" w:hAnsi="Times New Roman" w:cs="Times New Roman"/>
        </w:rPr>
        <w:lastRenderedPageBreak/>
        <w:t>kVp</w:t>
      </w:r>
      <w:proofErr w:type="spellEnd"/>
      <w:r w:rsidRPr="00A21827">
        <w:rPr>
          <w:rFonts w:ascii="Times New Roman" w:hAnsi="Times New Roman" w:cs="Times New Roman"/>
        </w:rPr>
        <w:t xml:space="preserve">, current: 1470 </w:t>
      </w:r>
      <w:proofErr w:type="spellStart"/>
      <w:r w:rsidRPr="00A21827">
        <w:rPr>
          <w:rFonts w:ascii="Times New Roman" w:hAnsi="Times New Roman" w:cs="Times New Roman"/>
          <w:color w:val="131413"/>
        </w:rPr>
        <w:t>μA</w:t>
      </w:r>
      <w:proofErr w:type="spellEnd"/>
      <w:r w:rsidRPr="00A21827">
        <w:rPr>
          <w:rFonts w:ascii="Times New Roman" w:hAnsi="Times New Roman" w:cs="Times New Roman"/>
          <w:color w:val="131413"/>
        </w:rPr>
        <w:t xml:space="preserve">, field of view: 14.0 cm, integration time: 43 </w:t>
      </w:r>
      <w:proofErr w:type="spellStart"/>
      <w:r w:rsidRPr="00A21827">
        <w:rPr>
          <w:rFonts w:ascii="Times New Roman" w:hAnsi="Times New Roman" w:cs="Times New Roman"/>
          <w:color w:val="131413"/>
        </w:rPr>
        <w:t>ms</w:t>
      </w:r>
      <w:proofErr w:type="spellEnd"/>
      <w:r w:rsidRPr="00A21827">
        <w:rPr>
          <w:rFonts w:ascii="Times New Roman" w:hAnsi="Times New Roman" w:cs="Times New Roman"/>
          <w:color w:val="131413"/>
        </w:rPr>
        <w:t>, scan time: 2.0 min, stack length: 10.197 mm.</w:t>
      </w:r>
    </w:p>
    <w:p w14:paraId="17C28D53" w14:textId="77777777" w:rsidR="00A21827" w:rsidRDefault="00A21827" w:rsidP="00A21827">
      <w:pPr>
        <w:pStyle w:val="Heading2"/>
        <w:numPr>
          <w:ilvl w:val="1"/>
          <w:numId w:val="3"/>
        </w:numPr>
        <w:rPr>
          <w:rFonts w:ascii="Times New Roman" w:hAnsi="Times New Roman" w:cs="Times New Roman"/>
          <w:color w:val="000000" w:themeColor="text1"/>
          <w:sz w:val="30"/>
          <w:szCs w:val="30"/>
        </w:rPr>
      </w:pPr>
      <w:r>
        <w:rPr>
          <w:rFonts w:ascii="Times New Roman" w:hAnsi="Times New Roman" w:cs="Times New Roman"/>
          <w:color w:val="000000" w:themeColor="text1"/>
          <w:sz w:val="30"/>
          <w:szCs w:val="30"/>
        </w:rPr>
        <w:t>Precision Errors</w:t>
      </w:r>
    </w:p>
    <w:p w14:paraId="1DB46206" w14:textId="77777777" w:rsidR="00A21827" w:rsidRDefault="00A21827" w:rsidP="00A21827"/>
    <w:p w14:paraId="2C2154DA" w14:textId="77777777" w:rsidR="00A21827" w:rsidRDefault="00A21827" w:rsidP="00A21827">
      <w:pPr>
        <w:spacing w:line="360" w:lineRule="auto"/>
        <w:jc w:val="both"/>
      </w:pPr>
      <w:r>
        <w:rPr>
          <w:b/>
          <w:i/>
        </w:rPr>
        <w:t>Short-term multi-site (STMS) precision errors</w:t>
      </w:r>
      <w:r>
        <w:t xml:space="preserve"> </w:t>
      </w:r>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RMS</m:t>
            </m:r>
          </m:sub>
          <m:sup>
            <m:r>
              <w:rPr>
                <w:rFonts w:ascii="Cambria Math" w:hAnsi="Cambria Math"/>
              </w:rPr>
              <m:t>STMS</m:t>
            </m:r>
          </m:sup>
        </m:sSubSup>
      </m:oMath>
      <w:r>
        <w:t xml:space="preserve"> were computed as:</w:t>
      </w:r>
    </w:p>
    <w:p w14:paraId="15C0EC6A" w14:textId="77777777" w:rsidR="00A21827" w:rsidRDefault="00031871" w:rsidP="00A21827">
      <w:pPr>
        <w:spacing w:line="360" w:lineRule="auto"/>
        <w:jc w:val="both"/>
      </w:pPr>
      <m:oMathPara>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RMS</m:t>
              </m:r>
            </m:sub>
            <m:sup>
              <m:r>
                <w:rPr>
                  <w:rFonts w:ascii="Cambria Math" w:hAnsi="Cambria Math"/>
                </w:rPr>
                <m:t>SM</m:t>
              </m:r>
            </m:sup>
          </m:sSubSup>
          <m:r>
            <w:rPr>
              <w:rFonts w:ascii="Cambria Math" w:hAnsi="Cambria Math"/>
            </w:rPr>
            <m:t>=</m:t>
          </m:r>
          <m:rad>
            <m:radPr>
              <m:degHide m:val="1"/>
              <m:ctrlPr>
                <w:rPr>
                  <w:rFonts w:ascii="Cambria Math" w:hAnsi="Cambria Math" w:cs="Times New Roman"/>
                  <w:i/>
                  <w:szCs w:val="22"/>
                </w:rPr>
              </m:ctrlPr>
            </m:radPr>
            <m:deg/>
            <m:e>
              <m:f>
                <m:fPr>
                  <m:ctrlPr>
                    <w:rPr>
                      <w:rFonts w:ascii="Cambria Math" w:hAnsi="Cambria Math" w:cs="Times New Roman"/>
                      <w:i/>
                      <w:szCs w:val="22"/>
                    </w:rPr>
                  </m:ctrlPr>
                </m:fPr>
                <m:num>
                  <m:r>
                    <w:rPr>
                      <w:rFonts w:ascii="Cambria Math" w:hAnsi="Cambria Math"/>
                    </w:rPr>
                    <m:t>1</m:t>
                  </m:r>
                </m:num>
                <m:den>
                  <m:sSub>
                    <m:sSubPr>
                      <m:ctrlPr>
                        <w:rPr>
                          <w:rFonts w:ascii="Cambria Math" w:hAnsi="Cambria Math" w:cs="Times New Roman"/>
                          <w:i/>
                          <w:szCs w:val="22"/>
                        </w:rPr>
                      </m:ctrlPr>
                    </m:sSubPr>
                    <m:e>
                      <m:r>
                        <w:rPr>
                          <w:rFonts w:ascii="Cambria Math" w:hAnsi="Cambria Math"/>
                        </w:rPr>
                        <m:t>N</m:t>
                      </m:r>
                    </m:e>
                    <m:sub>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r>
                        <w:rPr>
                          <w:rFonts w:ascii="Cambria Math" w:hAnsi="Cambria Math"/>
                        </w:rPr>
                        <m:t>,T</m:t>
                      </m:r>
                    </m:sub>
                  </m:sSub>
                  <m:r>
                    <w:rPr>
                      <w:rFonts w:ascii="Cambria Math" w:hAnsi="Cambria Math"/>
                    </w:rPr>
                    <m:t xml:space="preserve"> </m:t>
                  </m:r>
                </m:den>
              </m:f>
              <m:nary>
                <m:naryPr>
                  <m:chr m:val="∑"/>
                  <m:limLoc m:val="undOvr"/>
                  <m:supHide m:val="1"/>
                  <m:ctrlPr>
                    <w:rPr>
                      <w:rFonts w:ascii="Cambria Math" w:hAnsi="Cambria Math" w:cs="Times New Roman"/>
                      <w:i/>
                      <w:szCs w:val="22"/>
                    </w:rPr>
                  </m:ctrlPr>
                </m:naryPr>
                <m:sub>
                  <m:r>
                    <w:rPr>
                      <w:rFonts w:ascii="Cambria Math" w:hAnsi="Cambria Math"/>
                    </w:rPr>
                    <m:t>t∈T</m:t>
                  </m:r>
                </m:sub>
                <m:sup/>
                <m:e>
                  <m:nary>
                    <m:naryPr>
                      <m:chr m:val="∑"/>
                      <m:limLoc m:val="undOvr"/>
                      <m:supHide m:val="1"/>
                      <m:ctrlPr>
                        <w:rPr>
                          <w:rFonts w:ascii="Cambria Math" w:hAnsi="Cambria Math" w:cs="Times New Roman"/>
                          <w:i/>
                          <w:szCs w:val="22"/>
                        </w:rPr>
                      </m:ctrlPr>
                    </m:naryPr>
                    <m:sub>
                      <m:r>
                        <w:rPr>
                          <w:rFonts w:ascii="Cambria Math" w:hAnsi="Cambria Math"/>
                        </w:rPr>
                        <m:t>j∈</m:t>
                      </m:r>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sub>
                    <m:sup/>
                    <m:e>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i,j, p,s∈S,t</m:t>
                          </m:r>
                        </m:sub>
                        <m:sup>
                          <m:r>
                            <w:rPr>
                              <w:rFonts w:ascii="Cambria Math" w:hAnsi="Cambria Math"/>
                            </w:rPr>
                            <m:t>2</m:t>
                          </m:r>
                        </m:sup>
                      </m:sSubSup>
                    </m:e>
                  </m:nary>
                </m:e>
              </m:nary>
            </m:e>
          </m:rad>
        </m:oMath>
      </m:oMathPara>
    </w:p>
    <w:p w14:paraId="253A6159" w14:textId="77777777" w:rsidR="00A21827" w:rsidRDefault="00A21827" w:rsidP="00A21827">
      <w:pPr>
        <w:spacing w:line="360" w:lineRule="auto"/>
        <w:jc w:val="both"/>
      </w:pPr>
      <w:r>
        <w:t xml:space="preserve">and </w:t>
      </w:r>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Med</m:t>
            </m:r>
          </m:sub>
          <m:sup>
            <m:r>
              <w:rPr>
                <w:rFonts w:ascii="Cambria Math" w:hAnsi="Cambria Math"/>
              </w:rPr>
              <m:t>STMS</m:t>
            </m:r>
          </m:sup>
        </m:sSubSup>
      </m:oMath>
      <w:r>
        <w:t xml:space="preserve"> as:</w:t>
      </w:r>
    </w:p>
    <w:p w14:paraId="4BB547B5" w14:textId="77777777" w:rsidR="00A21827" w:rsidRDefault="00031871" w:rsidP="00A21827">
      <w:pPr>
        <w:spacing w:line="360" w:lineRule="auto"/>
        <w:jc w:val="both"/>
        <w:rPr>
          <w:rFonts w:eastAsiaTheme="minorHAnsi"/>
        </w:rPr>
      </w:pPr>
      <m:oMathPara>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Med</m:t>
              </m:r>
            </m:sub>
            <m:sup>
              <m:r>
                <w:rPr>
                  <w:rFonts w:ascii="Cambria Math" w:hAnsi="Cambria Math"/>
                </w:rPr>
                <m:t>STMS</m:t>
              </m:r>
            </m:sup>
          </m:sSubSup>
          <m:r>
            <w:rPr>
              <w:rFonts w:ascii="Cambria Math" w:hAnsi="Cambria Math"/>
            </w:rPr>
            <m:t>=</m:t>
          </m:r>
          <m:func>
            <m:funcPr>
              <m:ctrlPr>
                <w:rPr>
                  <w:rFonts w:ascii="Cambria Math" w:hAnsi="Cambria Math" w:cs="Times New Roman"/>
                  <w:szCs w:val="22"/>
                </w:rPr>
              </m:ctrlPr>
            </m:funcPr>
            <m:fName>
              <m:limLow>
                <m:limLowPr>
                  <m:ctrlPr>
                    <w:rPr>
                      <w:rFonts w:ascii="Cambria Math" w:hAnsi="Cambria Math" w:cs="Times New Roman"/>
                      <w:szCs w:val="22"/>
                    </w:rPr>
                  </m:ctrlPr>
                </m:limLowPr>
                <m:e>
                  <m:r>
                    <m:rPr>
                      <m:sty m:val="p"/>
                    </m:rPr>
                    <w:rPr>
                      <w:rFonts w:ascii="Cambria Math" w:hAnsi="Cambria Math"/>
                    </w:rPr>
                    <m:t>med</m:t>
                  </m:r>
                </m:e>
                <m:lim>
                  <m:r>
                    <w:rPr>
                      <w:rFonts w:ascii="Cambria Math" w:hAnsi="Cambria Math"/>
                    </w:rPr>
                    <m:t>t∈T,j∈</m:t>
                  </m:r>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lim>
              </m:limLow>
            </m:fName>
            <m:e>
              <m:d>
                <m:dPr>
                  <m:begChr m:val="{"/>
                  <m:endChr m:val="}"/>
                  <m:ctrlPr>
                    <w:rPr>
                      <w:rFonts w:ascii="Cambria Math" w:hAnsi="Cambria Math" w:cs="Times New Roman"/>
                      <w:i/>
                      <w:szCs w:val="22"/>
                    </w:rPr>
                  </m:ctrlPr>
                </m:dPr>
                <m:e>
                  <m:sSub>
                    <m:sSubPr>
                      <m:ctrlPr>
                        <w:rPr>
                          <w:rFonts w:ascii="Cambria Math" w:hAnsi="Cambria Math" w:cs="Times New Roman"/>
                          <w:i/>
                          <w:szCs w:val="22"/>
                        </w:rPr>
                      </m:ctrlPr>
                    </m:sSubPr>
                    <m:e>
                      <m:r>
                        <w:rPr>
                          <w:rFonts w:ascii="Cambria Math" w:hAnsi="Cambria Math"/>
                        </w:rPr>
                        <m:t>PE</m:t>
                      </m:r>
                    </m:e>
                    <m:sub>
                      <m:r>
                        <w:rPr>
                          <w:rFonts w:ascii="Cambria Math" w:hAnsi="Cambria Math"/>
                        </w:rPr>
                        <m:t>i,j, p,s∈S,t</m:t>
                      </m:r>
                    </m:sub>
                  </m:sSub>
                </m:e>
              </m:d>
            </m:e>
          </m:func>
        </m:oMath>
      </m:oMathPara>
    </w:p>
    <w:p w14:paraId="048CC353" w14:textId="77777777" w:rsidR="00A21827" w:rsidRDefault="00A21827" w:rsidP="00A21827">
      <w:pPr>
        <w:spacing w:line="360" w:lineRule="auto"/>
        <w:jc w:val="both"/>
      </w:pPr>
      <w:r>
        <w:t xml:space="preserve">E.g., </w:t>
      </w:r>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RMS</m:t>
            </m:r>
          </m:sub>
          <m:sup>
            <m:r>
              <w:rPr>
                <w:rFonts w:ascii="Cambria Math" w:hAnsi="Cambria Math"/>
              </w:rPr>
              <m:t>STMS</m:t>
            </m:r>
          </m:sup>
        </m:sSubSup>
      </m:oMath>
      <w:r>
        <w:t>(</w:t>
      </w:r>
      <m:oMath>
        <m:r>
          <w:rPr>
            <w:rFonts w:ascii="Cambria Math" w:hAnsi="Cambria Math"/>
          </w:rPr>
          <m:t>i=</m:t>
        </m:r>
      </m:oMath>
      <w:r>
        <w:t xml:space="preserve"> EFP, </w:t>
      </w:r>
      <m:oMath>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cs="Times New Roman"/>
                <w:i/>
                <w:szCs w:val="22"/>
              </w:rPr>
            </m:ctrlPr>
          </m:sSubPr>
          <m:e>
            <m:r>
              <w:rPr>
                <w:rFonts w:ascii="Cambria Math" w:hAnsi="Cambria Math"/>
              </w:rPr>
              <m:t>J</m:t>
            </m:r>
          </m:e>
          <m:sub>
            <m:r>
              <w:rPr>
                <w:rFonts w:ascii="Cambria Math" w:hAnsi="Cambria Math"/>
              </w:rPr>
              <m:t>EFP</m:t>
            </m:r>
          </m:sub>
        </m:sSub>
      </m:oMath>
      <w:r>
        <w:t xml:space="preserve">, </w:t>
      </w:r>
      <m:oMath>
        <m:r>
          <w:rPr>
            <w:rFonts w:ascii="Cambria Math" w:hAnsi="Cambria Math"/>
          </w:rPr>
          <m:t>p=</m:t>
        </m:r>
      </m:oMath>
      <w:r>
        <w:t xml:space="preserve"> Tb.vBMD</w:t>
      </w:r>
      <w:r>
        <w:rPr>
          <w:vertAlign w:val="superscript"/>
        </w:rPr>
        <w:t>BM</w:t>
      </w:r>
      <w:r>
        <w:t xml:space="preserve">, </w:t>
      </w:r>
      <m:oMath>
        <m:sSub>
          <m:sSubPr>
            <m:ctrlPr>
              <w:rPr>
                <w:rFonts w:ascii="Cambria Math" w:hAnsi="Cambria Math" w:cs="Times New Roman"/>
                <w:i/>
                <w:szCs w:val="22"/>
              </w:rPr>
            </m:ctrlPr>
          </m:sSubPr>
          <m:e>
            <m:r>
              <w:rPr>
                <w:rFonts w:ascii="Cambria Math" w:hAnsi="Cambria Math"/>
              </w:rPr>
              <m:t>S=S</m:t>
            </m:r>
          </m:e>
          <m:sub>
            <m:r>
              <w:rPr>
                <w:rFonts w:ascii="Cambria Math" w:hAnsi="Cambria Math"/>
              </w:rPr>
              <m:t>all</m:t>
            </m:r>
          </m:sub>
        </m:sSub>
      </m:oMath>
      <w:r>
        <w:t xml:space="preserve">, and </w:t>
      </w:r>
      <m:oMath>
        <m:r>
          <w:rPr>
            <w:rFonts w:ascii="Cambria Math" w:hAnsi="Cambria Math"/>
          </w:rPr>
          <m:t>T=</m:t>
        </m:r>
        <m:sSub>
          <m:sSubPr>
            <m:ctrlPr>
              <w:rPr>
                <w:rFonts w:ascii="Cambria Math" w:hAnsi="Cambria Math" w:cs="Times New Roman"/>
                <w:i/>
                <w:szCs w:val="22"/>
              </w:rPr>
            </m:ctrlPr>
          </m:sSubPr>
          <m:e>
            <m:r>
              <w:rPr>
                <w:rFonts w:ascii="Cambria Math" w:hAnsi="Cambria Math"/>
              </w:rPr>
              <m:t>T</m:t>
            </m:r>
          </m:e>
          <m:sub>
            <m:r>
              <w:rPr>
                <w:rFonts w:ascii="Cambria Math" w:hAnsi="Cambria Math"/>
              </w:rPr>
              <m:t>all</m:t>
            </m:r>
          </m:sub>
        </m:sSub>
      </m:oMath>
      <w:r>
        <w:t>) is the short-term multi-site precision error of EFP-derived (</w:t>
      </w:r>
      <m:oMath>
        <m:r>
          <w:rPr>
            <w:rFonts w:ascii="Cambria Math" w:hAnsi="Cambria Math"/>
          </w:rPr>
          <m:t>i</m:t>
        </m:r>
      </m:oMath>
      <w:r>
        <w:t>) Tb.vBMD</w:t>
      </w:r>
      <w:r>
        <w:rPr>
          <w:vertAlign w:val="superscript"/>
        </w:rPr>
        <w:t>BM</w:t>
      </w:r>
      <w:r>
        <w:t xml:space="preserve"> (</w:t>
      </w:r>
      <m:oMath>
        <m:r>
          <w:rPr>
            <w:rFonts w:ascii="Cambria Math" w:hAnsi="Cambria Math"/>
          </w:rPr>
          <m:t>p</m:t>
        </m:r>
      </m:oMath>
      <w:r>
        <w:t>) estimated by pooling scans from all sites (</w:t>
      </w:r>
      <m:oMath>
        <m:sSub>
          <m:sSubPr>
            <m:ctrlPr>
              <w:rPr>
                <w:rFonts w:ascii="Cambria Math" w:hAnsi="Cambria Math" w:cs="Times New Roman"/>
                <w:i/>
                <w:szCs w:val="22"/>
              </w:rPr>
            </m:ctrlPr>
          </m:sSubPr>
          <m:e>
            <m:r>
              <w:rPr>
                <w:rFonts w:ascii="Cambria Math" w:hAnsi="Cambria Math"/>
              </w:rPr>
              <m:t>S</m:t>
            </m:r>
          </m:e>
          <m:sub>
            <m:r>
              <w:rPr>
                <w:rFonts w:ascii="Cambria Math" w:hAnsi="Cambria Math"/>
              </w:rPr>
              <m:t>all</m:t>
            </m:r>
          </m:sub>
        </m:sSub>
      </m:oMath>
      <w:r>
        <w:t>) and computing PEs for each EFP section (</w:t>
      </w:r>
      <m:oMath>
        <m:sSub>
          <m:sSubPr>
            <m:ctrlPr>
              <w:rPr>
                <w:rFonts w:ascii="Cambria Math" w:hAnsi="Cambria Math" w:cs="Times New Roman"/>
                <w:i/>
                <w:szCs w:val="22"/>
              </w:rPr>
            </m:ctrlPr>
          </m:sSubPr>
          <m:e>
            <m:r>
              <w:rPr>
                <w:rFonts w:ascii="Cambria Math" w:hAnsi="Cambria Math"/>
              </w:rPr>
              <m:t>J</m:t>
            </m:r>
          </m:e>
          <m:sub>
            <m:r>
              <w:rPr>
                <w:rFonts w:ascii="Cambria Math" w:hAnsi="Cambria Math"/>
              </w:rPr>
              <m:t>EFP</m:t>
            </m:r>
          </m:sub>
        </m:sSub>
      </m:oMath>
      <w:r>
        <w:t>) at each timepoint (</w:t>
      </w:r>
      <m:oMath>
        <m:sSub>
          <m:sSubPr>
            <m:ctrlPr>
              <w:rPr>
                <w:rFonts w:ascii="Cambria Math" w:hAnsi="Cambria Math" w:cs="Times New Roman"/>
                <w:i/>
                <w:szCs w:val="22"/>
              </w:rPr>
            </m:ctrlPr>
          </m:sSubPr>
          <m:e>
            <m:r>
              <w:rPr>
                <w:rFonts w:ascii="Cambria Math" w:hAnsi="Cambria Math"/>
              </w:rPr>
              <m:t>T</m:t>
            </m:r>
          </m:e>
          <m:sub>
            <m:r>
              <w:rPr>
                <w:rFonts w:ascii="Cambria Math" w:hAnsi="Cambria Math"/>
              </w:rPr>
              <m:t>all</m:t>
            </m:r>
          </m:sub>
        </m:sSub>
      </m:oMath>
      <w:r>
        <w:t xml:space="preserve">). </w:t>
      </w:r>
    </w:p>
    <w:p w14:paraId="272DEF17" w14:textId="77777777" w:rsidR="00A21827" w:rsidRDefault="00A21827" w:rsidP="0054207A">
      <w:pPr>
        <w:spacing w:before="80" w:line="360" w:lineRule="auto"/>
        <w:jc w:val="both"/>
      </w:pPr>
      <w:r>
        <w:rPr>
          <w:b/>
          <w:i/>
        </w:rPr>
        <w:t>Longitudinal single-site (LTSS) precision errors</w:t>
      </w:r>
      <w:r>
        <w:t xml:space="preserve"> </w:t>
      </w:r>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RMS</m:t>
            </m:r>
          </m:sub>
          <m:sup>
            <m:r>
              <w:rPr>
                <w:rFonts w:ascii="Cambria Math" w:hAnsi="Cambria Math"/>
              </w:rPr>
              <m:t>LTSS</m:t>
            </m:r>
          </m:sup>
        </m:sSubSup>
      </m:oMath>
      <w:r>
        <w:t>were computed as:</w:t>
      </w:r>
    </w:p>
    <w:p w14:paraId="283A1814" w14:textId="77777777" w:rsidR="00A21827" w:rsidRDefault="00031871" w:rsidP="00A21827">
      <w:pPr>
        <w:spacing w:line="360" w:lineRule="auto"/>
        <w:jc w:val="both"/>
      </w:pPr>
      <m:oMathPara>
        <m:oMath>
          <m:sSubSup>
            <m:sSubSupPr>
              <m:ctrlPr>
                <w:rPr>
                  <w:rFonts w:ascii="Cambria Math" w:hAnsi="Cambria Math" w:cs="Times New Roman"/>
                  <w:i/>
                  <w:szCs w:val="22"/>
                </w:rPr>
              </m:ctrlPr>
            </m:sSubSupPr>
            <m:e>
              <m:r>
                <w:rPr>
                  <w:rFonts w:ascii="Cambria Math" w:hAnsi="Cambria Math"/>
                </w:rPr>
                <m:t>P</m:t>
              </m:r>
              <m:r>
                <w:rPr>
                  <w:rFonts w:ascii="Cambria Math" w:hAnsi="Cambria Math"/>
                </w:rPr>
                <m:t>E</m:t>
              </m:r>
            </m:e>
            <m:sub>
              <m:r>
                <w:rPr>
                  <w:rFonts w:ascii="Cambria Math" w:hAnsi="Cambria Math"/>
                </w:rPr>
                <m:t>RMS</m:t>
              </m:r>
            </m:sub>
            <m:sup>
              <m:r>
                <w:rPr>
                  <w:rFonts w:ascii="Cambria Math" w:hAnsi="Cambria Math"/>
                </w:rPr>
                <m:t>LTSS</m:t>
              </m:r>
            </m:sup>
          </m:sSubSup>
          <m:r>
            <w:rPr>
              <w:rFonts w:ascii="Cambria Math" w:hAnsi="Cambria Math"/>
            </w:rPr>
            <m:t>=</m:t>
          </m:r>
          <m:rad>
            <m:radPr>
              <m:degHide m:val="1"/>
              <m:ctrlPr>
                <w:rPr>
                  <w:rFonts w:ascii="Cambria Math" w:hAnsi="Cambria Math" w:cs="Times New Roman"/>
                  <w:i/>
                  <w:szCs w:val="22"/>
                </w:rPr>
              </m:ctrlPr>
            </m:radPr>
            <m:deg/>
            <m:e>
              <m:f>
                <m:fPr>
                  <m:ctrlPr>
                    <w:rPr>
                      <w:rFonts w:ascii="Cambria Math" w:hAnsi="Cambria Math" w:cs="Times New Roman"/>
                      <w:i/>
                      <w:szCs w:val="22"/>
                    </w:rPr>
                  </m:ctrlPr>
                </m:fPr>
                <m:num>
                  <m:r>
                    <w:rPr>
                      <w:rFonts w:ascii="Cambria Math" w:hAnsi="Cambria Math"/>
                    </w:rPr>
                    <m:t>1</m:t>
                  </m:r>
                </m:num>
                <m:den>
                  <m:sSub>
                    <m:sSubPr>
                      <m:ctrlPr>
                        <w:rPr>
                          <w:rFonts w:ascii="Cambria Math" w:hAnsi="Cambria Math" w:cs="Times New Roman"/>
                          <w:i/>
                          <w:szCs w:val="22"/>
                        </w:rPr>
                      </m:ctrlPr>
                    </m:sSubPr>
                    <m:e>
                      <m:r>
                        <w:rPr>
                          <w:rFonts w:ascii="Cambria Math" w:hAnsi="Cambria Math"/>
                        </w:rPr>
                        <m:t>N</m:t>
                      </m:r>
                    </m:e>
                    <m:sub>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r>
                        <w:rPr>
                          <w:rFonts w:ascii="Cambria Math" w:hAnsi="Cambria Math"/>
                        </w:rPr>
                        <m:t>,S</m:t>
                      </m:r>
                    </m:sub>
                  </m:sSub>
                  <m:r>
                    <w:rPr>
                      <w:rFonts w:ascii="Cambria Math" w:hAnsi="Cambria Math"/>
                    </w:rPr>
                    <m:t xml:space="preserve"> </m:t>
                  </m:r>
                </m:den>
              </m:f>
              <m:nary>
                <m:naryPr>
                  <m:chr m:val="∑"/>
                  <m:limLoc m:val="undOvr"/>
                  <m:supHide m:val="1"/>
                  <m:ctrlPr>
                    <w:rPr>
                      <w:rFonts w:ascii="Cambria Math" w:hAnsi="Cambria Math" w:cs="Times New Roman"/>
                      <w:i/>
                      <w:szCs w:val="22"/>
                    </w:rPr>
                  </m:ctrlPr>
                </m:naryPr>
                <m:sub>
                  <m:r>
                    <w:rPr>
                      <w:rFonts w:ascii="Cambria Math" w:hAnsi="Cambria Math"/>
                    </w:rPr>
                    <m:t>s∈S</m:t>
                  </m:r>
                </m:sub>
                <m:sup/>
                <m:e>
                  <m:nary>
                    <m:naryPr>
                      <m:chr m:val="∑"/>
                      <m:limLoc m:val="undOvr"/>
                      <m:supHide m:val="1"/>
                      <m:ctrlPr>
                        <w:rPr>
                          <w:rFonts w:ascii="Cambria Math" w:hAnsi="Cambria Math" w:cs="Times New Roman"/>
                          <w:i/>
                          <w:szCs w:val="22"/>
                        </w:rPr>
                      </m:ctrlPr>
                    </m:naryPr>
                    <m:sub>
                      <m:r>
                        <w:rPr>
                          <w:rFonts w:ascii="Cambria Math" w:hAnsi="Cambria Math"/>
                        </w:rPr>
                        <m:t>j∈</m:t>
                      </m:r>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sub>
                    <m:sup/>
                    <m:e>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i,j, p,s,t∈T</m:t>
                          </m:r>
                        </m:sub>
                        <m:sup>
                          <m:r>
                            <w:rPr>
                              <w:rFonts w:ascii="Cambria Math" w:hAnsi="Cambria Math"/>
                            </w:rPr>
                            <m:t>2</m:t>
                          </m:r>
                        </m:sup>
                      </m:sSubSup>
                    </m:e>
                  </m:nary>
                </m:e>
              </m:nary>
            </m:e>
          </m:rad>
        </m:oMath>
      </m:oMathPara>
    </w:p>
    <w:p w14:paraId="57BA7F1F" w14:textId="77777777" w:rsidR="00A21827" w:rsidRDefault="00A21827" w:rsidP="00A21827">
      <w:pPr>
        <w:spacing w:line="360" w:lineRule="auto"/>
        <w:jc w:val="both"/>
      </w:pPr>
      <w:r>
        <w:t xml:space="preserve">and </w:t>
      </w:r>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Med</m:t>
            </m:r>
          </m:sub>
          <m:sup>
            <m:r>
              <w:rPr>
                <w:rFonts w:ascii="Cambria Math" w:hAnsi="Cambria Math"/>
              </w:rPr>
              <m:t>LTSS</m:t>
            </m:r>
          </m:sup>
        </m:sSubSup>
      </m:oMath>
      <w:r>
        <w:t xml:space="preserve"> as:</w:t>
      </w:r>
    </w:p>
    <w:p w14:paraId="28ABA985" w14:textId="77777777" w:rsidR="00A21827" w:rsidRDefault="00031871" w:rsidP="00A21827">
      <w:pPr>
        <w:spacing w:line="360" w:lineRule="auto"/>
        <w:jc w:val="both"/>
        <w:rPr>
          <w:rFonts w:eastAsiaTheme="minorHAnsi"/>
        </w:rPr>
      </w:pPr>
      <m:oMathPara>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Med</m:t>
              </m:r>
            </m:sub>
            <m:sup>
              <m:r>
                <w:rPr>
                  <w:rFonts w:ascii="Cambria Math" w:hAnsi="Cambria Math"/>
                </w:rPr>
                <m:t>LTSS</m:t>
              </m:r>
            </m:sup>
          </m:sSubSup>
          <m:r>
            <w:rPr>
              <w:rFonts w:ascii="Cambria Math" w:hAnsi="Cambria Math"/>
            </w:rPr>
            <m:t>=</m:t>
          </m:r>
          <m:func>
            <m:funcPr>
              <m:ctrlPr>
                <w:rPr>
                  <w:rFonts w:ascii="Cambria Math" w:hAnsi="Cambria Math" w:cs="Times New Roman"/>
                  <w:szCs w:val="22"/>
                </w:rPr>
              </m:ctrlPr>
            </m:funcPr>
            <m:fName>
              <m:limLow>
                <m:limLowPr>
                  <m:ctrlPr>
                    <w:rPr>
                      <w:rFonts w:ascii="Cambria Math" w:hAnsi="Cambria Math" w:cs="Times New Roman"/>
                      <w:szCs w:val="22"/>
                    </w:rPr>
                  </m:ctrlPr>
                </m:limLowPr>
                <m:e>
                  <m:r>
                    <m:rPr>
                      <m:sty m:val="p"/>
                    </m:rPr>
                    <w:rPr>
                      <w:rFonts w:ascii="Cambria Math" w:hAnsi="Cambria Math"/>
                    </w:rPr>
                    <m:t>med</m:t>
                  </m:r>
                </m:e>
                <m:lim>
                  <m:r>
                    <w:rPr>
                      <w:rFonts w:ascii="Cambria Math" w:hAnsi="Cambria Math"/>
                    </w:rPr>
                    <m:t>s∈S,j∈</m:t>
                  </m:r>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lim>
              </m:limLow>
            </m:fName>
            <m:e>
              <m:d>
                <m:dPr>
                  <m:begChr m:val="{"/>
                  <m:endChr m:val="}"/>
                  <m:ctrlPr>
                    <w:rPr>
                      <w:rFonts w:ascii="Cambria Math" w:hAnsi="Cambria Math" w:cs="Times New Roman"/>
                      <w:i/>
                      <w:szCs w:val="22"/>
                    </w:rPr>
                  </m:ctrlPr>
                </m:dPr>
                <m:e>
                  <m:sSub>
                    <m:sSubPr>
                      <m:ctrlPr>
                        <w:rPr>
                          <w:rFonts w:ascii="Cambria Math" w:hAnsi="Cambria Math" w:cs="Times New Roman"/>
                          <w:i/>
                          <w:szCs w:val="22"/>
                        </w:rPr>
                      </m:ctrlPr>
                    </m:sSubPr>
                    <m:e>
                      <m:r>
                        <w:rPr>
                          <w:rFonts w:ascii="Cambria Math" w:hAnsi="Cambria Math"/>
                        </w:rPr>
                        <m:t>PE</m:t>
                      </m:r>
                    </m:e>
                    <m:sub>
                      <m:r>
                        <w:rPr>
                          <w:rFonts w:ascii="Cambria Math" w:hAnsi="Cambria Math"/>
                        </w:rPr>
                        <m:t>i,j, p,s,t∈T</m:t>
                      </m:r>
                    </m:sub>
                  </m:sSub>
                </m:e>
              </m:d>
            </m:e>
          </m:func>
        </m:oMath>
      </m:oMathPara>
    </w:p>
    <w:p w14:paraId="5C932450" w14:textId="77777777" w:rsidR="00A21827" w:rsidRDefault="00A21827" w:rsidP="00A21827">
      <w:pPr>
        <w:spacing w:line="360" w:lineRule="auto"/>
        <w:jc w:val="both"/>
      </w:pPr>
      <w:r>
        <w:t xml:space="preserve">where </w:t>
      </w:r>
      <m:oMath>
        <m:r>
          <w:rPr>
            <w:rFonts w:ascii="Cambria Math" w:hAnsi="Cambria Math"/>
          </w:rPr>
          <m:t>T</m:t>
        </m:r>
      </m:oMath>
      <w:r>
        <w:t xml:space="preserve"> is the set of timepoints that spans baseline to intermediate-term or baseline to long-term. E.g., </w:t>
      </w:r>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RMS</m:t>
            </m:r>
          </m:sub>
          <m:sup>
            <m:r>
              <w:rPr>
                <w:rFonts w:ascii="Cambria Math" w:hAnsi="Cambria Math"/>
              </w:rPr>
              <m:t>LTSS</m:t>
            </m:r>
          </m:sup>
        </m:sSubSup>
      </m:oMath>
      <w:r>
        <w:t xml:space="preserve"> (</w:t>
      </w:r>
      <m:oMath>
        <m:r>
          <w:rPr>
            <w:rFonts w:ascii="Cambria Math" w:hAnsi="Cambria Math"/>
          </w:rPr>
          <m:t>i=</m:t>
        </m:r>
      </m:oMath>
      <w:r>
        <w:t xml:space="preserve"> EFP, </w:t>
      </w:r>
      <m:oMath>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cs="Times New Roman"/>
                <w:i/>
                <w:szCs w:val="22"/>
              </w:rPr>
            </m:ctrlPr>
          </m:sSubPr>
          <m:e>
            <m:r>
              <w:rPr>
                <w:rFonts w:ascii="Cambria Math" w:hAnsi="Cambria Math"/>
              </w:rPr>
              <m:t>J</m:t>
            </m:r>
          </m:e>
          <m:sub>
            <m:r>
              <w:rPr>
                <w:rFonts w:ascii="Cambria Math" w:hAnsi="Cambria Math"/>
              </w:rPr>
              <m:t>EFP</m:t>
            </m:r>
          </m:sub>
        </m:sSub>
      </m:oMath>
      <w:r>
        <w:t xml:space="preserve">, </w:t>
      </w:r>
      <m:oMath>
        <m:r>
          <w:rPr>
            <w:rFonts w:ascii="Cambria Math" w:hAnsi="Cambria Math"/>
          </w:rPr>
          <m:t>p=</m:t>
        </m:r>
      </m:oMath>
      <w:r>
        <w:t xml:space="preserve"> Ct.Ar</w:t>
      </w:r>
      <w:r>
        <w:rPr>
          <w:vertAlign w:val="superscript"/>
        </w:rPr>
        <w:t>BM</w:t>
      </w:r>
      <w:r>
        <w:t xml:space="preserve">, </w:t>
      </w:r>
      <m:oMath>
        <m:sSub>
          <m:sSubPr>
            <m:ctrlPr>
              <w:rPr>
                <w:rFonts w:ascii="Cambria Math" w:hAnsi="Cambria Math" w:cs="Times New Roman"/>
                <w:i/>
                <w:szCs w:val="22"/>
              </w:rPr>
            </m:ctrlPr>
          </m:sSubPr>
          <m:e>
            <m:r>
              <w:rPr>
                <w:rFonts w:ascii="Cambria Math" w:hAnsi="Cambria Math"/>
              </w:rPr>
              <m:t>S=S</m:t>
            </m:r>
          </m:e>
          <m:sub>
            <m:r>
              <w:rPr>
                <w:rFonts w:ascii="Cambria Math" w:hAnsi="Cambria Math"/>
              </w:rPr>
              <m:t>XCT</m:t>
            </m:r>
          </m:sub>
        </m:sSub>
      </m:oMath>
      <w:r>
        <w:t xml:space="preserve">, and </w:t>
      </w:r>
      <m:oMath>
        <m:r>
          <w:rPr>
            <w:rFonts w:ascii="Cambria Math" w:hAnsi="Cambria Math"/>
          </w:rPr>
          <m:t>T=</m:t>
        </m:r>
        <m:sSub>
          <m:sSubPr>
            <m:ctrlPr>
              <w:rPr>
                <w:rFonts w:ascii="Cambria Math" w:hAnsi="Cambria Math" w:cs="Times New Roman"/>
                <w:i/>
                <w:szCs w:val="22"/>
              </w:rPr>
            </m:ctrlPr>
          </m:sSubPr>
          <m:e>
            <m:r>
              <w:rPr>
                <w:rFonts w:ascii="Cambria Math" w:hAnsi="Cambria Math"/>
              </w:rPr>
              <m:t>T</m:t>
            </m:r>
          </m:e>
          <m:sub>
            <m:r>
              <w:rPr>
                <w:rFonts w:ascii="Cambria Math" w:hAnsi="Cambria Math"/>
              </w:rPr>
              <m:t>long</m:t>
            </m:r>
          </m:sub>
        </m:sSub>
      </m:oMath>
      <w:r>
        <w:t>) is the long-term single-site precision error of EFP-derived (</w:t>
      </w:r>
      <m:oMath>
        <m:r>
          <w:rPr>
            <w:rFonts w:ascii="Cambria Math" w:hAnsi="Cambria Math"/>
          </w:rPr>
          <m:t>i</m:t>
        </m:r>
      </m:oMath>
      <w:r>
        <w:t>) Ct.Ar</w:t>
      </w:r>
      <w:r>
        <w:rPr>
          <w:vertAlign w:val="superscript"/>
        </w:rPr>
        <w:t>BM</w:t>
      </w:r>
      <w:r>
        <w:t xml:space="preserve"> (</w:t>
      </w:r>
      <m:oMath>
        <m:r>
          <w:rPr>
            <w:rFonts w:ascii="Cambria Math" w:hAnsi="Cambria Math"/>
          </w:rPr>
          <m:t>p</m:t>
        </m:r>
      </m:oMath>
      <w:r>
        <w:t>) estimated by pooling baseline and long-term scans (</w:t>
      </w:r>
      <m:oMath>
        <m:sSub>
          <m:sSubPr>
            <m:ctrlPr>
              <w:rPr>
                <w:rFonts w:ascii="Cambria Math" w:hAnsi="Cambria Math" w:cs="Times New Roman"/>
                <w:i/>
                <w:szCs w:val="22"/>
              </w:rPr>
            </m:ctrlPr>
          </m:sSubPr>
          <m:e>
            <m:r>
              <w:rPr>
                <w:rFonts w:ascii="Cambria Math" w:hAnsi="Cambria Math"/>
              </w:rPr>
              <m:t>T</m:t>
            </m:r>
          </m:e>
          <m:sub>
            <m:r>
              <w:rPr>
                <w:rFonts w:ascii="Cambria Math" w:hAnsi="Cambria Math"/>
              </w:rPr>
              <m:t>long</m:t>
            </m:r>
          </m:sub>
        </m:sSub>
      </m:oMath>
      <w:r>
        <w:t>) and computing PEs for each EFP section (</w:t>
      </w:r>
      <m:oMath>
        <m:sSub>
          <m:sSubPr>
            <m:ctrlPr>
              <w:rPr>
                <w:rFonts w:ascii="Cambria Math" w:hAnsi="Cambria Math" w:cs="Times New Roman"/>
                <w:i/>
                <w:szCs w:val="22"/>
              </w:rPr>
            </m:ctrlPr>
          </m:sSubPr>
          <m:e>
            <m:r>
              <w:rPr>
                <w:rFonts w:ascii="Cambria Math" w:hAnsi="Cambria Math"/>
              </w:rPr>
              <m:t>J</m:t>
            </m:r>
          </m:e>
          <m:sub>
            <m:r>
              <w:rPr>
                <w:rFonts w:ascii="Cambria Math" w:hAnsi="Cambria Math"/>
              </w:rPr>
              <m:t>EFP</m:t>
            </m:r>
          </m:sub>
        </m:sSub>
      </m:oMath>
      <w:r>
        <w:t>) at each XCT scanner site (</w:t>
      </w:r>
      <m:oMath>
        <m:sSub>
          <m:sSubPr>
            <m:ctrlPr>
              <w:rPr>
                <w:rFonts w:ascii="Cambria Math" w:hAnsi="Cambria Math" w:cs="Times New Roman"/>
                <w:i/>
                <w:szCs w:val="22"/>
              </w:rPr>
            </m:ctrlPr>
          </m:sSubPr>
          <m:e>
            <m:r>
              <w:rPr>
                <w:rFonts w:ascii="Cambria Math" w:hAnsi="Cambria Math"/>
              </w:rPr>
              <m:t>S</m:t>
            </m:r>
          </m:e>
          <m:sub>
            <m:r>
              <w:rPr>
                <w:rFonts w:ascii="Cambria Math" w:hAnsi="Cambria Math"/>
              </w:rPr>
              <m:t>XCT</m:t>
            </m:r>
          </m:sub>
        </m:sSub>
      </m:oMath>
      <w:r>
        <w:t>).</w:t>
      </w:r>
    </w:p>
    <w:p w14:paraId="13E4F877" w14:textId="77777777" w:rsidR="00A21827" w:rsidRDefault="00A21827" w:rsidP="0054207A">
      <w:pPr>
        <w:spacing w:before="80" w:line="360" w:lineRule="auto"/>
        <w:jc w:val="both"/>
      </w:pPr>
      <w:r>
        <w:t xml:space="preserve">Finally, </w:t>
      </w:r>
      <w:r>
        <w:rPr>
          <w:b/>
          <w:i/>
        </w:rPr>
        <w:t>longitudinal multi-site</w:t>
      </w:r>
      <w:r>
        <w:t xml:space="preserve"> </w:t>
      </w:r>
      <w:r>
        <w:rPr>
          <w:b/>
          <w:i/>
        </w:rPr>
        <w:t>(LTMS) precision errors</w:t>
      </w:r>
      <w:r>
        <w:t xml:space="preserve"> </w:t>
      </w:r>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RMS</m:t>
            </m:r>
          </m:sub>
          <m:sup>
            <m:r>
              <w:rPr>
                <w:rFonts w:ascii="Cambria Math" w:hAnsi="Cambria Math"/>
              </w:rPr>
              <m:t>LTMS</m:t>
            </m:r>
          </m:sup>
        </m:sSubSup>
      </m:oMath>
      <w:r>
        <w:t xml:space="preserve"> were computed as:</w:t>
      </w:r>
    </w:p>
    <w:p w14:paraId="521CBA2E" w14:textId="77777777" w:rsidR="00A21827" w:rsidRDefault="00031871" w:rsidP="00A21827">
      <w:pPr>
        <w:spacing w:line="360" w:lineRule="auto"/>
        <w:jc w:val="both"/>
      </w:pPr>
      <m:oMathPara>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RMS</m:t>
              </m:r>
            </m:sub>
            <m:sup>
              <m:r>
                <w:rPr>
                  <w:rFonts w:ascii="Cambria Math" w:hAnsi="Cambria Math"/>
                </w:rPr>
                <m:t>LTMS</m:t>
              </m:r>
            </m:sup>
          </m:sSubSup>
          <m:r>
            <w:rPr>
              <w:rFonts w:ascii="Cambria Math" w:hAnsi="Cambria Math"/>
            </w:rPr>
            <m:t>=</m:t>
          </m:r>
          <m:rad>
            <m:radPr>
              <m:degHide m:val="1"/>
              <m:ctrlPr>
                <w:rPr>
                  <w:rFonts w:ascii="Cambria Math" w:hAnsi="Cambria Math" w:cs="Times New Roman"/>
                  <w:i/>
                  <w:szCs w:val="22"/>
                </w:rPr>
              </m:ctrlPr>
            </m:radPr>
            <m:deg/>
            <m:e>
              <m:f>
                <m:fPr>
                  <m:ctrlPr>
                    <w:rPr>
                      <w:rFonts w:ascii="Cambria Math" w:hAnsi="Cambria Math" w:cs="Times New Roman"/>
                      <w:i/>
                      <w:szCs w:val="22"/>
                    </w:rPr>
                  </m:ctrlPr>
                </m:fPr>
                <m:num>
                  <m:r>
                    <w:rPr>
                      <w:rFonts w:ascii="Cambria Math" w:hAnsi="Cambria Math"/>
                    </w:rPr>
                    <m:t>1</m:t>
                  </m:r>
                </m:num>
                <m:den>
                  <m:sSub>
                    <m:sSubPr>
                      <m:ctrlPr>
                        <w:rPr>
                          <w:rFonts w:ascii="Cambria Math" w:hAnsi="Cambria Math" w:cs="Times New Roman"/>
                          <w:i/>
                          <w:szCs w:val="22"/>
                        </w:rPr>
                      </m:ctrlPr>
                    </m:sSubPr>
                    <m:e>
                      <m:r>
                        <w:rPr>
                          <w:rFonts w:ascii="Cambria Math" w:hAnsi="Cambria Math"/>
                        </w:rPr>
                        <m:t>N</m:t>
                      </m:r>
                    </m:e>
                    <m:sub>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sub>
                  </m:sSub>
                  <m:r>
                    <w:rPr>
                      <w:rFonts w:ascii="Cambria Math" w:hAnsi="Cambria Math"/>
                    </w:rPr>
                    <m:t xml:space="preserve"> </m:t>
                  </m:r>
                </m:den>
              </m:f>
              <m:nary>
                <m:naryPr>
                  <m:chr m:val="∑"/>
                  <m:limLoc m:val="undOvr"/>
                  <m:supHide m:val="1"/>
                  <m:ctrlPr>
                    <w:rPr>
                      <w:rFonts w:ascii="Cambria Math" w:hAnsi="Cambria Math" w:cs="Times New Roman"/>
                      <w:i/>
                      <w:szCs w:val="22"/>
                    </w:rPr>
                  </m:ctrlPr>
                </m:naryPr>
                <m:sub>
                  <m:r>
                    <w:rPr>
                      <w:rFonts w:ascii="Cambria Math" w:hAnsi="Cambria Math"/>
                    </w:rPr>
                    <m:t>j∈</m:t>
                  </m:r>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sub>
                <m:sup/>
                <m:e>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i,j, p,s∈S,t∈T</m:t>
                      </m:r>
                    </m:sub>
                    <m:sup>
                      <m:r>
                        <w:rPr>
                          <w:rFonts w:ascii="Cambria Math" w:hAnsi="Cambria Math"/>
                        </w:rPr>
                        <m:t>2</m:t>
                      </m:r>
                    </m:sup>
                  </m:sSubSup>
                </m:e>
              </m:nary>
            </m:e>
          </m:rad>
        </m:oMath>
      </m:oMathPara>
    </w:p>
    <w:p w14:paraId="331F6575" w14:textId="77777777" w:rsidR="00A21827" w:rsidRDefault="00A21827" w:rsidP="00A21827">
      <w:pPr>
        <w:spacing w:line="360" w:lineRule="auto"/>
        <w:jc w:val="both"/>
      </w:pPr>
      <w:r>
        <w:t xml:space="preserve">and </w:t>
      </w:r>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Med</m:t>
            </m:r>
          </m:sub>
          <m:sup>
            <m:r>
              <w:rPr>
                <w:rFonts w:ascii="Cambria Math" w:hAnsi="Cambria Math"/>
              </w:rPr>
              <m:t>LTMS</m:t>
            </m:r>
          </m:sup>
        </m:sSubSup>
      </m:oMath>
      <w:r>
        <w:t xml:space="preserve"> as:</w:t>
      </w:r>
    </w:p>
    <w:p w14:paraId="5683FED0" w14:textId="77777777" w:rsidR="00A21827" w:rsidRDefault="00031871" w:rsidP="00A21827">
      <w:pPr>
        <w:spacing w:line="360" w:lineRule="auto"/>
        <w:jc w:val="both"/>
        <w:rPr>
          <w:rFonts w:eastAsiaTheme="minorHAnsi"/>
        </w:rPr>
      </w:pPr>
      <m:oMathPara>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Med</m:t>
              </m:r>
            </m:sub>
            <m:sup>
              <m:r>
                <w:rPr>
                  <w:rFonts w:ascii="Cambria Math" w:hAnsi="Cambria Math"/>
                </w:rPr>
                <m:t>LTMS</m:t>
              </m:r>
            </m:sup>
          </m:sSubSup>
          <m:r>
            <w:rPr>
              <w:rFonts w:ascii="Cambria Math" w:hAnsi="Cambria Math"/>
            </w:rPr>
            <m:t>=</m:t>
          </m:r>
          <m:func>
            <m:funcPr>
              <m:ctrlPr>
                <w:rPr>
                  <w:rFonts w:ascii="Cambria Math" w:hAnsi="Cambria Math" w:cs="Times New Roman"/>
                  <w:szCs w:val="22"/>
                </w:rPr>
              </m:ctrlPr>
            </m:funcPr>
            <m:fName>
              <m:limLow>
                <m:limLowPr>
                  <m:ctrlPr>
                    <w:rPr>
                      <w:rFonts w:ascii="Cambria Math" w:hAnsi="Cambria Math" w:cs="Times New Roman"/>
                      <w:szCs w:val="22"/>
                    </w:rPr>
                  </m:ctrlPr>
                </m:limLowPr>
                <m:e>
                  <m:r>
                    <m:rPr>
                      <m:sty m:val="p"/>
                    </m:rPr>
                    <w:rPr>
                      <w:rFonts w:ascii="Cambria Math" w:hAnsi="Cambria Math"/>
                    </w:rPr>
                    <m:t>med</m:t>
                  </m:r>
                </m:e>
                <m:lim>
                  <m:r>
                    <w:rPr>
                      <w:rFonts w:ascii="Cambria Math" w:hAnsi="Cambria Math"/>
                    </w:rPr>
                    <m:t>j∈</m:t>
                  </m:r>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lim>
              </m:limLow>
            </m:fName>
            <m:e>
              <m:d>
                <m:dPr>
                  <m:begChr m:val="{"/>
                  <m:endChr m:val="}"/>
                  <m:ctrlPr>
                    <w:rPr>
                      <w:rFonts w:ascii="Cambria Math" w:hAnsi="Cambria Math" w:cs="Times New Roman"/>
                      <w:i/>
                      <w:szCs w:val="22"/>
                    </w:rPr>
                  </m:ctrlPr>
                </m:dPr>
                <m:e>
                  <m:sSub>
                    <m:sSubPr>
                      <m:ctrlPr>
                        <w:rPr>
                          <w:rFonts w:ascii="Cambria Math" w:hAnsi="Cambria Math" w:cs="Times New Roman"/>
                          <w:i/>
                          <w:szCs w:val="22"/>
                        </w:rPr>
                      </m:ctrlPr>
                    </m:sSubPr>
                    <m:e>
                      <m:r>
                        <w:rPr>
                          <w:rFonts w:ascii="Cambria Math" w:hAnsi="Cambria Math"/>
                        </w:rPr>
                        <m:t>PE</m:t>
                      </m:r>
                    </m:e>
                    <m:sub>
                      <m:r>
                        <w:rPr>
                          <w:rFonts w:ascii="Cambria Math" w:hAnsi="Cambria Math"/>
                        </w:rPr>
                        <m:t>i,j, p,s∈S,t∈T</m:t>
                      </m:r>
                    </m:sub>
                  </m:sSub>
                </m:e>
              </m:d>
            </m:e>
          </m:func>
        </m:oMath>
      </m:oMathPara>
    </w:p>
    <w:p w14:paraId="20D34C14" w14:textId="77777777" w:rsidR="00A21827" w:rsidRDefault="00A21827" w:rsidP="00A21827">
      <w:pPr>
        <w:spacing w:line="360" w:lineRule="auto"/>
        <w:jc w:val="both"/>
      </w:pPr>
      <w:r>
        <w:lastRenderedPageBreak/>
        <w:t xml:space="preserve">where </w:t>
      </w:r>
      <m:oMath>
        <m:r>
          <w:rPr>
            <w:rFonts w:ascii="Cambria Math" w:hAnsi="Cambria Math"/>
          </w:rPr>
          <m:t>T</m:t>
        </m:r>
      </m:oMath>
      <w:r>
        <w:t xml:space="preserve"> is the set of timepoints that spans baseline to intermediate-term or baseline to long-term. E.g., </w:t>
      </w:r>
      <m:oMath>
        <m:sSubSup>
          <m:sSubSupPr>
            <m:ctrlPr>
              <w:rPr>
                <w:rFonts w:ascii="Cambria Math" w:hAnsi="Cambria Math" w:cs="Times New Roman"/>
                <w:i/>
                <w:szCs w:val="22"/>
              </w:rPr>
            </m:ctrlPr>
          </m:sSubSupPr>
          <m:e>
            <m:r>
              <w:rPr>
                <w:rFonts w:ascii="Cambria Math" w:hAnsi="Cambria Math"/>
              </w:rPr>
              <m:t>PE</m:t>
            </m:r>
          </m:e>
          <m:sub>
            <m:r>
              <w:rPr>
                <w:rFonts w:ascii="Cambria Math" w:hAnsi="Cambria Math"/>
              </w:rPr>
              <m:t>RMS</m:t>
            </m:r>
          </m:sub>
          <m:sup>
            <m:r>
              <w:rPr>
                <w:rFonts w:ascii="Cambria Math" w:hAnsi="Cambria Math"/>
              </w:rPr>
              <m:t>LTMS</m:t>
            </m:r>
          </m:sup>
        </m:sSubSup>
      </m:oMath>
      <w:r>
        <w:t xml:space="preserve"> (</w:t>
      </w:r>
      <m:oMath>
        <m:r>
          <w:rPr>
            <w:rFonts w:ascii="Cambria Math" w:hAnsi="Cambria Math"/>
          </w:rPr>
          <m:t>i=</m:t>
        </m:r>
      </m:oMath>
      <w:r>
        <w:t xml:space="preserve"> QC1, </w:t>
      </w:r>
      <m:oMath>
        <m:sSub>
          <m:sSubPr>
            <m:ctrlPr>
              <w:rPr>
                <w:rFonts w:ascii="Cambria Math" w:hAnsi="Cambria Math" w:cs="Times New Roman"/>
                <w:i/>
                <w:szCs w:val="22"/>
              </w:rPr>
            </m:ctrlPr>
          </m:sSubPr>
          <m:e>
            <m:r>
              <w:rPr>
                <w:rFonts w:ascii="Cambria Math" w:hAnsi="Cambria Math"/>
              </w:rPr>
              <m:t>J</m:t>
            </m:r>
          </m:e>
          <m:sub>
            <m:r>
              <w:rPr>
                <w:rFonts w:ascii="Cambria Math" w:hAnsi="Cambria Math"/>
              </w:rPr>
              <m:t>i</m:t>
            </m:r>
          </m:sub>
        </m:sSub>
        <m:r>
          <w:rPr>
            <w:rFonts w:ascii="Cambria Math" w:hAnsi="Cambria Math"/>
          </w:rPr>
          <m:t>=</m:t>
        </m:r>
        <m:sSub>
          <m:sSubPr>
            <m:ctrlPr>
              <w:rPr>
                <w:rFonts w:ascii="Cambria Math" w:hAnsi="Cambria Math" w:cs="Times New Roman"/>
                <w:i/>
                <w:szCs w:val="22"/>
              </w:rPr>
            </m:ctrlPr>
          </m:sSubPr>
          <m:e>
            <m:r>
              <w:rPr>
                <w:rFonts w:ascii="Cambria Math" w:hAnsi="Cambria Math"/>
              </w:rPr>
              <m:t>J</m:t>
            </m:r>
          </m:e>
          <m:sub>
            <m:r>
              <w:rPr>
                <w:rFonts w:ascii="Cambria Math" w:hAnsi="Cambria Math"/>
              </w:rPr>
              <m:t>QC1</m:t>
            </m:r>
          </m:sub>
        </m:sSub>
      </m:oMath>
      <w:r>
        <w:t xml:space="preserve">, </w:t>
      </w:r>
      <m:oMath>
        <m:r>
          <w:rPr>
            <w:rFonts w:ascii="Cambria Math" w:hAnsi="Cambria Math"/>
          </w:rPr>
          <m:t>p=</m:t>
        </m:r>
      </m:oMath>
      <w:r>
        <w:t xml:space="preserve"> Tt.vBMD</w:t>
      </w:r>
      <w:r>
        <w:rPr>
          <w:vertAlign w:val="superscript"/>
        </w:rPr>
        <w:t>BM</w:t>
      </w:r>
      <w:r>
        <w:t xml:space="preserve">, </w:t>
      </w:r>
      <m:oMath>
        <m:sSub>
          <m:sSubPr>
            <m:ctrlPr>
              <w:rPr>
                <w:rFonts w:ascii="Cambria Math" w:hAnsi="Cambria Math" w:cs="Times New Roman"/>
                <w:i/>
                <w:szCs w:val="22"/>
              </w:rPr>
            </m:ctrlPr>
          </m:sSubPr>
          <m:e>
            <m:r>
              <w:rPr>
                <w:rFonts w:ascii="Cambria Math" w:hAnsi="Cambria Math"/>
              </w:rPr>
              <m:t>S=S</m:t>
            </m:r>
          </m:e>
          <m:sub>
            <m:r>
              <w:rPr>
                <w:rFonts w:ascii="Cambria Math" w:hAnsi="Cambria Math"/>
              </w:rPr>
              <m:t>all</m:t>
            </m:r>
          </m:sub>
        </m:sSub>
      </m:oMath>
      <w:r>
        <w:t xml:space="preserve">, and </w:t>
      </w:r>
      <m:oMath>
        <m:r>
          <w:rPr>
            <w:rFonts w:ascii="Cambria Math" w:hAnsi="Cambria Math"/>
          </w:rPr>
          <m:t>T=</m:t>
        </m:r>
        <m:sSub>
          <m:sSubPr>
            <m:ctrlPr>
              <w:rPr>
                <w:rFonts w:ascii="Cambria Math" w:hAnsi="Cambria Math" w:cs="Times New Roman"/>
                <w:i/>
                <w:szCs w:val="22"/>
              </w:rPr>
            </m:ctrlPr>
          </m:sSubPr>
          <m:e>
            <m:r>
              <w:rPr>
                <w:rFonts w:ascii="Cambria Math" w:hAnsi="Cambria Math"/>
              </w:rPr>
              <m:t>T</m:t>
            </m:r>
          </m:e>
          <m:sub>
            <m:r>
              <w:rPr>
                <w:rFonts w:ascii="Cambria Math" w:hAnsi="Cambria Math"/>
              </w:rPr>
              <m:t>int</m:t>
            </m:r>
          </m:sub>
        </m:sSub>
      </m:oMath>
      <w:r>
        <w:t>) is the intermediate-term multi-site precision error of QC1-derived (</w:t>
      </w:r>
      <m:oMath>
        <m:r>
          <w:rPr>
            <w:rFonts w:ascii="Cambria Math" w:hAnsi="Cambria Math"/>
          </w:rPr>
          <m:t>i</m:t>
        </m:r>
      </m:oMath>
      <w:r>
        <w:t>) Tt.vBMD</w:t>
      </w:r>
      <w:r>
        <w:rPr>
          <w:vertAlign w:val="superscript"/>
        </w:rPr>
        <w:t>BM</w:t>
      </w:r>
      <w:r>
        <w:t xml:space="preserve"> (</w:t>
      </w:r>
      <m:oMath>
        <m:r>
          <w:rPr>
            <w:rFonts w:ascii="Cambria Math" w:hAnsi="Cambria Math"/>
          </w:rPr>
          <m:t>p</m:t>
        </m:r>
      </m:oMath>
      <w:r>
        <w:t>) estimated by pooling baseline and intermediate-term scans (</w:t>
      </w:r>
      <m:oMath>
        <m:sSub>
          <m:sSubPr>
            <m:ctrlPr>
              <w:rPr>
                <w:rFonts w:ascii="Cambria Math" w:hAnsi="Cambria Math" w:cs="Times New Roman"/>
                <w:i/>
                <w:szCs w:val="22"/>
              </w:rPr>
            </m:ctrlPr>
          </m:sSubPr>
          <m:e>
            <m:r>
              <w:rPr>
                <w:rFonts w:ascii="Cambria Math" w:hAnsi="Cambria Math"/>
              </w:rPr>
              <m:t>T</m:t>
            </m:r>
          </m:e>
          <m:sub>
            <m:r>
              <w:rPr>
                <w:rFonts w:ascii="Cambria Math" w:hAnsi="Cambria Math"/>
              </w:rPr>
              <m:t>int</m:t>
            </m:r>
          </m:sub>
        </m:sSub>
      </m:oMath>
      <w:r>
        <w:t>) across all sites (</w:t>
      </w:r>
      <m:oMath>
        <m:sSub>
          <m:sSubPr>
            <m:ctrlPr>
              <w:rPr>
                <w:rFonts w:ascii="Cambria Math" w:hAnsi="Cambria Math" w:cs="Times New Roman"/>
                <w:i/>
                <w:szCs w:val="22"/>
              </w:rPr>
            </m:ctrlPr>
          </m:sSubPr>
          <m:e>
            <m:r>
              <w:rPr>
                <w:rFonts w:ascii="Cambria Math" w:hAnsi="Cambria Math"/>
              </w:rPr>
              <m:t>S</m:t>
            </m:r>
          </m:e>
          <m:sub>
            <m:r>
              <w:rPr>
                <w:rFonts w:ascii="Cambria Math" w:hAnsi="Cambria Math"/>
              </w:rPr>
              <m:t>all</m:t>
            </m:r>
          </m:sub>
        </m:sSub>
      </m:oMath>
      <w:r>
        <w:t>) and computing PEs for each QC1 section (</w:t>
      </w:r>
      <m:oMath>
        <m:sSub>
          <m:sSubPr>
            <m:ctrlPr>
              <w:rPr>
                <w:rFonts w:ascii="Cambria Math" w:hAnsi="Cambria Math" w:cs="Times New Roman"/>
                <w:i/>
                <w:szCs w:val="22"/>
              </w:rPr>
            </m:ctrlPr>
          </m:sSubPr>
          <m:e>
            <m:r>
              <w:rPr>
                <w:rFonts w:ascii="Cambria Math" w:hAnsi="Cambria Math"/>
              </w:rPr>
              <m:t>J</m:t>
            </m:r>
          </m:e>
          <m:sub>
            <m:r>
              <w:rPr>
                <w:rFonts w:ascii="Cambria Math" w:hAnsi="Cambria Math"/>
              </w:rPr>
              <m:t>QC1</m:t>
            </m:r>
          </m:sub>
        </m:sSub>
      </m:oMath>
      <w:r>
        <w:t xml:space="preserve">). </w:t>
      </w:r>
    </w:p>
    <w:p w14:paraId="651A5EED" w14:textId="77777777" w:rsidR="00A21827" w:rsidRDefault="00A21827" w:rsidP="0054207A">
      <w:pPr>
        <w:spacing w:before="80" w:after="80" w:line="360" w:lineRule="auto"/>
        <w:jc w:val="both"/>
      </w:pPr>
      <w:r>
        <w:rPr>
          <w:b/>
          <w:i/>
        </w:rPr>
        <w:t>Least significant change</w:t>
      </w:r>
      <w:r>
        <w:t>. For each precision error calculated, we also report the least significant change (LSC), which is the smallest difference between two measurements that can be deemed significant at a 95% confidence level</w:t>
      </w:r>
      <w:r>
        <w:fldChar w:fldCharType="begin">
          <w:fldData xml:space="preserve">PEVuZE5vdGU+PENpdGU+PEF1dGhvcj5CdW55YW1pbjwvQXV0aG9yPjxZZWFyPjIwMTk8L1llYXI+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</w:fldData>
        </w:fldChar>
      </w:r>
      <w:r>
        <w:instrText xml:space="preserve"> ADDIN EN.CITE </w:instrText>
      </w:r>
      <w:r>
        <w:fldChar w:fldCharType="begin">
          <w:fldData xml:space="preserve">PEVuZE5vdGU+PENpdGU+PEF1dGhvcj5CdW55YW1pbjwvQXV0aG9yPjxZZWFyPjIwMTk8L1llYXI+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</w:fldData>
        </w:fldChar>
      </w:r>
      <w:r>
        <w:instrText xml:space="preserve"> ADDIN EN.CITE.DATA </w:instrText>
      </w:r>
      <w:r>
        <w:fldChar w:fldCharType="end"/>
      </w:r>
      <w:r>
        <w:fldChar w:fldCharType="separate"/>
      </w:r>
      <w:r>
        <w:rPr>
          <w:noProof/>
          <w:vertAlign w:val="superscript"/>
        </w:rPr>
        <w:t>(8,33)</w:t>
      </w:r>
      <w:r>
        <w:fldChar w:fldCharType="end"/>
      </w:r>
      <w:r>
        <w:t>:</w:t>
      </w:r>
    </w:p>
    <w:p w14:paraId="3FB884C3" w14:textId="77777777" w:rsidR="00A21827" w:rsidRDefault="00A21827" w:rsidP="00A21827">
      <w:pPr>
        <w:spacing w:line="360" w:lineRule="auto"/>
        <w:jc w:val="both"/>
      </w:pPr>
      <m:oMathPara>
        <m:oMath>
          <m:r>
            <w:rPr>
              <w:rFonts w:ascii="Cambria Math" w:hAnsi="Cambria Math"/>
            </w:rPr>
            <m:t>LS</m:t>
          </m:r>
          <m:sSub>
            <m:sSubPr>
              <m:ctrlPr>
                <w:rPr>
                  <w:rFonts w:ascii="Cambria Math" w:hAnsi="Cambria Math" w:cs="Times New Roman"/>
                  <w:i/>
                  <w:szCs w:val="22"/>
                </w:rPr>
              </m:ctrlPr>
            </m:sSubPr>
            <m:e>
              <m:r>
                <w:rPr>
                  <w:rFonts w:ascii="Cambria Math" w:hAnsi="Cambria Math"/>
                </w:rPr>
                <m:t>C</m:t>
              </m:r>
            </m:e>
            <m:sub>
              <m:r>
                <w:rPr>
                  <w:rFonts w:ascii="Cambria Math" w:hAnsi="Cambria Math"/>
                </w:rPr>
                <m:t>x</m:t>
              </m:r>
            </m:sub>
          </m:sSub>
          <m:r>
            <w:rPr>
              <w:rFonts w:ascii="Cambria Math" w:hAnsi="Cambria Math"/>
            </w:rPr>
            <m:t>=</m:t>
          </m:r>
          <m:sSub>
            <m:sSubPr>
              <m:ctrlPr>
                <w:rPr>
                  <w:rFonts w:ascii="Cambria Math" w:hAnsi="Cambria Math" w:cs="Times New Roman"/>
                  <w:i/>
                  <w:szCs w:val="22"/>
                </w:rPr>
              </m:ctrlPr>
            </m:sSubPr>
            <m:e>
              <m:r>
                <w:rPr>
                  <w:rFonts w:ascii="Cambria Math" w:hAnsi="Cambria Math"/>
                </w:rPr>
                <m:t>PE</m:t>
              </m:r>
            </m:e>
            <m:sub>
              <m:r>
                <w:rPr>
                  <w:rFonts w:ascii="Cambria Math" w:hAnsi="Cambria Math"/>
                </w:rPr>
                <m:t>x</m:t>
              </m:r>
            </m:sub>
          </m:sSub>
          <m:r>
            <w:rPr>
              <w:rFonts w:ascii="Cambria Math" w:hAnsi="Cambria Math"/>
            </w:rPr>
            <m:t>1.96</m:t>
          </m:r>
          <m:rad>
            <m:radPr>
              <m:degHide m:val="1"/>
              <m:ctrlPr>
                <w:rPr>
                  <w:rFonts w:ascii="Cambria Math" w:hAnsi="Cambria Math" w:cs="Times New Roman"/>
                  <w:i/>
                  <w:szCs w:val="22"/>
                </w:rPr>
              </m:ctrlPr>
            </m:radPr>
            <m:deg/>
            <m:e>
              <m:r>
                <w:rPr>
                  <w:rFonts w:ascii="Cambria Math" w:hAnsi="Cambria Math"/>
                </w:rPr>
                <m:t>2</m:t>
              </m:r>
            </m:e>
          </m:rad>
          <m:r>
            <w:rPr>
              <w:rFonts w:ascii="Cambria Math" w:hAnsi="Cambria Math"/>
            </w:rPr>
            <m:t>=2.77</m:t>
          </m:r>
          <m:sSub>
            <m:sSubPr>
              <m:ctrlPr>
                <w:rPr>
                  <w:rFonts w:ascii="Cambria Math" w:hAnsi="Cambria Math" w:cs="Times New Roman"/>
                  <w:i/>
                  <w:szCs w:val="22"/>
                </w:rPr>
              </m:ctrlPr>
            </m:sSubPr>
            <m:e>
              <m:r>
                <w:rPr>
                  <w:rFonts w:ascii="Cambria Math" w:hAnsi="Cambria Math"/>
                </w:rPr>
                <m:t>PE</m:t>
              </m:r>
            </m:e>
            <m:sub>
              <m:r>
                <w:rPr>
                  <w:rFonts w:ascii="Cambria Math" w:hAnsi="Cambria Math"/>
                </w:rPr>
                <m:t>x</m:t>
              </m:r>
            </m:sub>
          </m:sSub>
        </m:oMath>
      </m:oMathPara>
    </w:p>
    <w:p w14:paraId="24C9FE70" w14:textId="77777777" w:rsidR="00A21827" w:rsidRDefault="00A21827" w:rsidP="00A21827">
      <w:pPr>
        <w:spacing w:line="360" w:lineRule="auto"/>
        <w:jc w:val="both"/>
      </w:pPr>
      <w:r>
        <w:t xml:space="preserve">where </w:t>
      </w:r>
      <m:oMath>
        <m:r>
          <w:rPr>
            <w:rFonts w:ascii="Cambria Math" w:hAnsi="Cambria Math"/>
          </w:rPr>
          <m:t>x=RMS</m:t>
        </m:r>
      </m:oMath>
      <w:r>
        <w:t xml:space="preserve"> or </w:t>
      </w:r>
      <m:oMath>
        <m:r>
          <w:rPr>
            <w:rFonts w:ascii="Cambria Math" w:hAnsi="Cambria Math"/>
          </w:rPr>
          <m:t>Med</m:t>
        </m:r>
      </m:oMath>
      <w:r>
        <w:t xml:space="preserve">. </w:t>
      </w:r>
    </w:p>
    <w:p w14:paraId="7432E11B" w14:textId="77777777" w:rsidR="00A21827" w:rsidRPr="00A21827" w:rsidRDefault="00A21827" w:rsidP="00A21827"/>
    <w:p w14:paraId="3410DD43" w14:textId="77777777" w:rsidR="00807FA2" w:rsidRPr="00DC229F" w:rsidRDefault="00807FA2" w:rsidP="00807FA2">
      <w:pPr>
        <w:pStyle w:val="Heading1"/>
        <w:keepLines w:val="0"/>
        <w:widowControl w:val="0"/>
        <w:suppressAutoHyphens/>
        <w:spacing w:after="120" w:line="360" w:lineRule="auto"/>
        <w:jc w:val="both"/>
        <w:rPr>
          <w:rFonts w:ascii="Times New Roman" w:hAnsi="Times New Roman" w:cs="Times New Roman"/>
          <w:color w:val="auto"/>
          <w:sz w:val="36"/>
          <w:szCs w:val="36"/>
        </w:rPr>
      </w:pPr>
      <w:r>
        <w:rPr>
          <w:rFonts w:ascii="Times New Roman" w:hAnsi="Times New Roman" w:cs="Times New Roman"/>
          <w:color w:val="auto"/>
          <w:sz w:val="36"/>
          <w:szCs w:val="36"/>
        </w:rPr>
        <w:t>Abbreviations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2"/>
        <w:gridCol w:w="5744"/>
      </w:tblGrid>
      <w:tr w:rsidR="00807FA2" w:rsidRPr="00462B0C" w14:paraId="6DA02CD6" w14:textId="77777777" w:rsidTr="001079CB">
        <w:tc>
          <w:tcPr>
            <w:tcW w:w="2965" w:type="dxa"/>
            <w:tcBorders>
              <w:top w:val="single" w:sz="4" w:space="0" w:color="auto"/>
              <w:bottom w:val="single" w:sz="4" w:space="0" w:color="auto"/>
            </w:tcBorders>
            <w:shd w:val="clear" w:color="auto" w:fill="EEECE1" w:themeFill="background2"/>
          </w:tcPr>
          <w:p w14:paraId="060534D3" w14:textId="77777777" w:rsidR="00807FA2" w:rsidRPr="00462B0C" w:rsidRDefault="00807FA2" w:rsidP="001079CB">
            <w:pPr>
              <w:rPr>
                <w:b/>
                <w:szCs w:val="24"/>
              </w:rPr>
            </w:pPr>
            <w:r w:rsidRPr="00462B0C">
              <w:rPr>
                <w:b/>
                <w:szCs w:val="24"/>
              </w:rPr>
              <w:t>Abbreviation</w:t>
            </w:r>
          </w:p>
        </w:tc>
        <w:tc>
          <w:tcPr>
            <w:tcW w:w="6385" w:type="dxa"/>
            <w:tcBorders>
              <w:top w:val="single" w:sz="4" w:space="0" w:color="auto"/>
              <w:bottom w:val="single" w:sz="4" w:space="0" w:color="auto"/>
            </w:tcBorders>
            <w:shd w:val="clear" w:color="auto" w:fill="EEECE1" w:themeFill="background2"/>
          </w:tcPr>
          <w:p w14:paraId="10C84232" w14:textId="77777777" w:rsidR="00807FA2" w:rsidRPr="00462B0C" w:rsidRDefault="00807FA2" w:rsidP="001079CB">
            <w:pPr>
              <w:rPr>
                <w:b/>
                <w:szCs w:val="24"/>
              </w:rPr>
            </w:pPr>
            <w:r w:rsidRPr="00462B0C">
              <w:rPr>
                <w:b/>
                <w:szCs w:val="24"/>
              </w:rPr>
              <w:t>Description</w:t>
            </w:r>
          </w:p>
        </w:tc>
      </w:tr>
      <w:tr w:rsidR="00807FA2" w:rsidRPr="00462B0C" w14:paraId="795CF8C9" w14:textId="77777777" w:rsidTr="001079CB">
        <w:tc>
          <w:tcPr>
            <w:tcW w:w="2965" w:type="dxa"/>
            <w:tcBorders>
              <w:top w:val="single" w:sz="4" w:space="0" w:color="auto"/>
            </w:tcBorders>
          </w:tcPr>
          <w:p w14:paraId="34E5022F" w14:textId="77777777" w:rsidR="00807FA2" w:rsidRPr="00462B0C" w:rsidRDefault="00807FA2" w:rsidP="001079CB">
            <w:pPr>
              <w:rPr>
                <w:szCs w:val="24"/>
              </w:rPr>
            </w:pPr>
            <w:r w:rsidRPr="00462B0C">
              <w:rPr>
                <w:szCs w:val="24"/>
              </w:rPr>
              <w:t>BM</w:t>
            </w:r>
          </w:p>
        </w:tc>
        <w:tc>
          <w:tcPr>
            <w:tcW w:w="6385" w:type="dxa"/>
            <w:tcBorders>
              <w:top w:val="single" w:sz="4" w:space="0" w:color="auto"/>
            </w:tcBorders>
          </w:tcPr>
          <w:p w14:paraId="5091830A" w14:textId="77777777" w:rsidR="00807FA2" w:rsidRPr="00462B0C" w:rsidRDefault="00807FA2" w:rsidP="001079CB">
            <w:pPr>
              <w:rPr>
                <w:szCs w:val="24"/>
              </w:rPr>
            </w:pPr>
            <w:r w:rsidRPr="00462B0C">
              <w:rPr>
                <w:szCs w:val="24"/>
              </w:rPr>
              <w:t>Bone mimicking</w:t>
            </w:r>
          </w:p>
        </w:tc>
      </w:tr>
      <w:tr w:rsidR="00807FA2" w:rsidRPr="00462B0C" w14:paraId="1EB11C6B" w14:textId="77777777" w:rsidTr="001079CB">
        <w:tc>
          <w:tcPr>
            <w:tcW w:w="2965" w:type="dxa"/>
          </w:tcPr>
          <w:p w14:paraId="7EC13545" w14:textId="77777777" w:rsidR="00807FA2" w:rsidRPr="00462B0C" w:rsidRDefault="00807FA2" w:rsidP="001079CB">
            <w:pPr>
              <w:rPr>
                <w:szCs w:val="24"/>
              </w:rPr>
            </w:pPr>
            <w:r w:rsidRPr="00462B0C">
              <w:rPr>
                <w:szCs w:val="24"/>
              </w:rPr>
              <w:t>CI</w:t>
            </w:r>
          </w:p>
        </w:tc>
        <w:tc>
          <w:tcPr>
            <w:tcW w:w="6385" w:type="dxa"/>
          </w:tcPr>
          <w:p w14:paraId="55259AD1" w14:textId="77777777" w:rsidR="00807FA2" w:rsidRPr="00462B0C" w:rsidRDefault="00807FA2" w:rsidP="001079CB">
            <w:pPr>
              <w:rPr>
                <w:szCs w:val="24"/>
              </w:rPr>
            </w:pPr>
            <w:r w:rsidRPr="00462B0C">
              <w:rPr>
                <w:szCs w:val="24"/>
              </w:rPr>
              <w:t>Confidence interval</w:t>
            </w:r>
          </w:p>
        </w:tc>
      </w:tr>
      <w:tr w:rsidR="00807FA2" w:rsidRPr="00462B0C" w14:paraId="4C124CC7" w14:textId="77777777" w:rsidTr="001079CB">
        <w:tc>
          <w:tcPr>
            <w:tcW w:w="2965" w:type="dxa"/>
          </w:tcPr>
          <w:p w14:paraId="0B9BFC35" w14:textId="77777777" w:rsidR="00807FA2" w:rsidRPr="00462B0C" w:rsidRDefault="00807FA2" w:rsidP="001079CB">
            <w:pPr>
              <w:rPr>
                <w:szCs w:val="24"/>
              </w:rPr>
            </w:pPr>
            <w:r w:rsidRPr="00462B0C">
              <w:rPr>
                <w:szCs w:val="24"/>
              </w:rPr>
              <w:t>CSA</w:t>
            </w:r>
          </w:p>
        </w:tc>
        <w:tc>
          <w:tcPr>
            <w:tcW w:w="6385" w:type="dxa"/>
          </w:tcPr>
          <w:p w14:paraId="7A272DBB" w14:textId="77777777" w:rsidR="00807FA2" w:rsidRPr="00462B0C" w:rsidRDefault="00807FA2" w:rsidP="001079CB">
            <w:pPr>
              <w:rPr>
                <w:szCs w:val="24"/>
              </w:rPr>
            </w:pPr>
            <w:r w:rsidRPr="00462B0C">
              <w:rPr>
                <w:szCs w:val="24"/>
              </w:rPr>
              <w:t>Cross-sectional area</w:t>
            </w:r>
          </w:p>
        </w:tc>
      </w:tr>
      <w:tr w:rsidR="00807FA2" w:rsidRPr="00462B0C" w14:paraId="6F398189" w14:textId="77777777" w:rsidTr="001079CB">
        <w:tc>
          <w:tcPr>
            <w:tcW w:w="2965" w:type="dxa"/>
          </w:tcPr>
          <w:p w14:paraId="75185338" w14:textId="77777777" w:rsidR="00807FA2" w:rsidRPr="00462B0C" w:rsidRDefault="00807FA2" w:rsidP="001079CB">
            <w:pPr>
              <w:rPr>
                <w:szCs w:val="24"/>
              </w:rPr>
            </w:pPr>
            <w:proofErr w:type="spellStart"/>
            <w:r w:rsidRPr="00462B0C">
              <w:rPr>
                <w:szCs w:val="24"/>
              </w:rPr>
              <w:t>Ct.Ar</w:t>
            </w:r>
            <w:proofErr w:type="spellEnd"/>
          </w:p>
        </w:tc>
        <w:tc>
          <w:tcPr>
            <w:tcW w:w="6385" w:type="dxa"/>
          </w:tcPr>
          <w:p w14:paraId="413D7EE2" w14:textId="77777777" w:rsidR="00807FA2" w:rsidRPr="00462B0C" w:rsidRDefault="00807FA2" w:rsidP="001079CB">
            <w:pPr>
              <w:rPr>
                <w:szCs w:val="24"/>
              </w:rPr>
            </w:pPr>
            <w:r w:rsidRPr="00462B0C">
              <w:rPr>
                <w:szCs w:val="24"/>
              </w:rPr>
              <w:t>Cortical area</w:t>
            </w:r>
          </w:p>
        </w:tc>
      </w:tr>
      <w:tr w:rsidR="00807FA2" w:rsidRPr="00462B0C" w14:paraId="24A8C2C9" w14:textId="77777777" w:rsidTr="001079CB">
        <w:tc>
          <w:tcPr>
            <w:tcW w:w="2965" w:type="dxa"/>
          </w:tcPr>
          <w:p w14:paraId="0C2B5205" w14:textId="77777777" w:rsidR="00807FA2" w:rsidRPr="00462B0C" w:rsidRDefault="00807FA2" w:rsidP="001079CB">
            <w:pPr>
              <w:rPr>
                <w:szCs w:val="24"/>
              </w:rPr>
            </w:pPr>
            <w:proofErr w:type="spellStart"/>
            <w:r w:rsidRPr="00462B0C">
              <w:rPr>
                <w:szCs w:val="24"/>
              </w:rPr>
              <w:t>Ct.Pm</w:t>
            </w:r>
            <w:proofErr w:type="spellEnd"/>
          </w:p>
        </w:tc>
        <w:tc>
          <w:tcPr>
            <w:tcW w:w="6385" w:type="dxa"/>
          </w:tcPr>
          <w:p w14:paraId="74F636FF" w14:textId="77777777" w:rsidR="00807FA2" w:rsidRPr="00462B0C" w:rsidRDefault="00807FA2" w:rsidP="001079CB">
            <w:pPr>
              <w:rPr>
                <w:szCs w:val="24"/>
              </w:rPr>
            </w:pPr>
            <w:r w:rsidRPr="00462B0C">
              <w:rPr>
                <w:szCs w:val="24"/>
              </w:rPr>
              <w:t>Cortical perimeter</w:t>
            </w:r>
          </w:p>
        </w:tc>
      </w:tr>
      <w:tr w:rsidR="00807FA2" w:rsidRPr="00462B0C" w14:paraId="36ABAEDD" w14:textId="77777777" w:rsidTr="001079CB">
        <w:tc>
          <w:tcPr>
            <w:tcW w:w="2965" w:type="dxa"/>
          </w:tcPr>
          <w:p w14:paraId="79454D17" w14:textId="77777777" w:rsidR="00807FA2" w:rsidRPr="00462B0C" w:rsidRDefault="00807FA2" w:rsidP="001079CB">
            <w:pPr>
              <w:rPr>
                <w:szCs w:val="24"/>
              </w:rPr>
            </w:pPr>
            <w:proofErr w:type="spellStart"/>
            <w:r w:rsidRPr="00462B0C">
              <w:rPr>
                <w:szCs w:val="24"/>
              </w:rPr>
              <w:t>Ct.Po</w:t>
            </w:r>
            <w:proofErr w:type="spellEnd"/>
          </w:p>
        </w:tc>
        <w:tc>
          <w:tcPr>
            <w:tcW w:w="6385" w:type="dxa"/>
          </w:tcPr>
          <w:p w14:paraId="72AB74C5" w14:textId="77777777" w:rsidR="00807FA2" w:rsidRPr="00462B0C" w:rsidRDefault="00807FA2" w:rsidP="001079CB">
            <w:pPr>
              <w:rPr>
                <w:szCs w:val="24"/>
              </w:rPr>
            </w:pPr>
            <w:r w:rsidRPr="00462B0C">
              <w:rPr>
                <w:szCs w:val="24"/>
              </w:rPr>
              <w:t>Cortical porosity</w:t>
            </w:r>
          </w:p>
        </w:tc>
      </w:tr>
      <w:tr w:rsidR="00807FA2" w:rsidRPr="00462B0C" w14:paraId="7C142C46" w14:textId="77777777" w:rsidTr="001079CB">
        <w:tc>
          <w:tcPr>
            <w:tcW w:w="2965" w:type="dxa"/>
          </w:tcPr>
          <w:p w14:paraId="73603384" w14:textId="77777777" w:rsidR="00807FA2" w:rsidRPr="00462B0C" w:rsidRDefault="00807FA2" w:rsidP="001079CB">
            <w:pPr>
              <w:rPr>
                <w:szCs w:val="24"/>
              </w:rPr>
            </w:pPr>
            <w:proofErr w:type="spellStart"/>
            <w:r w:rsidRPr="00462B0C">
              <w:rPr>
                <w:szCs w:val="24"/>
              </w:rPr>
              <w:t>Ct.Th</w:t>
            </w:r>
            <w:proofErr w:type="spellEnd"/>
          </w:p>
        </w:tc>
        <w:tc>
          <w:tcPr>
            <w:tcW w:w="6385" w:type="dxa"/>
          </w:tcPr>
          <w:p w14:paraId="4CA549FC" w14:textId="77777777" w:rsidR="00807FA2" w:rsidRPr="00462B0C" w:rsidRDefault="00807FA2" w:rsidP="001079CB">
            <w:pPr>
              <w:rPr>
                <w:szCs w:val="24"/>
              </w:rPr>
            </w:pPr>
            <w:r w:rsidRPr="00462B0C">
              <w:rPr>
                <w:szCs w:val="24"/>
              </w:rPr>
              <w:t>Cortical thickness</w:t>
            </w:r>
          </w:p>
        </w:tc>
      </w:tr>
      <w:tr w:rsidR="00807FA2" w:rsidRPr="00462B0C" w14:paraId="2C675A0B" w14:textId="77777777" w:rsidTr="001079CB">
        <w:tc>
          <w:tcPr>
            <w:tcW w:w="2965" w:type="dxa"/>
          </w:tcPr>
          <w:p w14:paraId="2CF37091" w14:textId="77777777" w:rsidR="00807FA2" w:rsidRPr="00462B0C" w:rsidRDefault="00807FA2" w:rsidP="001079CB">
            <w:pPr>
              <w:rPr>
                <w:szCs w:val="24"/>
              </w:rPr>
            </w:pPr>
            <w:proofErr w:type="spellStart"/>
            <w:r w:rsidRPr="00462B0C">
              <w:rPr>
                <w:szCs w:val="24"/>
              </w:rPr>
              <w:t>Ct.vBMD</w:t>
            </w:r>
            <w:proofErr w:type="spellEnd"/>
          </w:p>
        </w:tc>
        <w:tc>
          <w:tcPr>
            <w:tcW w:w="6385" w:type="dxa"/>
          </w:tcPr>
          <w:p w14:paraId="12323D53" w14:textId="77777777" w:rsidR="00807FA2" w:rsidRPr="00462B0C" w:rsidRDefault="00807FA2" w:rsidP="001079CB">
            <w:pPr>
              <w:rPr>
                <w:szCs w:val="24"/>
              </w:rPr>
            </w:pPr>
            <w:r w:rsidRPr="00462B0C">
              <w:rPr>
                <w:szCs w:val="24"/>
              </w:rPr>
              <w:t>Cortical volumetric bone mineral density</w:t>
            </w:r>
          </w:p>
        </w:tc>
      </w:tr>
      <w:tr w:rsidR="00807FA2" w:rsidRPr="00462B0C" w14:paraId="6B1E970A" w14:textId="77777777" w:rsidTr="001079CB">
        <w:tc>
          <w:tcPr>
            <w:tcW w:w="2965" w:type="dxa"/>
          </w:tcPr>
          <w:p w14:paraId="13F61704" w14:textId="77777777" w:rsidR="00807FA2" w:rsidRPr="00462B0C" w:rsidRDefault="00807FA2" w:rsidP="001079CB">
            <w:pPr>
              <w:rPr>
                <w:szCs w:val="24"/>
              </w:rPr>
            </w:pPr>
            <w:r w:rsidRPr="00462B0C">
              <w:rPr>
                <w:szCs w:val="24"/>
              </w:rPr>
              <w:t>CV</w:t>
            </w:r>
          </w:p>
        </w:tc>
        <w:tc>
          <w:tcPr>
            <w:tcW w:w="6385" w:type="dxa"/>
          </w:tcPr>
          <w:p w14:paraId="62DD9EB6" w14:textId="77777777" w:rsidR="00807FA2" w:rsidRPr="00462B0C" w:rsidRDefault="00807FA2" w:rsidP="001079CB">
            <w:pPr>
              <w:rPr>
                <w:szCs w:val="24"/>
              </w:rPr>
            </w:pPr>
            <w:r w:rsidRPr="00462B0C">
              <w:rPr>
                <w:szCs w:val="24"/>
              </w:rPr>
              <w:t>Coefficient of variation</w:t>
            </w:r>
          </w:p>
        </w:tc>
      </w:tr>
      <w:tr w:rsidR="00807FA2" w:rsidRPr="00462B0C" w14:paraId="1B596F5C" w14:textId="77777777" w:rsidTr="001079CB">
        <w:tc>
          <w:tcPr>
            <w:tcW w:w="2965" w:type="dxa"/>
          </w:tcPr>
          <w:p w14:paraId="0F953C31" w14:textId="77777777" w:rsidR="00807FA2" w:rsidRPr="00462B0C" w:rsidRDefault="00807FA2" w:rsidP="001079CB">
            <w:pPr>
              <w:rPr>
                <w:szCs w:val="24"/>
              </w:rPr>
            </w:pPr>
            <w:r w:rsidRPr="00462B0C">
              <w:rPr>
                <w:szCs w:val="24"/>
              </w:rPr>
              <w:t>DXA</w:t>
            </w:r>
          </w:p>
        </w:tc>
        <w:tc>
          <w:tcPr>
            <w:tcW w:w="6385" w:type="dxa"/>
          </w:tcPr>
          <w:p w14:paraId="6B32EA75" w14:textId="77777777" w:rsidR="00807FA2" w:rsidRPr="00462B0C" w:rsidRDefault="00807FA2" w:rsidP="001079CB">
            <w:pPr>
              <w:rPr>
                <w:szCs w:val="24"/>
              </w:rPr>
            </w:pPr>
            <w:r w:rsidRPr="00462B0C">
              <w:rPr>
                <w:szCs w:val="24"/>
              </w:rPr>
              <w:t>Dual-energy X-ray absorptiometry</w:t>
            </w:r>
          </w:p>
        </w:tc>
      </w:tr>
      <w:tr w:rsidR="00807FA2" w:rsidRPr="00462B0C" w14:paraId="4B37D2E8" w14:textId="77777777" w:rsidTr="001079CB">
        <w:tc>
          <w:tcPr>
            <w:tcW w:w="2965" w:type="dxa"/>
          </w:tcPr>
          <w:p w14:paraId="5111E2C7" w14:textId="77777777" w:rsidR="00807FA2" w:rsidRPr="00462B0C" w:rsidRDefault="00807FA2" w:rsidP="001079CB">
            <w:pPr>
              <w:rPr>
                <w:szCs w:val="24"/>
              </w:rPr>
            </w:pPr>
            <w:r w:rsidRPr="00462B0C">
              <w:rPr>
                <w:szCs w:val="24"/>
              </w:rPr>
              <w:t>EFP</w:t>
            </w:r>
          </w:p>
        </w:tc>
        <w:tc>
          <w:tcPr>
            <w:tcW w:w="6385" w:type="dxa"/>
          </w:tcPr>
          <w:p w14:paraId="3635DBA3" w14:textId="77777777" w:rsidR="00807FA2" w:rsidRPr="00462B0C" w:rsidRDefault="00807FA2" w:rsidP="001079CB">
            <w:pPr>
              <w:rPr>
                <w:szCs w:val="24"/>
              </w:rPr>
            </w:pPr>
            <w:r w:rsidRPr="00462B0C">
              <w:rPr>
                <w:szCs w:val="24"/>
              </w:rPr>
              <w:t>European forearm phantom</w:t>
            </w:r>
          </w:p>
        </w:tc>
      </w:tr>
      <w:tr w:rsidR="00807FA2" w:rsidRPr="00462B0C" w14:paraId="7884315B" w14:textId="77777777" w:rsidTr="001079CB">
        <w:tc>
          <w:tcPr>
            <w:tcW w:w="2965" w:type="dxa"/>
          </w:tcPr>
          <w:p w14:paraId="37A2EE31" w14:textId="77777777" w:rsidR="00807FA2" w:rsidRPr="00462B0C" w:rsidRDefault="00807FA2" w:rsidP="001079CB">
            <w:pPr>
              <w:rPr>
                <w:szCs w:val="24"/>
              </w:rPr>
            </w:pPr>
            <w:r w:rsidRPr="00462B0C">
              <w:rPr>
                <w:szCs w:val="24"/>
              </w:rPr>
              <w:t>HR-</w:t>
            </w:r>
            <w:proofErr w:type="spellStart"/>
            <w:r w:rsidRPr="00462B0C">
              <w:rPr>
                <w:szCs w:val="24"/>
              </w:rPr>
              <w:t>pQCT</w:t>
            </w:r>
            <w:proofErr w:type="spellEnd"/>
          </w:p>
        </w:tc>
        <w:tc>
          <w:tcPr>
            <w:tcW w:w="6385" w:type="dxa"/>
          </w:tcPr>
          <w:p w14:paraId="00989476" w14:textId="77777777" w:rsidR="00807FA2" w:rsidRPr="00462B0C" w:rsidRDefault="00807FA2" w:rsidP="001079CB">
            <w:pPr>
              <w:rPr>
                <w:szCs w:val="24"/>
              </w:rPr>
            </w:pPr>
            <w:r w:rsidRPr="00462B0C">
              <w:rPr>
                <w:szCs w:val="24"/>
              </w:rPr>
              <w:t>High-resolution peripheral quantitative tomography</w:t>
            </w:r>
          </w:p>
        </w:tc>
      </w:tr>
      <w:tr w:rsidR="00807FA2" w:rsidRPr="00462B0C" w14:paraId="0FCE5516" w14:textId="77777777" w:rsidTr="001079CB">
        <w:tc>
          <w:tcPr>
            <w:tcW w:w="2965" w:type="dxa"/>
          </w:tcPr>
          <w:p w14:paraId="02665CA3" w14:textId="77777777" w:rsidR="00807FA2" w:rsidRPr="00462B0C" w:rsidRDefault="00807FA2" w:rsidP="001079CB">
            <w:pPr>
              <w:rPr>
                <w:szCs w:val="24"/>
              </w:rPr>
            </w:pPr>
            <w:r w:rsidRPr="00462B0C">
              <w:rPr>
                <w:szCs w:val="24"/>
              </w:rPr>
              <w:t>ISCD</w:t>
            </w:r>
          </w:p>
        </w:tc>
        <w:tc>
          <w:tcPr>
            <w:tcW w:w="6385" w:type="dxa"/>
          </w:tcPr>
          <w:p w14:paraId="2BFC7983" w14:textId="77777777" w:rsidR="00807FA2" w:rsidRPr="00462B0C" w:rsidRDefault="00807FA2" w:rsidP="001079CB">
            <w:pPr>
              <w:rPr>
                <w:szCs w:val="24"/>
              </w:rPr>
            </w:pPr>
            <w:r w:rsidRPr="00462B0C">
              <w:rPr>
                <w:szCs w:val="24"/>
              </w:rPr>
              <w:t xml:space="preserve">International society for clinical densitometry </w:t>
            </w:r>
          </w:p>
        </w:tc>
      </w:tr>
      <w:tr w:rsidR="00807FA2" w:rsidRPr="00462B0C" w14:paraId="4A58003F" w14:textId="77777777" w:rsidTr="001079CB">
        <w:tc>
          <w:tcPr>
            <w:tcW w:w="2965" w:type="dxa"/>
          </w:tcPr>
          <w:p w14:paraId="79A2E3D6" w14:textId="77777777" w:rsidR="00807FA2" w:rsidRPr="00462B0C" w:rsidRDefault="00807FA2" w:rsidP="001079CB">
            <w:pPr>
              <w:rPr>
                <w:szCs w:val="24"/>
              </w:rPr>
            </w:pPr>
            <w:r w:rsidRPr="00462B0C">
              <w:rPr>
                <w:szCs w:val="24"/>
              </w:rPr>
              <w:t>LSC</w:t>
            </w:r>
          </w:p>
        </w:tc>
        <w:tc>
          <w:tcPr>
            <w:tcW w:w="6385" w:type="dxa"/>
          </w:tcPr>
          <w:p w14:paraId="790B8771" w14:textId="77777777" w:rsidR="00807FA2" w:rsidRPr="00462B0C" w:rsidRDefault="00807FA2" w:rsidP="001079CB">
            <w:pPr>
              <w:rPr>
                <w:szCs w:val="24"/>
              </w:rPr>
            </w:pPr>
            <w:r w:rsidRPr="00462B0C">
              <w:rPr>
                <w:szCs w:val="24"/>
              </w:rPr>
              <w:t>Least significant change</w:t>
            </w:r>
          </w:p>
        </w:tc>
      </w:tr>
      <w:tr w:rsidR="00807FA2" w:rsidRPr="00462B0C" w14:paraId="4B1A60FB" w14:textId="77777777" w:rsidTr="001079CB">
        <w:tc>
          <w:tcPr>
            <w:tcW w:w="2965" w:type="dxa"/>
          </w:tcPr>
          <w:p w14:paraId="2D0E5704" w14:textId="77777777" w:rsidR="00807FA2" w:rsidRPr="00462B0C" w:rsidRDefault="00807FA2" w:rsidP="001079CB">
            <w:pPr>
              <w:rPr>
                <w:szCs w:val="24"/>
              </w:rPr>
            </w:pPr>
            <w:r w:rsidRPr="00462B0C">
              <w:rPr>
                <w:szCs w:val="24"/>
              </w:rPr>
              <w:t>LTMS</w:t>
            </w:r>
          </w:p>
        </w:tc>
        <w:tc>
          <w:tcPr>
            <w:tcW w:w="6385" w:type="dxa"/>
          </w:tcPr>
          <w:p w14:paraId="1A2CFE09" w14:textId="77777777" w:rsidR="00807FA2" w:rsidRPr="00462B0C" w:rsidRDefault="00807FA2" w:rsidP="001079CB">
            <w:pPr>
              <w:rPr>
                <w:szCs w:val="24"/>
              </w:rPr>
            </w:pPr>
            <w:r w:rsidRPr="00462B0C">
              <w:rPr>
                <w:szCs w:val="24"/>
              </w:rPr>
              <w:t>Longitudinal multi-site</w:t>
            </w:r>
          </w:p>
        </w:tc>
      </w:tr>
      <w:tr w:rsidR="00807FA2" w:rsidRPr="00462B0C" w14:paraId="786697DA" w14:textId="77777777" w:rsidTr="001079CB">
        <w:tc>
          <w:tcPr>
            <w:tcW w:w="2965" w:type="dxa"/>
          </w:tcPr>
          <w:p w14:paraId="4E07627C" w14:textId="77777777" w:rsidR="00807FA2" w:rsidRPr="00462B0C" w:rsidRDefault="00807FA2" w:rsidP="001079CB">
            <w:pPr>
              <w:rPr>
                <w:szCs w:val="24"/>
              </w:rPr>
            </w:pPr>
            <w:r w:rsidRPr="00462B0C">
              <w:rPr>
                <w:szCs w:val="24"/>
              </w:rPr>
              <w:t>LTSS</w:t>
            </w:r>
          </w:p>
        </w:tc>
        <w:tc>
          <w:tcPr>
            <w:tcW w:w="6385" w:type="dxa"/>
          </w:tcPr>
          <w:p w14:paraId="0C5A1F11" w14:textId="77777777" w:rsidR="00807FA2" w:rsidRPr="00462B0C" w:rsidRDefault="00807FA2" w:rsidP="001079CB">
            <w:pPr>
              <w:rPr>
                <w:szCs w:val="24"/>
              </w:rPr>
            </w:pPr>
            <w:r w:rsidRPr="00462B0C">
              <w:rPr>
                <w:szCs w:val="24"/>
              </w:rPr>
              <w:t>Longitudinal single-site</w:t>
            </w:r>
          </w:p>
        </w:tc>
      </w:tr>
      <w:tr w:rsidR="00807FA2" w:rsidRPr="00462B0C" w14:paraId="6F44CA1D" w14:textId="77777777" w:rsidTr="001079CB">
        <w:tc>
          <w:tcPr>
            <w:tcW w:w="2965" w:type="dxa"/>
          </w:tcPr>
          <w:p w14:paraId="12DC8DBE" w14:textId="77777777" w:rsidR="00807FA2" w:rsidRPr="00462B0C" w:rsidRDefault="00807FA2" w:rsidP="001079CB">
            <w:pPr>
              <w:rPr>
                <w:szCs w:val="24"/>
              </w:rPr>
            </w:pPr>
            <w:r w:rsidRPr="00462B0C">
              <w:rPr>
                <w:szCs w:val="24"/>
              </w:rPr>
              <w:t>µCT</w:t>
            </w:r>
          </w:p>
        </w:tc>
        <w:tc>
          <w:tcPr>
            <w:tcW w:w="6385" w:type="dxa"/>
          </w:tcPr>
          <w:p w14:paraId="32367C21" w14:textId="77777777" w:rsidR="00807FA2" w:rsidRPr="00462B0C" w:rsidRDefault="00807FA2" w:rsidP="001079CB">
            <w:pPr>
              <w:rPr>
                <w:szCs w:val="24"/>
              </w:rPr>
            </w:pPr>
            <w:r w:rsidRPr="00462B0C">
              <w:rPr>
                <w:szCs w:val="24"/>
              </w:rPr>
              <w:t>Micro-computed tomography</w:t>
            </w:r>
          </w:p>
        </w:tc>
      </w:tr>
      <w:tr w:rsidR="00807FA2" w:rsidRPr="00462B0C" w14:paraId="43549D81" w14:textId="77777777" w:rsidTr="001079CB">
        <w:tc>
          <w:tcPr>
            <w:tcW w:w="2965" w:type="dxa"/>
          </w:tcPr>
          <w:p w14:paraId="3D0AA95B" w14:textId="77777777" w:rsidR="00807FA2" w:rsidRPr="00462B0C" w:rsidRDefault="00807FA2" w:rsidP="001079CB">
            <w:pPr>
              <w:rPr>
                <w:szCs w:val="24"/>
              </w:rPr>
            </w:pPr>
            <w:r w:rsidRPr="00462B0C">
              <w:rPr>
                <w:szCs w:val="24"/>
              </w:rPr>
              <w:t>MA</w:t>
            </w:r>
          </w:p>
        </w:tc>
        <w:tc>
          <w:tcPr>
            <w:tcW w:w="6385" w:type="dxa"/>
          </w:tcPr>
          <w:p w14:paraId="5D0FD469" w14:textId="77777777" w:rsidR="00807FA2" w:rsidRPr="00462B0C" w:rsidRDefault="00807FA2" w:rsidP="001079CB">
            <w:pPr>
              <w:rPr>
                <w:szCs w:val="24"/>
              </w:rPr>
            </w:pPr>
            <w:r w:rsidRPr="00462B0C">
              <w:rPr>
                <w:szCs w:val="24"/>
              </w:rPr>
              <w:t>Motion artefact</w:t>
            </w:r>
          </w:p>
        </w:tc>
      </w:tr>
      <w:tr w:rsidR="00807FA2" w:rsidRPr="00462B0C" w14:paraId="14D7D70E" w14:textId="77777777" w:rsidTr="001079CB">
        <w:tc>
          <w:tcPr>
            <w:tcW w:w="2965" w:type="dxa"/>
          </w:tcPr>
          <w:p w14:paraId="202B4425" w14:textId="77777777" w:rsidR="00807FA2" w:rsidRPr="00462B0C" w:rsidRDefault="00807FA2" w:rsidP="001079CB">
            <w:pPr>
              <w:rPr>
                <w:szCs w:val="24"/>
              </w:rPr>
            </w:pPr>
            <w:r w:rsidRPr="00462B0C">
              <w:rPr>
                <w:szCs w:val="24"/>
              </w:rPr>
              <w:t>Med</w:t>
            </w:r>
          </w:p>
        </w:tc>
        <w:tc>
          <w:tcPr>
            <w:tcW w:w="6385" w:type="dxa"/>
          </w:tcPr>
          <w:p w14:paraId="36E1F098" w14:textId="77777777" w:rsidR="00807FA2" w:rsidRPr="00462B0C" w:rsidRDefault="00807FA2" w:rsidP="001079CB">
            <w:pPr>
              <w:rPr>
                <w:szCs w:val="24"/>
              </w:rPr>
            </w:pPr>
            <w:r w:rsidRPr="00462B0C">
              <w:rPr>
                <w:szCs w:val="24"/>
              </w:rPr>
              <w:t>Median</w:t>
            </w:r>
          </w:p>
        </w:tc>
      </w:tr>
      <w:tr w:rsidR="00807FA2" w:rsidRPr="00462B0C" w14:paraId="64EE191D" w14:textId="77777777" w:rsidTr="001079CB">
        <w:tc>
          <w:tcPr>
            <w:tcW w:w="2965" w:type="dxa"/>
          </w:tcPr>
          <w:p w14:paraId="3761F3C7" w14:textId="77777777" w:rsidR="00807FA2" w:rsidRPr="00462B0C" w:rsidRDefault="00807FA2" w:rsidP="001079CB">
            <w:pPr>
              <w:rPr>
                <w:szCs w:val="24"/>
              </w:rPr>
            </w:pPr>
            <w:r w:rsidRPr="00462B0C">
              <w:rPr>
                <w:szCs w:val="24"/>
              </w:rPr>
              <w:t>Meta/Inn</w:t>
            </w:r>
          </w:p>
        </w:tc>
        <w:tc>
          <w:tcPr>
            <w:tcW w:w="6385" w:type="dxa"/>
          </w:tcPr>
          <w:p w14:paraId="43D1DBE8" w14:textId="77777777" w:rsidR="00807FA2" w:rsidRPr="00462B0C" w:rsidRDefault="00807FA2" w:rsidP="001079CB">
            <w:pPr>
              <w:rPr>
                <w:szCs w:val="24"/>
              </w:rPr>
            </w:pPr>
            <w:r w:rsidRPr="00462B0C">
              <w:rPr>
                <w:szCs w:val="24"/>
              </w:rPr>
              <w:t>Peripheral to medullary trabecular bone density ratio</w:t>
            </w:r>
          </w:p>
        </w:tc>
      </w:tr>
      <w:tr w:rsidR="00807FA2" w:rsidRPr="00462B0C" w14:paraId="1609AF12" w14:textId="77777777" w:rsidTr="001079CB">
        <w:tc>
          <w:tcPr>
            <w:tcW w:w="2965" w:type="dxa"/>
          </w:tcPr>
          <w:p w14:paraId="1D465277" w14:textId="77777777" w:rsidR="00807FA2" w:rsidRPr="00462B0C" w:rsidRDefault="00807FA2" w:rsidP="001079CB">
            <w:pPr>
              <w:rPr>
                <w:szCs w:val="24"/>
              </w:rPr>
            </w:pPr>
            <w:r w:rsidRPr="00462B0C">
              <w:rPr>
                <w:szCs w:val="24"/>
              </w:rPr>
              <w:t>MSE</w:t>
            </w:r>
          </w:p>
        </w:tc>
        <w:tc>
          <w:tcPr>
            <w:tcW w:w="6385" w:type="dxa"/>
          </w:tcPr>
          <w:p w14:paraId="2DD66C68" w14:textId="77777777" w:rsidR="00807FA2" w:rsidRPr="00462B0C" w:rsidRDefault="00807FA2" w:rsidP="001079CB">
            <w:pPr>
              <w:rPr>
                <w:szCs w:val="24"/>
              </w:rPr>
            </w:pPr>
            <w:r w:rsidRPr="00462B0C">
              <w:rPr>
                <w:szCs w:val="24"/>
              </w:rPr>
              <w:t>Mean squared error</w:t>
            </w:r>
          </w:p>
        </w:tc>
      </w:tr>
      <w:tr w:rsidR="00807FA2" w:rsidRPr="00462B0C" w14:paraId="52353708" w14:textId="77777777" w:rsidTr="001079CB">
        <w:tc>
          <w:tcPr>
            <w:tcW w:w="2965" w:type="dxa"/>
          </w:tcPr>
          <w:p w14:paraId="0C8DFE7D" w14:textId="77777777" w:rsidR="00807FA2" w:rsidRPr="00462B0C" w:rsidRDefault="00807FA2" w:rsidP="001079CB">
            <w:pPr>
              <w:rPr>
                <w:szCs w:val="24"/>
              </w:rPr>
            </w:pPr>
            <w:r w:rsidRPr="00462B0C">
              <w:rPr>
                <w:szCs w:val="24"/>
              </w:rPr>
              <w:t>OI</w:t>
            </w:r>
          </w:p>
        </w:tc>
        <w:tc>
          <w:tcPr>
            <w:tcW w:w="6385" w:type="dxa"/>
          </w:tcPr>
          <w:p w14:paraId="3E68B6AF" w14:textId="77777777" w:rsidR="00807FA2" w:rsidRPr="00462B0C" w:rsidRDefault="00807FA2" w:rsidP="001079CB">
            <w:pPr>
              <w:rPr>
                <w:szCs w:val="24"/>
              </w:rPr>
            </w:pPr>
            <w:r w:rsidRPr="00462B0C">
              <w:rPr>
                <w:szCs w:val="24"/>
              </w:rPr>
              <w:t>Osteogenesis imperfecta</w:t>
            </w:r>
          </w:p>
        </w:tc>
      </w:tr>
      <w:tr w:rsidR="00807FA2" w:rsidRPr="00462B0C" w14:paraId="298B81E1" w14:textId="77777777" w:rsidTr="001079CB">
        <w:tc>
          <w:tcPr>
            <w:tcW w:w="2965" w:type="dxa"/>
          </w:tcPr>
          <w:p w14:paraId="5E8D177B" w14:textId="77777777" w:rsidR="00807FA2" w:rsidRPr="00462B0C" w:rsidRDefault="00807FA2" w:rsidP="001079CB">
            <w:pPr>
              <w:rPr>
                <w:szCs w:val="24"/>
              </w:rPr>
            </w:pPr>
            <w:r w:rsidRPr="00462B0C">
              <w:rPr>
                <w:szCs w:val="24"/>
              </w:rPr>
              <w:t>PE</w:t>
            </w:r>
          </w:p>
        </w:tc>
        <w:tc>
          <w:tcPr>
            <w:tcW w:w="6385" w:type="dxa"/>
          </w:tcPr>
          <w:p w14:paraId="65CAA0E6" w14:textId="77777777" w:rsidR="00807FA2" w:rsidRPr="00462B0C" w:rsidRDefault="00807FA2" w:rsidP="001079CB">
            <w:pPr>
              <w:rPr>
                <w:szCs w:val="24"/>
              </w:rPr>
            </w:pPr>
            <w:r w:rsidRPr="00462B0C">
              <w:rPr>
                <w:szCs w:val="24"/>
              </w:rPr>
              <w:t>Precision error</w:t>
            </w:r>
          </w:p>
        </w:tc>
      </w:tr>
      <w:tr w:rsidR="00807FA2" w:rsidRPr="00462B0C" w14:paraId="1E51472F" w14:textId="77777777" w:rsidTr="001079CB">
        <w:tc>
          <w:tcPr>
            <w:tcW w:w="2965" w:type="dxa"/>
          </w:tcPr>
          <w:p w14:paraId="680264E9" w14:textId="77777777" w:rsidR="00807FA2" w:rsidRPr="00462B0C" w:rsidRDefault="00807FA2" w:rsidP="001079CB">
            <w:pPr>
              <w:rPr>
                <w:szCs w:val="24"/>
              </w:rPr>
            </w:pPr>
            <w:r w:rsidRPr="00462B0C">
              <w:rPr>
                <w:szCs w:val="24"/>
              </w:rPr>
              <w:t>RMS</w:t>
            </w:r>
          </w:p>
        </w:tc>
        <w:tc>
          <w:tcPr>
            <w:tcW w:w="6385" w:type="dxa"/>
          </w:tcPr>
          <w:p w14:paraId="3EE6261F" w14:textId="77777777" w:rsidR="00807FA2" w:rsidRPr="00462B0C" w:rsidRDefault="00807FA2" w:rsidP="001079CB">
            <w:pPr>
              <w:rPr>
                <w:szCs w:val="24"/>
              </w:rPr>
            </w:pPr>
            <w:r w:rsidRPr="00462B0C">
              <w:rPr>
                <w:szCs w:val="24"/>
              </w:rPr>
              <w:t>Root mean square</w:t>
            </w:r>
          </w:p>
        </w:tc>
      </w:tr>
      <w:tr w:rsidR="00807FA2" w:rsidRPr="00462B0C" w14:paraId="31E14D17" w14:textId="77777777" w:rsidTr="001079CB">
        <w:tc>
          <w:tcPr>
            <w:tcW w:w="2965" w:type="dxa"/>
          </w:tcPr>
          <w:p w14:paraId="2F249A56" w14:textId="77777777" w:rsidR="00807FA2" w:rsidRPr="00462B0C" w:rsidRDefault="00807FA2" w:rsidP="001079CB">
            <w:pPr>
              <w:rPr>
                <w:szCs w:val="24"/>
              </w:rPr>
            </w:pPr>
            <w:r w:rsidRPr="00462B0C">
              <w:rPr>
                <w:szCs w:val="24"/>
              </w:rPr>
              <w:t>SD</w:t>
            </w:r>
          </w:p>
        </w:tc>
        <w:tc>
          <w:tcPr>
            <w:tcW w:w="6385" w:type="dxa"/>
          </w:tcPr>
          <w:p w14:paraId="2A419AED" w14:textId="77777777" w:rsidR="00807FA2" w:rsidRPr="00462B0C" w:rsidRDefault="00807FA2" w:rsidP="001079CB">
            <w:pPr>
              <w:rPr>
                <w:szCs w:val="24"/>
              </w:rPr>
            </w:pPr>
            <w:r w:rsidRPr="00462B0C">
              <w:rPr>
                <w:szCs w:val="24"/>
              </w:rPr>
              <w:t>Standard deviation</w:t>
            </w:r>
          </w:p>
        </w:tc>
      </w:tr>
      <w:tr w:rsidR="00807FA2" w:rsidRPr="00462B0C" w14:paraId="7B836394" w14:textId="77777777" w:rsidTr="001079CB">
        <w:tc>
          <w:tcPr>
            <w:tcW w:w="2965" w:type="dxa"/>
          </w:tcPr>
          <w:p w14:paraId="2B5740C6" w14:textId="77777777" w:rsidR="00807FA2" w:rsidRPr="00462B0C" w:rsidRDefault="00807FA2" w:rsidP="001079CB">
            <w:pPr>
              <w:rPr>
                <w:szCs w:val="24"/>
              </w:rPr>
            </w:pPr>
            <w:r w:rsidRPr="00462B0C">
              <w:rPr>
                <w:szCs w:val="24"/>
              </w:rPr>
              <w:t>SE</w:t>
            </w:r>
          </w:p>
        </w:tc>
        <w:tc>
          <w:tcPr>
            <w:tcW w:w="6385" w:type="dxa"/>
          </w:tcPr>
          <w:p w14:paraId="4D5CC877" w14:textId="77777777" w:rsidR="00807FA2" w:rsidRPr="00462B0C" w:rsidRDefault="00807FA2" w:rsidP="001079CB">
            <w:pPr>
              <w:rPr>
                <w:szCs w:val="24"/>
              </w:rPr>
            </w:pPr>
            <w:r w:rsidRPr="00462B0C">
              <w:rPr>
                <w:szCs w:val="24"/>
              </w:rPr>
              <w:t>Standard error</w:t>
            </w:r>
          </w:p>
        </w:tc>
      </w:tr>
      <w:tr w:rsidR="00807FA2" w:rsidRPr="00462B0C" w14:paraId="1E6530C3" w14:textId="77777777" w:rsidTr="001079CB">
        <w:tc>
          <w:tcPr>
            <w:tcW w:w="2965" w:type="dxa"/>
          </w:tcPr>
          <w:p w14:paraId="7A90299C" w14:textId="77777777" w:rsidR="00807FA2" w:rsidRPr="00462B0C" w:rsidRDefault="00807FA2" w:rsidP="001079CB">
            <w:pPr>
              <w:rPr>
                <w:szCs w:val="24"/>
              </w:rPr>
            </w:pPr>
            <w:r w:rsidRPr="00462B0C">
              <w:rPr>
                <w:szCs w:val="24"/>
              </w:rPr>
              <w:t>STMS</w:t>
            </w:r>
          </w:p>
        </w:tc>
        <w:tc>
          <w:tcPr>
            <w:tcW w:w="6385" w:type="dxa"/>
          </w:tcPr>
          <w:p w14:paraId="079947D3" w14:textId="77777777" w:rsidR="00807FA2" w:rsidRPr="00462B0C" w:rsidRDefault="00807FA2" w:rsidP="001079CB">
            <w:pPr>
              <w:rPr>
                <w:szCs w:val="24"/>
              </w:rPr>
            </w:pPr>
            <w:r w:rsidRPr="00462B0C">
              <w:rPr>
                <w:szCs w:val="24"/>
              </w:rPr>
              <w:t>Short-term multi-site</w:t>
            </w:r>
          </w:p>
        </w:tc>
      </w:tr>
      <w:tr w:rsidR="00807FA2" w:rsidRPr="00462B0C" w14:paraId="5B35AA5E" w14:textId="77777777" w:rsidTr="001079CB">
        <w:tc>
          <w:tcPr>
            <w:tcW w:w="2965" w:type="dxa"/>
          </w:tcPr>
          <w:p w14:paraId="2B0C6AC7" w14:textId="77777777" w:rsidR="00807FA2" w:rsidRPr="00462B0C" w:rsidRDefault="00807FA2" w:rsidP="001079CB">
            <w:pPr>
              <w:rPr>
                <w:szCs w:val="24"/>
              </w:rPr>
            </w:pPr>
            <w:r w:rsidRPr="00462B0C">
              <w:rPr>
                <w:szCs w:val="24"/>
              </w:rPr>
              <w:t>STSS</w:t>
            </w:r>
          </w:p>
        </w:tc>
        <w:tc>
          <w:tcPr>
            <w:tcW w:w="6385" w:type="dxa"/>
          </w:tcPr>
          <w:p w14:paraId="16692824" w14:textId="77777777" w:rsidR="00807FA2" w:rsidRPr="00462B0C" w:rsidRDefault="00807FA2" w:rsidP="001079CB">
            <w:pPr>
              <w:rPr>
                <w:szCs w:val="24"/>
              </w:rPr>
            </w:pPr>
            <w:r w:rsidRPr="00462B0C">
              <w:rPr>
                <w:szCs w:val="24"/>
              </w:rPr>
              <w:t>Short-term single-site</w:t>
            </w:r>
          </w:p>
        </w:tc>
      </w:tr>
      <w:tr w:rsidR="00807FA2" w:rsidRPr="00462B0C" w14:paraId="30BF58F0" w14:textId="77777777" w:rsidTr="001079CB">
        <w:tc>
          <w:tcPr>
            <w:tcW w:w="2965" w:type="dxa"/>
          </w:tcPr>
          <w:p w14:paraId="34D5C851" w14:textId="77777777" w:rsidR="00807FA2" w:rsidRPr="00462B0C" w:rsidRDefault="00807FA2" w:rsidP="001079CB">
            <w:pPr>
              <w:rPr>
                <w:szCs w:val="24"/>
              </w:rPr>
            </w:pPr>
            <w:r w:rsidRPr="00462B0C">
              <w:rPr>
                <w:szCs w:val="24"/>
              </w:rPr>
              <w:t>Tb.1/N.SD</w:t>
            </w:r>
          </w:p>
        </w:tc>
        <w:tc>
          <w:tcPr>
            <w:tcW w:w="6385" w:type="dxa"/>
          </w:tcPr>
          <w:p w14:paraId="0872A20C" w14:textId="77777777" w:rsidR="00807FA2" w:rsidRPr="00462B0C" w:rsidRDefault="00807FA2" w:rsidP="001079CB">
            <w:pPr>
              <w:rPr>
                <w:szCs w:val="24"/>
              </w:rPr>
            </w:pPr>
            <w:r w:rsidRPr="00462B0C">
              <w:rPr>
                <w:szCs w:val="24"/>
              </w:rPr>
              <w:t>Inhomogeneity of trabecular network</w:t>
            </w:r>
          </w:p>
        </w:tc>
      </w:tr>
      <w:tr w:rsidR="00807FA2" w:rsidRPr="00462B0C" w14:paraId="33E76A59" w14:textId="77777777" w:rsidTr="001079CB">
        <w:tc>
          <w:tcPr>
            <w:tcW w:w="2965" w:type="dxa"/>
          </w:tcPr>
          <w:p w14:paraId="37C3B9F7" w14:textId="77777777" w:rsidR="00807FA2" w:rsidRPr="00462B0C" w:rsidRDefault="00807FA2" w:rsidP="001079CB">
            <w:pPr>
              <w:rPr>
                <w:szCs w:val="24"/>
              </w:rPr>
            </w:pPr>
            <w:proofErr w:type="spellStart"/>
            <w:r w:rsidRPr="00462B0C">
              <w:rPr>
                <w:szCs w:val="24"/>
              </w:rPr>
              <w:t>Tb.Ar</w:t>
            </w:r>
            <w:proofErr w:type="spellEnd"/>
          </w:p>
        </w:tc>
        <w:tc>
          <w:tcPr>
            <w:tcW w:w="6385" w:type="dxa"/>
          </w:tcPr>
          <w:p w14:paraId="6AC21D35" w14:textId="77777777" w:rsidR="00807FA2" w:rsidRPr="00462B0C" w:rsidRDefault="00807FA2" w:rsidP="001079CB">
            <w:pPr>
              <w:rPr>
                <w:szCs w:val="24"/>
              </w:rPr>
            </w:pPr>
            <w:r w:rsidRPr="00462B0C">
              <w:rPr>
                <w:szCs w:val="24"/>
              </w:rPr>
              <w:t>Trabecular area</w:t>
            </w:r>
          </w:p>
        </w:tc>
      </w:tr>
      <w:tr w:rsidR="00807FA2" w:rsidRPr="00462B0C" w14:paraId="56B5AC4A" w14:textId="77777777" w:rsidTr="001079CB">
        <w:tc>
          <w:tcPr>
            <w:tcW w:w="2965" w:type="dxa"/>
          </w:tcPr>
          <w:p w14:paraId="4FE7A7FB" w14:textId="77777777" w:rsidR="00807FA2" w:rsidRPr="00462B0C" w:rsidRDefault="00807FA2" w:rsidP="001079CB">
            <w:pPr>
              <w:rPr>
                <w:szCs w:val="24"/>
              </w:rPr>
            </w:pPr>
            <w:proofErr w:type="spellStart"/>
            <w:r w:rsidRPr="00462B0C">
              <w:rPr>
                <w:szCs w:val="24"/>
              </w:rPr>
              <w:lastRenderedPageBreak/>
              <w:t>Tb.Sp</w:t>
            </w:r>
            <w:proofErr w:type="spellEnd"/>
          </w:p>
        </w:tc>
        <w:tc>
          <w:tcPr>
            <w:tcW w:w="6385" w:type="dxa"/>
          </w:tcPr>
          <w:p w14:paraId="05242540" w14:textId="77777777" w:rsidR="00807FA2" w:rsidRPr="00462B0C" w:rsidRDefault="00807FA2" w:rsidP="001079CB">
            <w:pPr>
              <w:rPr>
                <w:szCs w:val="24"/>
              </w:rPr>
            </w:pPr>
            <w:r w:rsidRPr="00462B0C">
              <w:rPr>
                <w:szCs w:val="24"/>
              </w:rPr>
              <w:t>Trabecular separation</w:t>
            </w:r>
          </w:p>
        </w:tc>
      </w:tr>
      <w:tr w:rsidR="00807FA2" w:rsidRPr="00462B0C" w14:paraId="4D48AC76" w14:textId="77777777" w:rsidTr="001079CB">
        <w:tc>
          <w:tcPr>
            <w:tcW w:w="2965" w:type="dxa"/>
          </w:tcPr>
          <w:p w14:paraId="129F7AE3" w14:textId="77777777" w:rsidR="00807FA2" w:rsidRPr="00462B0C" w:rsidRDefault="00807FA2" w:rsidP="001079CB">
            <w:pPr>
              <w:rPr>
                <w:szCs w:val="24"/>
              </w:rPr>
            </w:pPr>
            <w:proofErr w:type="spellStart"/>
            <w:r w:rsidRPr="00462B0C">
              <w:rPr>
                <w:szCs w:val="24"/>
              </w:rPr>
              <w:t>Tb.Th</w:t>
            </w:r>
            <w:proofErr w:type="spellEnd"/>
          </w:p>
        </w:tc>
        <w:tc>
          <w:tcPr>
            <w:tcW w:w="6385" w:type="dxa"/>
          </w:tcPr>
          <w:p w14:paraId="0B3A0E71" w14:textId="77777777" w:rsidR="00807FA2" w:rsidRPr="00462B0C" w:rsidRDefault="00807FA2" w:rsidP="001079CB">
            <w:pPr>
              <w:rPr>
                <w:szCs w:val="24"/>
              </w:rPr>
            </w:pPr>
            <w:r w:rsidRPr="00462B0C">
              <w:rPr>
                <w:szCs w:val="24"/>
              </w:rPr>
              <w:t>Trabecular thickness</w:t>
            </w:r>
          </w:p>
        </w:tc>
      </w:tr>
      <w:tr w:rsidR="00807FA2" w:rsidRPr="00462B0C" w14:paraId="0108DD98" w14:textId="77777777" w:rsidTr="001079CB">
        <w:tc>
          <w:tcPr>
            <w:tcW w:w="2965" w:type="dxa"/>
          </w:tcPr>
          <w:p w14:paraId="780D1988" w14:textId="77777777" w:rsidR="00807FA2" w:rsidRPr="00462B0C" w:rsidRDefault="00807FA2" w:rsidP="001079CB">
            <w:pPr>
              <w:rPr>
                <w:szCs w:val="24"/>
              </w:rPr>
            </w:pPr>
            <w:proofErr w:type="spellStart"/>
            <w:r w:rsidRPr="00462B0C">
              <w:rPr>
                <w:szCs w:val="24"/>
              </w:rPr>
              <w:t>Tb.vBMD</w:t>
            </w:r>
            <w:proofErr w:type="spellEnd"/>
          </w:p>
        </w:tc>
        <w:tc>
          <w:tcPr>
            <w:tcW w:w="6385" w:type="dxa"/>
          </w:tcPr>
          <w:p w14:paraId="2999817A" w14:textId="77777777" w:rsidR="00807FA2" w:rsidRPr="00462B0C" w:rsidRDefault="00807FA2" w:rsidP="001079CB">
            <w:pPr>
              <w:rPr>
                <w:szCs w:val="24"/>
              </w:rPr>
            </w:pPr>
            <w:r w:rsidRPr="00462B0C">
              <w:rPr>
                <w:szCs w:val="24"/>
              </w:rPr>
              <w:t>Trabecular volumetric bone mineral density</w:t>
            </w:r>
          </w:p>
        </w:tc>
      </w:tr>
      <w:tr w:rsidR="00807FA2" w:rsidRPr="00462B0C" w14:paraId="57F0F006" w14:textId="77777777" w:rsidTr="001079CB">
        <w:tc>
          <w:tcPr>
            <w:tcW w:w="2965" w:type="dxa"/>
          </w:tcPr>
          <w:p w14:paraId="4C29D381" w14:textId="77777777" w:rsidR="00807FA2" w:rsidRPr="00462B0C" w:rsidRDefault="00807FA2" w:rsidP="001079CB">
            <w:pPr>
              <w:rPr>
                <w:szCs w:val="24"/>
              </w:rPr>
            </w:pPr>
            <w:proofErr w:type="spellStart"/>
            <w:r w:rsidRPr="00462B0C">
              <w:rPr>
                <w:szCs w:val="24"/>
              </w:rPr>
              <w:t>Tt.Ar</w:t>
            </w:r>
            <w:proofErr w:type="spellEnd"/>
          </w:p>
        </w:tc>
        <w:tc>
          <w:tcPr>
            <w:tcW w:w="6385" w:type="dxa"/>
          </w:tcPr>
          <w:p w14:paraId="7BA3DA0C" w14:textId="77777777" w:rsidR="00807FA2" w:rsidRPr="00462B0C" w:rsidRDefault="00807FA2" w:rsidP="001079CB">
            <w:pPr>
              <w:rPr>
                <w:szCs w:val="24"/>
              </w:rPr>
            </w:pPr>
            <w:r w:rsidRPr="00462B0C">
              <w:rPr>
                <w:szCs w:val="24"/>
              </w:rPr>
              <w:t>Total area</w:t>
            </w:r>
          </w:p>
        </w:tc>
      </w:tr>
      <w:tr w:rsidR="00807FA2" w:rsidRPr="00462B0C" w14:paraId="53E456F7" w14:textId="77777777" w:rsidTr="001079CB">
        <w:tc>
          <w:tcPr>
            <w:tcW w:w="2965" w:type="dxa"/>
          </w:tcPr>
          <w:p w14:paraId="51350526" w14:textId="77777777" w:rsidR="00807FA2" w:rsidRPr="00462B0C" w:rsidRDefault="00807FA2" w:rsidP="001079CB">
            <w:pPr>
              <w:rPr>
                <w:szCs w:val="24"/>
              </w:rPr>
            </w:pPr>
            <w:proofErr w:type="spellStart"/>
            <w:r w:rsidRPr="00462B0C">
              <w:rPr>
                <w:szCs w:val="24"/>
              </w:rPr>
              <w:t>Tt.vBMD</w:t>
            </w:r>
            <w:proofErr w:type="spellEnd"/>
          </w:p>
        </w:tc>
        <w:tc>
          <w:tcPr>
            <w:tcW w:w="6385" w:type="dxa"/>
          </w:tcPr>
          <w:p w14:paraId="7A135D04" w14:textId="77777777" w:rsidR="00807FA2" w:rsidRPr="00462B0C" w:rsidRDefault="00807FA2" w:rsidP="001079CB">
            <w:pPr>
              <w:rPr>
                <w:szCs w:val="24"/>
              </w:rPr>
            </w:pPr>
            <w:r w:rsidRPr="00462B0C">
              <w:rPr>
                <w:szCs w:val="24"/>
              </w:rPr>
              <w:t>Total volumetric bone mineral density</w:t>
            </w:r>
          </w:p>
        </w:tc>
      </w:tr>
      <w:tr w:rsidR="00807FA2" w:rsidRPr="00462B0C" w14:paraId="02F3F34B" w14:textId="77777777" w:rsidTr="001079CB">
        <w:tc>
          <w:tcPr>
            <w:tcW w:w="2965" w:type="dxa"/>
          </w:tcPr>
          <w:p w14:paraId="79E92CF3" w14:textId="77777777" w:rsidR="00807FA2" w:rsidRPr="00462B0C" w:rsidRDefault="00807FA2" w:rsidP="001079CB">
            <w:pPr>
              <w:rPr>
                <w:szCs w:val="24"/>
              </w:rPr>
            </w:pPr>
            <w:r w:rsidRPr="00462B0C">
              <w:rPr>
                <w:szCs w:val="24"/>
              </w:rPr>
              <w:t>VOI</w:t>
            </w:r>
          </w:p>
        </w:tc>
        <w:tc>
          <w:tcPr>
            <w:tcW w:w="6385" w:type="dxa"/>
          </w:tcPr>
          <w:p w14:paraId="016E63B6" w14:textId="77777777" w:rsidR="00807FA2" w:rsidRPr="00462B0C" w:rsidRDefault="00807FA2" w:rsidP="001079CB">
            <w:pPr>
              <w:rPr>
                <w:szCs w:val="24"/>
              </w:rPr>
            </w:pPr>
            <w:r w:rsidRPr="00462B0C">
              <w:rPr>
                <w:szCs w:val="24"/>
              </w:rPr>
              <w:t>Volume of interest</w:t>
            </w:r>
          </w:p>
        </w:tc>
      </w:tr>
      <w:tr w:rsidR="00807FA2" w:rsidRPr="00462B0C" w14:paraId="5EA41B0D" w14:textId="77777777" w:rsidTr="001079CB">
        <w:tc>
          <w:tcPr>
            <w:tcW w:w="2965" w:type="dxa"/>
          </w:tcPr>
          <w:p w14:paraId="63C9443C" w14:textId="77777777" w:rsidR="00807FA2" w:rsidRPr="00462B0C" w:rsidRDefault="00807FA2" w:rsidP="001079CB">
            <w:pPr>
              <w:rPr>
                <w:szCs w:val="24"/>
              </w:rPr>
            </w:pPr>
            <w:r w:rsidRPr="00462B0C">
              <w:rPr>
                <w:szCs w:val="24"/>
              </w:rPr>
              <w:t>XCT</w:t>
            </w:r>
          </w:p>
        </w:tc>
        <w:tc>
          <w:tcPr>
            <w:tcW w:w="6385" w:type="dxa"/>
          </w:tcPr>
          <w:p w14:paraId="3B4B9BC8" w14:textId="77777777" w:rsidR="00807FA2" w:rsidRPr="00462B0C" w:rsidRDefault="00807FA2" w:rsidP="001079CB">
            <w:pPr>
              <w:rPr>
                <w:szCs w:val="24"/>
              </w:rPr>
            </w:pPr>
            <w:proofErr w:type="spellStart"/>
            <w:r w:rsidRPr="00462B0C">
              <w:rPr>
                <w:szCs w:val="24"/>
              </w:rPr>
              <w:t>XtremeCT</w:t>
            </w:r>
            <w:proofErr w:type="spellEnd"/>
            <w:r w:rsidRPr="00462B0C">
              <w:rPr>
                <w:szCs w:val="24"/>
              </w:rPr>
              <w:t xml:space="preserve"> (first generation scanner)</w:t>
            </w:r>
          </w:p>
        </w:tc>
      </w:tr>
      <w:tr w:rsidR="00807FA2" w:rsidRPr="00462B0C" w14:paraId="5D9729A4" w14:textId="77777777" w:rsidTr="001079CB">
        <w:tc>
          <w:tcPr>
            <w:tcW w:w="2965" w:type="dxa"/>
            <w:tcBorders>
              <w:bottom w:val="single" w:sz="4" w:space="0" w:color="auto"/>
            </w:tcBorders>
          </w:tcPr>
          <w:p w14:paraId="58AEA1EE" w14:textId="77777777" w:rsidR="00807FA2" w:rsidRPr="00462B0C" w:rsidRDefault="00807FA2" w:rsidP="001079CB">
            <w:pPr>
              <w:rPr>
                <w:szCs w:val="24"/>
              </w:rPr>
            </w:pPr>
            <w:r w:rsidRPr="00462B0C">
              <w:rPr>
                <w:szCs w:val="24"/>
              </w:rPr>
              <w:t>XCT2</w:t>
            </w:r>
          </w:p>
        </w:tc>
        <w:tc>
          <w:tcPr>
            <w:tcW w:w="6385" w:type="dxa"/>
            <w:tcBorders>
              <w:bottom w:val="single" w:sz="4" w:space="0" w:color="auto"/>
            </w:tcBorders>
          </w:tcPr>
          <w:p w14:paraId="3E8709FE" w14:textId="77777777" w:rsidR="00807FA2" w:rsidRPr="00462B0C" w:rsidRDefault="00807FA2" w:rsidP="001079CB">
            <w:pPr>
              <w:rPr>
                <w:szCs w:val="24"/>
              </w:rPr>
            </w:pPr>
            <w:r w:rsidRPr="00462B0C">
              <w:rPr>
                <w:szCs w:val="24"/>
              </w:rPr>
              <w:t>XtremeCT2 (second generation scanner)</w:t>
            </w:r>
          </w:p>
        </w:tc>
      </w:tr>
    </w:tbl>
    <w:p w14:paraId="0B2566A7" w14:textId="77777777" w:rsidR="00807FA2" w:rsidRDefault="00807FA2" w:rsidP="00807FA2">
      <w:pPr>
        <w:spacing w:line="360" w:lineRule="auto"/>
        <w:rPr>
          <w:rFonts w:eastAsiaTheme="majorEastAsia"/>
        </w:rPr>
      </w:pPr>
    </w:p>
    <w:p w14:paraId="34DFC1A0" w14:textId="77777777" w:rsidR="00807FA2" w:rsidRDefault="00807FA2" w:rsidP="00807FA2"/>
    <w:p w14:paraId="5EF2C184" w14:textId="77777777" w:rsidR="00A21827" w:rsidRPr="00A21827" w:rsidRDefault="00A21827" w:rsidP="00A21827">
      <w:pPr>
        <w:pStyle w:val="TextBody"/>
        <w:spacing w:line="360" w:lineRule="auto"/>
        <w:jc w:val="both"/>
        <w:rPr>
          <w:rFonts w:ascii="Times New Roman" w:hAnsi="Times New Roman" w:cs="Times New Roman"/>
          <w:color w:val="auto"/>
        </w:rPr>
      </w:pPr>
    </w:p>
    <w:p w14:paraId="21F6D6C5" w14:textId="77777777" w:rsidR="00A21827" w:rsidRPr="00A21827" w:rsidRDefault="00A21827" w:rsidP="00A21827">
      <w:pPr>
        <w:rPr>
          <w:rFonts w:ascii="Times New Roman" w:hAnsi="Times New Roman" w:cs="Times New Roman"/>
        </w:rPr>
      </w:pPr>
    </w:p>
    <w:p w14:paraId="159A1A09" w14:textId="77777777" w:rsidR="00A21827" w:rsidRPr="00A21827" w:rsidRDefault="00A21827" w:rsidP="00A21827">
      <w:pPr>
        <w:rPr>
          <w:rFonts w:ascii="Times New Roman" w:hAnsi="Times New Roman" w:cs="Times New Roman"/>
        </w:rPr>
      </w:pPr>
      <w:bookmarkStart w:id="0" w:name="_GoBack"/>
      <w:bookmarkEnd w:id="0"/>
    </w:p>
    <w:sectPr w:rsidR="00A21827" w:rsidRPr="00A21827" w:rsidSect="005F6C20">
      <w:pgSz w:w="11900" w:h="16840"/>
      <w:pgMar w:top="1440" w:right="1800" w:bottom="1440" w:left="1800"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3F01BA" w16cid:durableId="2314675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iberation Serif">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Lucida Grande">
    <w:altName w:val="Segoe UI"/>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910C64"/>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5BD71294"/>
    <w:multiLevelType w:val="multilevel"/>
    <w:tmpl w:val="B5BECB38"/>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322"/>
    <w:rsid w:val="00031871"/>
    <w:rsid w:val="000F2DD2"/>
    <w:rsid w:val="002748C1"/>
    <w:rsid w:val="002F72A3"/>
    <w:rsid w:val="00365667"/>
    <w:rsid w:val="003A4A61"/>
    <w:rsid w:val="003C1466"/>
    <w:rsid w:val="00414322"/>
    <w:rsid w:val="0054207A"/>
    <w:rsid w:val="005A5625"/>
    <w:rsid w:val="005F6C20"/>
    <w:rsid w:val="00784EAB"/>
    <w:rsid w:val="00807FA2"/>
    <w:rsid w:val="009C764E"/>
    <w:rsid w:val="00A21827"/>
    <w:rsid w:val="00E305D9"/>
    <w:rsid w:val="00E97CA1"/>
    <w:rsid w:val="00F929DA"/>
    <w:rsid w:val="00FE26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C2CE7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8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182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414322"/>
    <w:pPr>
      <w:widowControl w:val="0"/>
      <w:suppressAutoHyphens/>
      <w:spacing w:after="140" w:line="288" w:lineRule="auto"/>
    </w:pPr>
    <w:rPr>
      <w:rFonts w:ascii="Liberation Serif" w:eastAsia="Tahoma" w:hAnsi="Liberation Serif" w:cs="Tahoma"/>
      <w:color w:val="000000"/>
      <w:lang w:bidi="en-US"/>
    </w:rPr>
  </w:style>
  <w:style w:type="paragraph" w:styleId="NoSpacing">
    <w:name w:val="No Spacing"/>
    <w:uiPriority w:val="1"/>
    <w:qFormat/>
    <w:rsid w:val="00414322"/>
    <w:rPr>
      <w:rFonts w:ascii="Times New Roman" w:eastAsiaTheme="minorHAnsi" w:hAnsi="Times New Roman" w:cs="Times New Roman"/>
      <w:szCs w:val="22"/>
      <w:lang w:val="en-CA"/>
    </w:rPr>
  </w:style>
  <w:style w:type="character" w:customStyle="1" w:styleId="Heading1Char">
    <w:name w:val="Heading 1 Char"/>
    <w:basedOn w:val="DefaultParagraphFont"/>
    <w:link w:val="Heading1"/>
    <w:uiPriority w:val="9"/>
    <w:rsid w:val="00A2182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1827"/>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FE26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66D"/>
    <w:rPr>
      <w:rFonts w:ascii="Lucida Grande" w:hAnsi="Lucida Grande" w:cs="Lucida Grande"/>
      <w:sz w:val="18"/>
      <w:szCs w:val="18"/>
    </w:rPr>
  </w:style>
  <w:style w:type="character" w:styleId="CommentReference">
    <w:name w:val="annotation reference"/>
    <w:basedOn w:val="DefaultParagraphFont"/>
    <w:uiPriority w:val="99"/>
    <w:semiHidden/>
    <w:unhideWhenUsed/>
    <w:rsid w:val="00784EAB"/>
    <w:rPr>
      <w:sz w:val="16"/>
      <w:szCs w:val="16"/>
    </w:rPr>
  </w:style>
  <w:style w:type="paragraph" w:styleId="CommentText">
    <w:name w:val="annotation text"/>
    <w:basedOn w:val="Normal"/>
    <w:link w:val="CommentTextChar"/>
    <w:uiPriority w:val="99"/>
    <w:semiHidden/>
    <w:unhideWhenUsed/>
    <w:rsid w:val="00784EAB"/>
    <w:rPr>
      <w:sz w:val="20"/>
      <w:szCs w:val="20"/>
    </w:rPr>
  </w:style>
  <w:style w:type="character" w:customStyle="1" w:styleId="CommentTextChar">
    <w:name w:val="Comment Text Char"/>
    <w:basedOn w:val="DefaultParagraphFont"/>
    <w:link w:val="CommentText"/>
    <w:uiPriority w:val="99"/>
    <w:semiHidden/>
    <w:rsid w:val="00784EAB"/>
    <w:rPr>
      <w:sz w:val="20"/>
      <w:szCs w:val="20"/>
    </w:rPr>
  </w:style>
  <w:style w:type="paragraph" w:styleId="CommentSubject">
    <w:name w:val="annotation subject"/>
    <w:basedOn w:val="CommentText"/>
    <w:next w:val="CommentText"/>
    <w:link w:val="CommentSubjectChar"/>
    <w:uiPriority w:val="99"/>
    <w:semiHidden/>
    <w:unhideWhenUsed/>
    <w:rsid w:val="00784EAB"/>
    <w:rPr>
      <w:b/>
      <w:bCs/>
    </w:rPr>
  </w:style>
  <w:style w:type="character" w:customStyle="1" w:styleId="CommentSubjectChar">
    <w:name w:val="Comment Subject Char"/>
    <w:basedOn w:val="CommentTextChar"/>
    <w:link w:val="CommentSubject"/>
    <w:uiPriority w:val="99"/>
    <w:semiHidden/>
    <w:rsid w:val="00784EAB"/>
    <w:rPr>
      <w:b/>
      <w:bCs/>
      <w:sz w:val="20"/>
      <w:szCs w:val="20"/>
    </w:rPr>
  </w:style>
  <w:style w:type="table" w:styleId="TableGrid">
    <w:name w:val="Table Grid"/>
    <w:basedOn w:val="TableNormal"/>
    <w:uiPriority w:val="39"/>
    <w:rsid w:val="00807FA2"/>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21827"/>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182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Body">
    <w:name w:val="Text Body"/>
    <w:basedOn w:val="Normal"/>
    <w:rsid w:val="00414322"/>
    <w:pPr>
      <w:widowControl w:val="0"/>
      <w:suppressAutoHyphens/>
      <w:spacing w:after="140" w:line="288" w:lineRule="auto"/>
    </w:pPr>
    <w:rPr>
      <w:rFonts w:ascii="Liberation Serif" w:eastAsia="Tahoma" w:hAnsi="Liberation Serif" w:cs="Tahoma"/>
      <w:color w:val="000000"/>
      <w:lang w:bidi="en-US"/>
    </w:rPr>
  </w:style>
  <w:style w:type="paragraph" w:styleId="NoSpacing">
    <w:name w:val="No Spacing"/>
    <w:uiPriority w:val="1"/>
    <w:qFormat/>
    <w:rsid w:val="00414322"/>
    <w:rPr>
      <w:rFonts w:ascii="Times New Roman" w:eastAsiaTheme="minorHAnsi" w:hAnsi="Times New Roman" w:cs="Times New Roman"/>
      <w:szCs w:val="22"/>
      <w:lang w:val="en-CA"/>
    </w:rPr>
  </w:style>
  <w:style w:type="character" w:customStyle="1" w:styleId="Heading1Char">
    <w:name w:val="Heading 1 Char"/>
    <w:basedOn w:val="DefaultParagraphFont"/>
    <w:link w:val="Heading1"/>
    <w:uiPriority w:val="9"/>
    <w:rsid w:val="00A2182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1827"/>
    <w:rPr>
      <w:rFonts w:asciiTheme="majorHAnsi" w:eastAsiaTheme="majorEastAsia" w:hAnsiTheme="majorHAnsi" w:cstheme="majorBidi"/>
      <w:color w:val="365F91" w:themeColor="accent1" w:themeShade="BF"/>
      <w:sz w:val="26"/>
      <w:szCs w:val="26"/>
    </w:rPr>
  </w:style>
  <w:style w:type="paragraph" w:styleId="BalloonText">
    <w:name w:val="Balloon Text"/>
    <w:basedOn w:val="Normal"/>
    <w:link w:val="BalloonTextChar"/>
    <w:uiPriority w:val="99"/>
    <w:semiHidden/>
    <w:unhideWhenUsed/>
    <w:rsid w:val="00FE266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E266D"/>
    <w:rPr>
      <w:rFonts w:ascii="Lucida Grande" w:hAnsi="Lucida Grande" w:cs="Lucida Grande"/>
      <w:sz w:val="18"/>
      <w:szCs w:val="18"/>
    </w:rPr>
  </w:style>
  <w:style w:type="character" w:styleId="CommentReference">
    <w:name w:val="annotation reference"/>
    <w:basedOn w:val="DefaultParagraphFont"/>
    <w:uiPriority w:val="99"/>
    <w:semiHidden/>
    <w:unhideWhenUsed/>
    <w:rsid w:val="00784EAB"/>
    <w:rPr>
      <w:sz w:val="16"/>
      <w:szCs w:val="16"/>
    </w:rPr>
  </w:style>
  <w:style w:type="paragraph" w:styleId="CommentText">
    <w:name w:val="annotation text"/>
    <w:basedOn w:val="Normal"/>
    <w:link w:val="CommentTextChar"/>
    <w:uiPriority w:val="99"/>
    <w:semiHidden/>
    <w:unhideWhenUsed/>
    <w:rsid w:val="00784EAB"/>
    <w:rPr>
      <w:sz w:val="20"/>
      <w:szCs w:val="20"/>
    </w:rPr>
  </w:style>
  <w:style w:type="character" w:customStyle="1" w:styleId="CommentTextChar">
    <w:name w:val="Comment Text Char"/>
    <w:basedOn w:val="DefaultParagraphFont"/>
    <w:link w:val="CommentText"/>
    <w:uiPriority w:val="99"/>
    <w:semiHidden/>
    <w:rsid w:val="00784EAB"/>
    <w:rPr>
      <w:sz w:val="20"/>
      <w:szCs w:val="20"/>
    </w:rPr>
  </w:style>
  <w:style w:type="paragraph" w:styleId="CommentSubject">
    <w:name w:val="annotation subject"/>
    <w:basedOn w:val="CommentText"/>
    <w:next w:val="CommentText"/>
    <w:link w:val="CommentSubjectChar"/>
    <w:uiPriority w:val="99"/>
    <w:semiHidden/>
    <w:unhideWhenUsed/>
    <w:rsid w:val="00784EAB"/>
    <w:rPr>
      <w:b/>
      <w:bCs/>
    </w:rPr>
  </w:style>
  <w:style w:type="character" w:customStyle="1" w:styleId="CommentSubjectChar">
    <w:name w:val="Comment Subject Char"/>
    <w:basedOn w:val="CommentTextChar"/>
    <w:link w:val="CommentSubject"/>
    <w:uiPriority w:val="99"/>
    <w:semiHidden/>
    <w:rsid w:val="00784EAB"/>
    <w:rPr>
      <w:b/>
      <w:bCs/>
      <w:sz w:val="20"/>
      <w:szCs w:val="20"/>
    </w:rPr>
  </w:style>
  <w:style w:type="table" w:styleId="TableGrid">
    <w:name w:val="Table Grid"/>
    <w:basedOn w:val="TableNormal"/>
    <w:uiPriority w:val="39"/>
    <w:rsid w:val="00807FA2"/>
    <w:rPr>
      <w:rFonts w:eastAsiaTheme="minorHAnsi"/>
      <w:sz w:val="22"/>
      <w:szCs w:val="22"/>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5240545">
      <w:bodyDiv w:val="1"/>
      <w:marLeft w:val="0"/>
      <w:marRight w:val="0"/>
      <w:marTop w:val="0"/>
      <w:marBottom w:val="0"/>
      <w:divBdr>
        <w:top w:val="none" w:sz="0" w:space="0" w:color="auto"/>
        <w:left w:val="none" w:sz="0" w:space="0" w:color="auto"/>
        <w:bottom w:val="none" w:sz="0" w:space="0" w:color="auto"/>
        <w:right w:val="none" w:sz="0" w:space="0" w:color="auto"/>
      </w:divBdr>
    </w:div>
    <w:div w:id="9067227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1533</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MCARCUEVA</cp:lastModifiedBy>
  <cp:revision>6</cp:revision>
  <dcterms:created xsi:type="dcterms:W3CDTF">2020-09-27T15:43:00Z</dcterms:created>
  <dcterms:modified xsi:type="dcterms:W3CDTF">2021-03-02T15:58:00Z</dcterms:modified>
</cp:coreProperties>
</file>