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pPr>
      <w:r>
        <w:rPr>
          <w:b/>
          <w:lang w:val="en-GB"/>
        </w:rPr>
        <w:t>ABSTRACT</w:t>
      </w:r>
    </w:p>
    <w:p>
      <w:pPr>
        <w:pStyle w:val="Normal"/>
        <w:jc w:val="both"/>
        <w:rPr/>
      </w:pPr>
      <w:r>
        <w:rPr/>
      </w:r>
    </w:p>
    <w:tbl>
      <w:tblPr>
        <w:tblW w:w="8893" w:type="dxa"/>
        <w:jc w:val="left"/>
        <w:tblInd w:w="10" w:type="dxa"/>
        <w:tblCellMar>
          <w:top w:w="0" w:type="dxa"/>
          <w:left w:w="10" w:type="dxa"/>
          <w:bottom w:w="0" w:type="dxa"/>
          <w:right w:w="10" w:type="dxa"/>
        </w:tblCellMar>
        <w:tblLook w:val="0000" w:noHBand="0" w:noVBand="0" w:firstColumn="0" w:lastRow="0" w:lastColumn="0" w:firstRow="0"/>
      </w:tblPr>
      <w:tblGrid>
        <w:gridCol w:w="8893"/>
      </w:tblGrid>
      <w:tr>
        <w:trPr/>
        <w:tc>
          <w:tcPr>
            <w:tcW w:w="8893" w:type="dxa"/>
            <w:tcBorders>
              <w:top w:val="dashed" w:sz="6" w:space="0" w:color="000000"/>
              <w:left w:val="dashed" w:sz="6" w:space="0" w:color="000000"/>
              <w:bottom w:val="dashed" w:sz="6" w:space="0" w:color="000000"/>
              <w:right w:val="dashed" w:sz="6" w:space="0" w:color="000000"/>
            </w:tcBorders>
          </w:tcPr>
          <w:p>
            <w:pPr>
              <w:pStyle w:val="Normal"/>
              <w:rPr>
                <w:lang w:val="en-US"/>
              </w:rPr>
            </w:pPr>
            <w:r>
              <w:rPr>
                <w:lang w:val="en-GB"/>
              </w:rPr>
              <w:t>Osteogenesis Imperfecta (OI) is an inherited form of bone fragility</w:t>
            </w:r>
            <w:del w:id="0" w:author="Schenk, Denis Elia (ARTORG)" w:date="2021-05-21T09:35:00Z">
              <w:r>
                <w:rPr>
                  <w:lang w:val="en-GB"/>
                </w:rPr>
                <w:delText>. This disease</w:delText>
              </w:r>
            </w:del>
            <w:r>
              <w:rPr>
                <w:lang w:val="en-GB"/>
              </w:rPr>
              <w:t xml:space="preserve">, also </w:t>
            </w:r>
            <w:ins w:id="1" w:author="Schenk, Denis Elia (ARTORG)" w:date="2021-05-21T09:36:00Z">
              <w:r>
                <w:rPr>
                  <w:lang w:val="en-GB"/>
                </w:rPr>
                <w:t xml:space="preserve">sometimes </w:t>
              </w:r>
            </w:ins>
            <w:r>
              <w:rPr>
                <w:lang w:val="en-GB"/>
              </w:rPr>
              <w:t>called "brittle bone disease"</w:t>
            </w:r>
            <w:ins w:id="2" w:author="Schenk, Denis Elia (ARTORG)" w:date="2021-05-21T09:36:00Z">
              <w:r>
                <w:rPr>
                  <w:lang w:val="en-GB"/>
                </w:rPr>
                <w:t>. It</w:t>
              </w:r>
            </w:ins>
            <w:del w:id="3" w:author="Schenk, Denis Elia (ARTORG)" w:date="2021-05-21T09:36:00Z">
              <w:r>
                <w:rPr>
                  <w:lang w:val="en-GB"/>
                </w:rPr>
                <w:delText>,</w:delText>
              </w:r>
            </w:del>
            <w:r>
              <w:rPr>
                <w:lang w:val="en-GB"/>
              </w:rPr>
              <w:t xml:space="preserve"> is characterised by impaired synthesis of type I collagen, altered trabecular bone architecture and reduced bone mass</w:t>
            </w:r>
            <w:del w:id="4" w:author="Schenk, Denis Elia (ARTORG)" w:date="2021-05-21T09:36:00Z">
              <w:r>
                <w:rPr>
                  <w:lang w:val="en-GB"/>
                </w:rPr>
                <w:delText xml:space="preserve"> that lead to fragile bones</w:delText>
              </w:r>
            </w:del>
            <w:r>
              <w:rPr>
                <w:lang w:val="en-GB"/>
              </w:rPr>
              <w:t>. High resolution peripheral computed tomography (HR-pQCT) is a powerful method to investigate bone morphology</w:t>
            </w:r>
            <w:ins w:id="5" w:author="Schenk, Denis Elia (ARTORG)" w:date="2021-05-21T09:38:00Z">
              <w:r>
                <w:rPr>
                  <w:lang w:val="en-GB"/>
                </w:rPr>
                <w:t xml:space="preserve"> of extremities, including</w:t>
              </w:r>
            </w:ins>
            <w:r>
              <w:rPr>
                <w:lang w:val="en-GB"/>
              </w:rPr>
              <w:t xml:space="preserve"> </w:t>
            </w:r>
            <w:del w:id="6" w:author="Schenk, Denis Elia (ARTORG)" w:date="2021-05-21T09:38:00Z">
              <w:r>
                <w:rPr>
                  <w:lang w:val="en-GB"/>
                </w:rPr>
                <w:delText xml:space="preserve">in </w:delText>
              </w:r>
            </w:del>
            <w:r>
              <w:rPr>
                <w:lang w:val="en-GB"/>
              </w:rPr>
              <w:t>the weight-bearing distal tibia</w:t>
            </w:r>
            <w:ins w:id="7" w:author="Schenk, Denis Elia (ARTORG)" w:date="2021-05-21T09:37:00Z">
              <w:r>
                <w:rPr>
                  <w:lang w:val="en-GB"/>
                </w:rPr>
                <w:t xml:space="preserve">. </w:t>
              </w:r>
            </w:ins>
            <w:del w:id="8" w:author="Schenk, Denis Elia (ARTORG)" w:date="2021-05-21T09:37:00Z">
              <w:r>
                <w:rPr>
                  <w:lang w:val="en-GB"/>
                </w:rPr>
                <w:delText xml:space="preserve"> and the</w:delText>
              </w:r>
            </w:del>
            <w:ins w:id="9" w:author="Schenk, Denis Elia (ARTORG)" w:date="2021-05-21T09:38:00Z">
              <w:r>
                <w:rPr>
                  <w:lang w:val="en-GB"/>
                </w:rPr>
                <w:t>The resulting</w:t>
              </w:r>
            </w:ins>
            <w:r>
              <w:rPr>
                <w:lang w:val="en-GB"/>
              </w:rPr>
              <w:t xml:space="preserve"> 3D reconstructions can be </w:t>
            </w:r>
            <w:del w:id="10" w:author="Schenk, Denis Elia (ARTORG)" w:date="2021-05-21T09:38:00Z">
              <w:r>
                <w:rPr>
                  <w:lang w:val="en-GB"/>
                </w:rPr>
                <w:delText xml:space="preserve">exploited </w:delText>
              </w:r>
            </w:del>
            <w:ins w:id="11" w:author="Schenk, Denis Elia (ARTORG)" w:date="2021-05-21T09:38:00Z">
              <w:r>
                <w:rPr>
                  <w:lang w:val="en-GB"/>
                </w:rPr>
                <w:t xml:space="preserve">used as basis of </w:t>
              </w:r>
            </w:ins>
            <w:del w:id="12" w:author="Schenk, Denis Elia (ARTORG)" w:date="2021-05-21T09:39:00Z">
              <w:r>
                <w:rPr>
                  <w:lang w:val="en-GB"/>
                </w:rPr>
                <w:delText xml:space="preserve">in either </w:delText>
              </w:r>
            </w:del>
            <w:r>
              <w:rPr>
                <w:lang w:val="en-GB"/>
              </w:rPr>
              <w:t>micro-finite element (</w:t>
            </w:r>
            <w:r>
              <w:rPr>
                <w:rFonts w:cs="Latin Modern Math" w:ascii="Latin Modern Math" w:hAnsi="Latin Modern Math"/>
                <w:lang w:val="en-GB"/>
              </w:rPr>
              <w:t>μ</w:t>
            </w:r>
            <w:r>
              <w:rPr>
                <w:lang w:val="en-GB"/>
              </w:rPr>
              <w:t xml:space="preserve">FE) or homogenised finite element (hFE) </w:t>
            </w:r>
            <w:del w:id="13" w:author="Schenk, Denis Elia (ARTORG)" w:date="2021-05-21T09:39:00Z">
              <w:r>
                <w:rPr>
                  <w:lang w:val="en-GB"/>
                </w:rPr>
                <w:delText xml:space="preserve">analysis </w:delText>
              </w:r>
            </w:del>
            <w:ins w:id="14" w:author="Schenk, Denis Elia (ARTORG)" w:date="2021-05-21T09:39:00Z">
              <w:r>
                <w:rPr>
                  <w:lang w:val="en-GB"/>
                </w:rPr>
                <w:t xml:space="preserve">models </w:t>
              </w:r>
            </w:ins>
            <w:r>
              <w:rPr>
                <w:lang w:val="en-GB"/>
              </w:rPr>
              <w:t xml:space="preserve">for bone strength estimation. The hFE scheme uses </w:t>
            </w:r>
            <w:ins w:id="15" w:author="Schenk, Denis Elia (ARTORG)" w:date="2021-05-21T09:39:00Z">
              <w:r>
                <w:rPr>
                  <w:lang w:val="en-GB"/>
                </w:rPr>
                <w:t xml:space="preserve">homogenized </w:t>
              </w:r>
            </w:ins>
            <w:r>
              <w:rPr>
                <w:lang w:val="en-GB"/>
              </w:rPr>
              <w:t>local bone volume fraction (BV/TV) and anisotropy information (fabric) to compute healthy bone strength within a reasonable computation time using fabric-elasticity relationships. Thus, the aim of this study is to investigate fabric-elasticity relationships in OI trabecular bone compared to healthy controls.</w:t>
            </w:r>
          </w:p>
          <w:p>
            <w:pPr>
              <w:pStyle w:val="Normal"/>
              <w:rPr>
                <w:lang w:val="en-US"/>
              </w:rPr>
            </w:pPr>
            <w:r>
              <w:rPr>
                <w:lang w:val="en-GB"/>
              </w:rPr>
              <w:tab/>
              <w:t>In this study, the morphology of distal tibias of 50 OI diagnosed people were compared to 120 healthy controls using second</w:t>
            </w:r>
            <w:ins w:id="16" w:author="Schenk, Denis Elia (ARTORG)" w:date="2021-05-21T09:40:00Z">
              <w:r>
                <w:rPr>
                  <w:lang w:val="en-GB"/>
                </w:rPr>
                <w:t>-</w:t>
              </w:r>
            </w:ins>
            <w:del w:id="17" w:author="Schenk, Denis Elia (ARTORG)" w:date="2021-05-21T09:40:00Z">
              <w:r>
                <w:rPr>
                  <w:lang w:val="en-GB"/>
                </w:rPr>
                <w:delText xml:space="preserve"> </w:delText>
              </w:r>
            </w:del>
            <w:r>
              <w:rPr>
                <w:lang w:val="en-GB"/>
              </w:rPr>
              <w:t xml:space="preserve">generation HR-pQCT. </w:t>
            </w:r>
            <w:commentRangeStart w:id="0"/>
            <w:r>
              <w:rPr>
                <w:lang w:val="en-GB"/>
              </w:rPr>
              <w:t>Six regions of interest (ROIs)</w:t>
            </w:r>
            <w:r>
              <w:rPr>
                <w:lang w:val="en-GB"/>
              </w:rPr>
            </w:r>
            <w:commentRangeEnd w:id="0"/>
            <w:r>
              <w:commentReference w:id="0"/>
            </w:r>
            <w:r>
              <w:rPr>
                <w:lang w:val="en-GB"/>
              </w:rPr>
              <w:t xml:space="preserve"> were selected per individual in a common anatomical region. </w:t>
            </w:r>
            <w:commentRangeStart w:id="1"/>
            <w:r>
              <w:rPr>
                <w:lang w:val="en-GB"/>
              </w:rPr>
              <w:t>A first age &amp; gender matching</w:t>
            </w:r>
            <w:r>
              <w:rPr>
                <w:lang w:val="en-GB"/>
              </w:rPr>
            </w:r>
            <w:commentRangeEnd w:id="1"/>
            <w:r>
              <w:commentReference w:id="1"/>
            </w:r>
            <w:r>
              <w:rPr>
                <w:lang w:val="en-GB"/>
              </w:rPr>
              <w:t xml:space="preserve"> allowed to perform a morphometric analysis and compare the outcome with literature. Then, stiffness tensors of ROIs were computed by </w:t>
            </w:r>
            <w:commentRangeStart w:id="2"/>
            <w:r>
              <w:rPr>
                <w:lang w:val="en-GB"/>
              </w:rPr>
              <w:t xml:space="preserve">FEA </w:t>
            </w:r>
            <w:r>
              <w:rPr>
                <w:lang w:val="en-GB"/>
              </w:rPr>
            </w:r>
            <w:commentRangeEnd w:id="2"/>
            <w:r>
              <w:commentReference w:id="2"/>
            </w:r>
            <w:r>
              <w:rPr>
                <w:lang w:val="en-GB"/>
              </w:rPr>
              <w:t xml:space="preserve">and </w:t>
            </w:r>
            <w:commentRangeStart w:id="3"/>
            <w:r>
              <w:rPr>
                <w:lang w:val="en-GB"/>
              </w:rPr>
              <w:t>multiple linear regressions were performed on the Zysset-Curnier orthotropic model to compare the two groups using 5 parameters</w:t>
            </w:r>
            <w:r>
              <w:rPr>
                <w:lang w:val="en-GB"/>
              </w:rPr>
            </w:r>
            <w:commentRangeEnd w:id="3"/>
            <w:r>
              <w:commentReference w:id="3"/>
            </w:r>
            <w:r>
              <w:rPr>
                <w:lang w:val="en-GB"/>
              </w:rPr>
              <w:t>.</w:t>
            </w:r>
            <w:commentRangeStart w:id="4"/>
            <w:r>
              <w:rPr>
                <w:lang w:val="en-GB"/>
              </w:rPr>
              <w:t xml:space="preserve"> After initial fits with all the samples of </w:t>
            </w:r>
            <w:commentRangeStart w:id="5"/>
            <w:r>
              <w:rPr>
                <w:lang w:val="en-GB"/>
              </w:rPr>
              <w:t xml:space="preserve">each </w:t>
            </w:r>
            <w:r>
              <w:rPr>
                <w:lang w:val="en-GB"/>
              </w:rPr>
            </w:r>
            <w:commentRangeEnd w:id="5"/>
            <w:r>
              <w:commentReference w:id="5"/>
            </w:r>
            <w:r>
              <w:rPr>
                <w:lang w:val="en-GB"/>
              </w:rPr>
              <w:t xml:space="preserve">group, the data were filtered according to a fixed threshold for a defined coefficient of variation (CV) assessing the ROI heterogeneity. Second fits were performed on these filtered data sets and then additional fits were done on BV/TV &amp; fabric anisotropy (DA) matched data to detect statistical differences between the two groups. This full and filtered data were in turn compared with previous results from </w:t>
            </w:r>
            <w:r>
              <w:rPr>
                <w:rFonts w:cs="Latin Modern Math" w:ascii="Latin Modern Math" w:hAnsi="Latin Modern Math"/>
                <w:lang w:val="en-GB"/>
              </w:rPr>
              <w:t>μ</w:t>
            </w:r>
            <w:r>
              <w:rPr>
                <w:lang w:val="en-GB"/>
              </w:rPr>
              <w:t>CT reconstructions obtained in other anatomical locations.</w:t>
            </w:r>
            <w:commentRangeEnd w:id="4"/>
            <w:r>
              <w:commentReference w:id="4"/>
            </w:r>
            <w:r>
              <w:rPr>
                <w:lang w:val="en-GB"/>
              </w:rPr>
            </w:r>
          </w:p>
          <w:p>
            <w:pPr>
              <w:pStyle w:val="Normal"/>
              <w:rPr>
                <w:lang w:val="en-US"/>
              </w:rPr>
            </w:pPr>
            <w:r>
              <w:rPr>
                <w:lang w:val="en-GB"/>
              </w:rPr>
              <w:tab/>
            </w:r>
            <w:del w:id="18" w:author="Schenk, Denis Elia (ARTORG)" w:date="2021-05-21T09:49:00Z">
              <w:r>
                <w:rPr>
                  <w:lang w:val="en-GB"/>
                </w:rPr>
                <w:delText xml:space="preserve">In agreement with </w:delText>
              </w:r>
            </w:del>
            <w:del w:id="19" w:author="Schenk, Denis Elia (ARTORG)" w:date="2021-05-21T09:46:00Z">
              <w:r>
                <w:rPr>
                  <w:lang w:val="en-GB"/>
                </w:rPr>
                <w:delText xml:space="preserve">available </w:delText>
              </w:r>
            </w:del>
            <w:del w:id="20" w:author="Schenk, Denis Elia (ARTORG)" w:date="2021-05-21T09:49:00Z">
              <w:r>
                <w:rPr>
                  <w:lang w:val="en-GB"/>
                </w:rPr>
                <w:delText xml:space="preserve">literature, </w:delText>
              </w:r>
            </w:del>
            <w:ins w:id="21" w:author="Schenk, Denis Elia (ARTORG)" w:date="2021-05-21T09:47:00Z">
              <w:r>
                <w:rPr>
                  <w:lang w:val="en-GB"/>
                </w:rPr>
                <w:t xml:space="preserve">Compared to healthy controls, </w:t>
              </w:r>
            </w:ins>
            <w:ins w:id="22" w:author="Schenk, Denis Elia (ARTORG)" w:date="2021-05-21T09:46:00Z">
              <w:r>
                <w:rPr>
                  <w:lang w:val="en-GB"/>
                </w:rPr>
                <w:t xml:space="preserve">we found the OI samples to have </w:t>
              </w:r>
            </w:ins>
            <w:r>
              <w:rPr>
                <w:lang w:val="en-GB"/>
              </w:rPr>
              <w:t>significantly lower BV/TV</w:t>
            </w:r>
            <w:ins w:id="23" w:author="Schenk, Denis Elia (ARTORG)" w:date="2021-05-21T09:48:00Z">
              <w:r>
                <w:rPr>
                  <w:lang w:val="en-GB"/>
                </w:rPr>
                <w:t xml:space="preserve"> and</w:t>
              </w:r>
            </w:ins>
            <w:del w:id="24" w:author="Schenk, Denis Elia (ARTORG)" w:date="2021-05-21T09:48:00Z">
              <w:r>
                <w:rPr>
                  <w:lang w:val="en-GB"/>
                </w:rPr>
                <w:delText>,</w:delText>
              </w:r>
            </w:del>
            <w:r>
              <w:rPr>
                <w:lang w:val="en-GB"/>
              </w:rPr>
              <w:t xml:space="preserve"> trabecular number (Tb N), significantly higher trabecular spacing (Tb Sp)</w:t>
            </w:r>
            <w:ins w:id="25" w:author="Schenk, Denis Elia (ARTORG)" w:date="2021-05-21T09:48:00Z">
              <w:r>
                <w:rPr>
                  <w:lang w:val="en-GB"/>
                </w:rPr>
                <w:t xml:space="preserve"> and </w:t>
              </w:r>
            </w:ins>
            <w:del w:id="26" w:author="Schenk, Denis Elia (ARTORG)" w:date="2021-05-21T09:48:00Z">
              <w:r>
                <w:rPr>
                  <w:lang w:val="en-GB"/>
                </w:rPr>
                <w:delText xml:space="preserve">, </w:delText>
              </w:r>
            </w:del>
            <w:r>
              <w:rPr>
                <w:lang w:val="en-GB"/>
              </w:rPr>
              <w:t>trabecular spacing standard deviation (Tb Sp SD), but no differences in trabecular thickness (Tb Th)</w:t>
            </w:r>
            <w:del w:id="27" w:author="Schenk, Denis Elia (ARTORG)" w:date="2021-05-21T09:48:00Z">
              <w:r>
                <w:rPr>
                  <w:lang w:val="en-GB"/>
                </w:rPr>
                <w:delText xml:space="preserve"> were found between OI and controls</w:delText>
              </w:r>
            </w:del>
            <w:r>
              <w:rPr>
                <w:lang w:val="en-GB"/>
              </w:rPr>
              <w:t>.</w:t>
            </w:r>
            <w:ins w:id="28" w:author="Schenk, Denis Elia (ARTORG)" w:date="2021-05-21T09:49:00Z">
              <w:r>
                <w:rPr>
                  <w:lang w:val="en-GB"/>
                </w:rPr>
                <w:t xml:space="preserve"> This is in agreement to literature.</w:t>
              </w:r>
            </w:ins>
            <w:r>
              <w:rPr>
                <w:lang w:val="en-GB"/>
              </w:rPr>
              <w:t xml:space="preserve"> The stiffness of ROIs from OI bone reached </w:t>
            </w:r>
            <w:commentRangeStart w:id="6"/>
            <w:r>
              <w:rPr>
                <w:lang w:val="en-GB"/>
              </w:rPr>
              <w:t xml:space="preserve">lower values </w:t>
            </w:r>
            <w:r>
              <w:rPr>
                <w:lang w:val="en-GB"/>
              </w:rPr>
            </w:r>
            <w:commentRangeEnd w:id="6"/>
            <w:r>
              <w:commentReference w:id="6"/>
            </w:r>
            <w:r>
              <w:rPr>
                <w:lang w:val="en-GB"/>
              </w:rPr>
              <w:t xml:space="preserve">and the multilinear fabric-elasticity fits tended to overestimate the stiffness in the lower range. </w:t>
            </w:r>
            <w:del w:id="29" w:author="Schenk, Denis Elia (ARTORG)" w:date="2021-05-21T09:50:00Z">
              <w:r>
                <w:rPr>
                  <w:lang w:val="en-GB"/>
                </w:rPr>
                <w:delText>Filtering out</w:delText>
              </w:r>
            </w:del>
            <w:ins w:id="30" w:author="Schenk, Denis Elia (ARTORG)" w:date="2021-05-21T09:50:00Z">
              <w:r>
                <w:rPr>
                  <w:lang w:val="en-GB"/>
                </w:rPr>
                <w:t>Th filtering of</w:t>
              </w:r>
            </w:ins>
            <w:r>
              <w:rPr>
                <w:lang w:val="en-GB"/>
              </w:rPr>
              <w:t xml:space="preserve"> highly heterogeneous ROIs removed these low stiffness ROIs and lead to similar correlation coefficients for both OI and healthy groups. Finally, the BV/TV &amp; DA matched data revealed no significant differences in fabric-elasticity parameters </w:t>
            </w:r>
            <w:commentRangeStart w:id="7"/>
            <w:r>
              <w:rPr>
                <w:lang w:val="en-GB"/>
              </w:rPr>
              <w:t>between OI and healthy individuals</w:t>
            </w:r>
            <w:r>
              <w:rPr>
                <w:lang w:val="en-GB"/>
              </w:rPr>
            </w:r>
            <w:commentRangeEnd w:id="7"/>
            <w:r>
              <w:commentReference w:id="7"/>
            </w:r>
            <w:r>
              <w:rPr>
                <w:lang w:val="en-GB"/>
              </w:rPr>
              <w:t>. Compar</w:t>
            </w:r>
            <w:ins w:id="31" w:author="Schenk, Denis Elia (ARTORG)" w:date="2021-05-21T09:51:00Z">
              <w:r>
                <w:rPr>
                  <w:lang w:val="en-GB"/>
                </w:rPr>
                <w:t>ed</w:t>
              </w:r>
            </w:ins>
            <w:del w:id="32" w:author="Schenk, Denis Elia (ARTORG)" w:date="2021-05-21T09:51:00Z">
              <w:r>
                <w:rPr>
                  <w:lang w:val="en-GB"/>
                </w:rPr>
                <w:delText>ing</w:delText>
              </w:r>
            </w:del>
            <w:r>
              <w:rPr>
                <w:lang w:val="en-GB"/>
              </w:rPr>
              <w:t xml:space="preserve"> </w:t>
            </w:r>
            <w:del w:id="33" w:author="Schenk, Denis Elia (ARTORG)" w:date="2021-05-21T09:51:00Z">
              <w:r>
                <w:rPr>
                  <w:lang w:val="en-GB"/>
                </w:rPr>
                <w:delText xml:space="preserve">with </w:delText>
              </w:r>
            </w:del>
            <w:ins w:id="34" w:author="Schenk, Denis Elia (ARTORG)" w:date="2021-05-21T09:51:00Z">
              <w:r>
                <w:rPr>
                  <w:lang w:val="en-GB"/>
                </w:rPr>
                <w:t xml:space="preserve">to </w:t>
              </w:r>
            </w:ins>
            <w:r>
              <w:rPr>
                <w:lang w:val="en-GB"/>
              </w:rPr>
              <w:t xml:space="preserve">previous </w:t>
            </w:r>
            <w:commentRangeStart w:id="8"/>
            <w:r>
              <w:rPr>
                <w:lang w:val="en-GB"/>
              </w:rPr>
              <w:t>studies</w:t>
            </w:r>
            <w:r>
              <w:rPr>
                <w:lang w:val="en-GB"/>
              </w:rPr>
            </w:r>
            <w:commentRangeEnd w:id="8"/>
            <w:r>
              <w:commentReference w:id="8"/>
            </w:r>
            <w:r>
              <w:rPr>
                <w:lang w:val="en-GB"/>
              </w:rPr>
              <w:t xml:space="preserve">, the stiffness constants from </w:t>
            </w:r>
            <w:ins w:id="35" w:author="Schenk, Denis Elia (ARTORG)" w:date="2021-05-21T09:51:00Z">
              <w:r>
                <w:rPr>
                  <w:lang w:val="en-GB"/>
                </w:rPr>
                <w:t xml:space="preserve">the </w:t>
              </w:r>
            </w:ins>
            <w:r>
              <w:rPr>
                <w:lang w:val="en-GB"/>
              </w:rPr>
              <w:t xml:space="preserve">61 </w:t>
            </w:r>
            <w:r>
              <w:rPr>
                <w:rFonts w:cs="Latin Modern Math" w:ascii="Latin Modern Math" w:hAnsi="Latin Modern Math"/>
                <w:lang w:val="en-GB"/>
              </w:rPr>
              <w:t>μ</w:t>
            </w:r>
            <w:r>
              <w:rPr>
                <w:lang w:val="en-GB"/>
              </w:rPr>
              <w:t xml:space="preserve">m resolution HR-pQCT ROIs were lower than for </w:t>
            </w:r>
            <w:ins w:id="36" w:author="Schenk, Denis Elia (ARTORG)" w:date="2021-05-21T09:52:00Z">
              <w:r>
                <w:rPr>
                  <w:lang w:val="en-GB"/>
                </w:rPr>
                <w:t xml:space="preserve">the </w:t>
              </w:r>
            </w:ins>
            <w:r>
              <w:rPr>
                <w:lang w:val="en-GB"/>
              </w:rPr>
              <w:t xml:space="preserve">36 </w:t>
            </w:r>
            <w:r>
              <w:rPr>
                <w:rFonts w:cs="Latin Modern Math" w:ascii="Latin Modern Math" w:hAnsi="Latin Modern Math"/>
                <w:lang w:val="en-GB"/>
              </w:rPr>
              <w:t>μ</w:t>
            </w:r>
            <w:r>
              <w:rPr>
                <w:lang w:val="en-GB"/>
              </w:rPr>
              <w:t xml:space="preserve">m resolution </w:t>
            </w:r>
            <w:r>
              <w:rPr>
                <w:rFonts w:cs="Latin Modern Math" w:ascii="Latin Modern Math" w:hAnsi="Latin Modern Math"/>
                <w:lang w:val="en-GB"/>
              </w:rPr>
              <w:t>μ</w:t>
            </w:r>
            <w:r>
              <w:rPr>
                <w:lang w:val="en-GB"/>
              </w:rPr>
              <w:t xml:space="preserve">m </w:t>
            </w:r>
            <w:ins w:id="37" w:author="Schenk, Denis Elia (ARTORG)" w:date="2021-05-21T09:52:00Z">
              <w:r>
                <w:rPr>
                  <w:lang w:val="en-GB"/>
                </w:rPr>
                <w:t>u</w:t>
              </w:r>
            </w:ins>
            <w:r>
              <w:rPr>
                <w:lang w:val="en-GB"/>
              </w:rPr>
              <w:t xml:space="preserve">CT </w:t>
            </w:r>
            <w:del w:id="38" w:author="Schenk, Denis Elia (ARTORG)" w:date="2021-05-21T09:52:00Z">
              <w:r>
                <w:rPr>
                  <w:lang w:val="en-GB"/>
                </w:rPr>
                <w:delText>images</w:delText>
              </w:r>
            </w:del>
            <w:ins w:id="39" w:author="Schenk, Denis Elia (ARTORG)" w:date="2021-05-21T09:52:00Z">
              <w:r>
                <w:rPr>
                  <w:lang w:val="en-GB"/>
                </w:rPr>
                <w:t>ROIs</w:t>
              </w:r>
            </w:ins>
            <w:r>
              <w:rPr>
                <w:lang w:val="en-GB"/>
              </w:rPr>
              <w:t>.</w:t>
            </w:r>
          </w:p>
          <w:p>
            <w:pPr>
              <w:pStyle w:val="Normal"/>
              <w:rPr>
                <w:lang w:val="en-US"/>
              </w:rPr>
            </w:pPr>
            <w:r>
              <w:rPr>
                <w:lang w:val="en-GB"/>
              </w:rPr>
              <w:tab/>
              <w:t>In conclusion, despite the reduced regression parameters found for HR-pQCT images, the fabric-elasticity relationships between OI and healthy individuals are similar when the trabecular bone ROIs are sufficiently homogeneous to perform the mechanical analysis. Since highly heterogenous ROIs coincide with very low BV/TV, we expect them to play a minor role in hFE analysis of distal bone sections or parts.</w:t>
            </w:r>
          </w:p>
        </w:tc>
      </w:tr>
    </w:tbl>
    <w:p>
      <w:pPr>
        <w:pStyle w:val="Normal"/>
        <w:rPr>
          <w:lang w:val="en-US"/>
        </w:rPr>
      </w:pPr>
      <w:r>
        <w:rPr>
          <w:lang w:val="en-US"/>
        </w:rPr>
      </w:r>
    </w:p>
    <w:p>
      <w:pPr>
        <w:pStyle w:val="Normal"/>
        <w:rPr>
          <w:lang w:val="en-US"/>
        </w:rPr>
      </w:pPr>
      <w:r>
        <w:rPr>
          <w:lang w:val="en-US"/>
        </w:rPr>
      </w:r>
    </w:p>
    <w:p>
      <w:pPr>
        <w:pStyle w:val="Normal"/>
        <w:jc w:val="both"/>
        <w:rPr>
          <w:lang w:val="en-US"/>
        </w:rPr>
      </w:pPr>
      <w:r>
        <w:rPr>
          <w:b/>
          <w:lang w:val="en-GB"/>
        </w:rPr>
        <w:t>1. Introduction</w:t>
      </w:r>
    </w:p>
    <w:p>
      <w:pPr>
        <w:pStyle w:val="Normal"/>
        <w:jc w:val="both"/>
        <w:rPr>
          <w:lang w:val="en-US"/>
        </w:rPr>
      </w:pPr>
      <w:r>
        <w:rPr>
          <w:lang w:val="en-US"/>
        </w:rPr>
      </w:r>
    </w:p>
    <w:p>
      <w:pPr>
        <w:pStyle w:val="Normal"/>
        <w:rPr>
          <w:lang w:val="en-US"/>
        </w:rPr>
      </w:pPr>
      <w:r>
        <w:rPr>
          <w:lang w:val="en-GB"/>
        </w:rPr>
        <w:t>Osteogenesis imperfecta (OI) is an inherited form of bone fragility [Tournis 2018]. It was estimated to concern about 1/13'500</w:t>
      </w:r>
      <w:ins w:id="40" w:author="Schenk, Denis Elia (ARTORG)" w:date="2021-05-21T09:53:00Z">
        <w:r>
          <w:rPr>
            <w:lang w:val="en-GB"/>
          </w:rPr>
          <w:t xml:space="preserve"> of</w:t>
        </w:r>
      </w:ins>
      <w:r>
        <w:rPr>
          <w:lang w:val="en-GB"/>
        </w:rPr>
        <w:t xml:space="preserve"> births, less severe forms being not accounted in this estimation</w:t>
      </w:r>
      <w:ins w:id="41" w:author="Schenk, Denis Elia (ARTORG)" w:date="2021-05-21T09:53:00Z">
        <w:r>
          <w:rPr>
            <w:lang w:val="en-GB"/>
          </w:rPr>
          <w:t>,</w:t>
        </w:r>
      </w:ins>
      <w:r>
        <w:rPr>
          <w:lang w:val="en-GB"/>
        </w:rPr>
        <w:t xml:space="preserve"> as they are recognized later in life [Lindahl 2015]. Therefore, OI is considered as a rare metabolic bone disorder. Sillence classification [Sillence 1979] allows to define four main types of OI based on the clinical phenotype:</w:t>
      </w:r>
    </w:p>
    <w:p>
      <w:pPr>
        <w:pStyle w:val="ListParagraph"/>
        <w:numPr>
          <w:ilvl w:val="0"/>
          <w:numId w:val="2"/>
        </w:numPr>
        <w:rPr/>
      </w:pPr>
      <w:r>
        <w:rPr>
          <w:lang w:val="en-GB"/>
        </w:rPr>
        <w:t>Type I: less severe</w:t>
      </w:r>
    </w:p>
    <w:p>
      <w:pPr>
        <w:pStyle w:val="ListParagraph"/>
        <w:numPr>
          <w:ilvl w:val="0"/>
          <w:numId w:val="2"/>
        </w:numPr>
        <w:rPr>
          <w:lang w:val="en-US"/>
        </w:rPr>
      </w:pPr>
      <w:r>
        <w:rPr>
          <w:lang w:val="en-GB"/>
        </w:rPr>
        <w:t>Type II: lethal at most shortly after birth</w:t>
      </w:r>
    </w:p>
    <w:p>
      <w:pPr>
        <w:pStyle w:val="ListParagraph"/>
        <w:numPr>
          <w:ilvl w:val="0"/>
          <w:numId w:val="2"/>
        </w:numPr>
        <w:rPr>
          <w:lang w:val="en-US"/>
        </w:rPr>
      </w:pPr>
      <w:r>
        <w:rPr>
          <w:lang w:val="en-GB"/>
        </w:rPr>
        <w:t>Type III: most severe surviving form</w:t>
      </w:r>
    </w:p>
    <w:p>
      <w:pPr>
        <w:pStyle w:val="ListParagraph"/>
        <w:numPr>
          <w:ilvl w:val="0"/>
          <w:numId w:val="2"/>
        </w:numPr>
        <w:rPr/>
      </w:pPr>
      <w:r>
        <w:rPr>
          <w:lang w:val="en-GB"/>
        </w:rPr>
        <w:t>Type IV: intermediate severity</w:t>
      </w:r>
    </w:p>
    <w:p>
      <w:pPr>
        <w:pStyle w:val="Normal"/>
        <w:rPr>
          <w:lang w:val="en-US"/>
        </w:rPr>
      </w:pPr>
      <w:r>
        <w:rPr>
          <w:lang w:val="en-GB"/>
        </w:rPr>
        <w:t xml:space="preserve">Also </w:t>
      </w:r>
      <w:ins w:id="42" w:author="Schenk, Denis Elia (ARTORG)" w:date="2021-05-21T09:53:00Z">
        <w:r>
          <w:rPr>
            <w:lang w:val="en-GB"/>
          </w:rPr>
          <w:t xml:space="preserve">commonly </w:t>
        </w:r>
      </w:ins>
      <w:r>
        <w:rPr>
          <w:lang w:val="en-GB"/>
        </w:rPr>
        <w:t>known as "brittle bone disease", OI is characterized by impaired synthesis of type I collagen, leading to such brittle and fragile bones [LIM 2017].</w:t>
      </w:r>
    </w:p>
    <w:p>
      <w:pPr>
        <w:pStyle w:val="Normal"/>
        <w:rPr>
          <w:lang w:val="en-US"/>
        </w:rPr>
      </w:pPr>
      <w:r>
        <w:rPr>
          <w:lang w:val="en-US"/>
        </w:rPr>
      </w:r>
    </w:p>
    <w:p>
      <w:pPr>
        <w:pStyle w:val="Normal"/>
        <w:rPr>
          <w:lang w:val="en-US"/>
        </w:rPr>
      </w:pPr>
      <w:r>
        <w:rPr>
          <w:lang w:val="en-GB"/>
        </w:rPr>
        <w:t>Bone fragility in OI is complex and not totally understood</w:t>
      </w:r>
      <w:ins w:id="43" w:author="Schenk, Denis Elia (ARTORG)" w:date="2021-05-21T09:54:00Z">
        <w:r>
          <w:rPr>
            <w:lang w:val="en-GB"/>
          </w:rPr>
          <w:t>,</w:t>
        </w:r>
      </w:ins>
      <w:r>
        <w:rPr>
          <w:lang w:val="en-GB"/>
        </w:rPr>
        <w:t xml:space="preserve"> despite the investigations at different hierarchical levels. Multiple studies show that DXA areal </w:t>
      </w:r>
      <w:ins w:id="44" w:author="Schenk, Denis Elia (ARTORG)" w:date="2021-05-21T09:58:00Z">
        <w:r>
          <w:rPr>
            <w:lang w:val="en-GB"/>
          </w:rPr>
          <w:t>bone mineral density</w:t>
        </w:r>
      </w:ins>
      <w:del w:id="45" w:author="Schenk, Denis Elia (ARTORG)" w:date="2021-05-21T09:58:00Z">
        <w:r>
          <w:rPr>
            <w:lang w:val="en-GB"/>
          </w:rPr>
          <w:delText>BMD</w:delText>
        </w:r>
      </w:del>
      <w:r>
        <w:rPr>
          <w:lang w:val="en-GB"/>
        </w:rPr>
        <w:t xml:space="preserve"> (aBMD) tends to be lower in OI </w:t>
      </w:r>
      <w:del w:id="46" w:author="Schenk, Denis Elia (ARTORG)" w:date="2021-05-21T09:54:00Z">
        <w:r>
          <w:rPr>
            <w:lang w:val="en-GB"/>
          </w:rPr>
          <w:delText xml:space="preserve">than </w:delText>
        </w:r>
      </w:del>
      <w:r>
        <w:rPr>
          <w:lang w:val="en-GB"/>
        </w:rPr>
        <w:t xml:space="preserve">compared to healthy individuals [Folkestad 2012, Lindahl 2015, Scheres2018]. </w:t>
      </w:r>
      <w:commentRangeStart w:id="9"/>
      <w:r>
        <w:rPr>
          <w:lang w:val="en-GB"/>
        </w:rPr>
        <w:t>The microstructure is different as well</w:t>
      </w:r>
      <w:r>
        <w:rPr>
          <w:lang w:val="en-GB"/>
        </w:rPr>
      </w:r>
      <w:commentRangeEnd w:id="9"/>
      <w:r>
        <w:commentReference w:id="9"/>
      </w:r>
      <w:r>
        <w:rPr>
          <w:lang w:val="en-GB"/>
        </w:rPr>
        <w:t xml:space="preserve">. [Folkestad 2012], [Kocijan 2015], and [Rolvien2018] </w:t>
      </w:r>
      <w:ins w:id="47" w:author="Schenk, Denis Elia (ARTORG)" w:date="2021-05-21T09:55:00Z">
        <w:r>
          <w:rPr>
            <w:lang w:val="en-GB"/>
          </w:rPr>
          <w:t xml:space="preserve">have </w:t>
        </w:r>
      </w:ins>
      <w:r>
        <w:rPr>
          <w:lang w:val="en-GB"/>
        </w:rPr>
        <w:t xml:space="preserve">shown that </w:t>
      </w:r>
      <w:ins w:id="48" w:author="Schenk, Denis Elia (ARTORG)" w:date="2021-05-21T09:56:00Z">
        <w:r>
          <w:rPr>
            <w:lang w:val="en-GB"/>
          </w:rPr>
          <w:t>bone volume fraction (</w:t>
        </w:r>
      </w:ins>
      <w:r>
        <w:rPr>
          <w:lang w:val="en-GB"/>
        </w:rPr>
        <w:t>BV/TV</w:t>
      </w:r>
      <w:ins w:id="49" w:author="Schenk, Denis Elia (ARTORG)" w:date="2021-05-21T09:56:00Z">
        <w:r>
          <w:rPr>
            <w:lang w:val="en-GB"/>
          </w:rPr>
          <w:t>)</w:t>
        </w:r>
      </w:ins>
      <w:r>
        <w:rPr>
          <w:lang w:val="en-GB"/>
        </w:rPr>
        <w:t xml:space="preserve"> and trabecular number</w:t>
      </w:r>
      <w:ins w:id="50" w:author="Schenk, Denis Elia (ARTORG)" w:date="2021-05-21T09:56:00Z">
        <w:r>
          <w:rPr>
            <w:lang w:val="en-GB"/>
          </w:rPr>
          <w:t xml:space="preserve"> (Tb.N)</w:t>
        </w:r>
      </w:ins>
      <w:r>
        <w:rPr>
          <w:lang w:val="en-GB"/>
        </w:rPr>
        <w:t xml:space="preserve"> in OI</w:t>
      </w:r>
      <w:ins w:id="51" w:author="Schenk, Denis Elia (ARTORG)" w:date="2021-05-21T09:56:00Z">
        <w:r>
          <w:rPr>
            <w:lang w:val="en-GB"/>
          </w:rPr>
          <w:t xml:space="preserve"> bone</w:t>
        </w:r>
      </w:ins>
      <w:r>
        <w:rPr>
          <w:lang w:val="en-GB"/>
        </w:rPr>
        <w:t xml:space="preserve"> is lower than for healthy controls. Trabecular spacing</w:t>
      </w:r>
      <w:ins w:id="52" w:author="Schenk, Denis Elia (ARTORG)" w:date="2021-05-21T09:56:00Z">
        <w:r>
          <w:rPr>
            <w:lang w:val="en-GB"/>
          </w:rPr>
          <w:t xml:space="preserve"> (Tb.Sp)</w:t>
        </w:r>
      </w:ins>
      <w:r>
        <w:rPr>
          <w:lang w:val="en-GB"/>
        </w:rPr>
        <w:t xml:space="preserve"> and inhomogeneity </w:t>
      </w:r>
      <w:ins w:id="53" w:author="Schenk, Denis Elia (ARTORG)" w:date="2021-05-21T09:57:00Z">
        <w:commentRangeStart w:id="10"/>
        <w:r>
          <w:rPr>
            <w:lang w:val="en-GB"/>
          </w:rPr>
          <w:t>()</w:t>
        </w:r>
      </w:ins>
      <w:r>
        <w:rPr>
          <w:lang w:val="en-GB"/>
        </w:rPr>
      </w:r>
      <w:ins w:id="54" w:author="Schenk, Denis Elia (ARTORG)" w:date="2021-05-21T09:57:00Z">
        <w:commentRangeEnd w:id="10"/>
        <w:r>
          <w:commentReference w:id="10"/>
        </w:r>
        <w:r>
          <w:rPr>
            <w:lang w:val="en-GB"/>
          </w:rPr>
          <w:t xml:space="preserve"> </w:t>
        </w:r>
      </w:ins>
      <w:r>
        <w:rPr>
          <w:lang w:val="en-GB"/>
        </w:rPr>
        <w:t xml:space="preserve">are higher for OI </w:t>
      </w:r>
      <w:del w:id="55" w:author="Schenk, Denis Elia (ARTORG)" w:date="2021-05-21T09:57:00Z">
        <w:r>
          <w:rPr>
            <w:lang w:val="en-GB"/>
          </w:rPr>
          <w:delText>diagnosed people</w:delText>
        </w:r>
      </w:del>
      <w:ins w:id="56" w:author="Schenk, Denis Elia (ARTORG)" w:date="2021-05-21T09:57:00Z">
        <w:r>
          <w:rPr>
            <w:lang w:val="en-GB"/>
          </w:rPr>
          <w:t>bone,</w:t>
        </w:r>
      </w:ins>
      <w:r>
        <w:rPr>
          <w:lang w:val="en-GB"/>
        </w:rPr>
        <w:t xml:space="preserve"> but the trabecular thickness</w:t>
      </w:r>
      <w:ins w:id="57" w:author="Schenk, Denis Elia (ARTORG)" w:date="2021-05-21T09:57:00Z">
        <w:r>
          <w:rPr>
            <w:lang w:val="en-GB"/>
          </w:rPr>
          <w:t xml:space="preserve"> (Tb.Th.)</w:t>
        </w:r>
      </w:ins>
      <w:r>
        <w:rPr>
          <w:lang w:val="en-GB"/>
        </w:rPr>
        <w:t xml:space="preserve"> is not significantly different. At the ECM level, a recent study shown that </w:t>
      </w:r>
      <w:ins w:id="58" w:author="Schenk, Denis Elia (ARTORG)" w:date="2021-05-21T09:58:00Z">
        <w:r>
          <w:rPr>
            <w:lang w:val="en-GB"/>
          </w:rPr>
          <w:t xml:space="preserve">in compression, </w:t>
        </w:r>
      </w:ins>
      <w:r>
        <w:rPr>
          <w:lang w:val="en-GB"/>
        </w:rPr>
        <w:t>OI bone ten</w:t>
      </w:r>
      <w:ins w:id="59" w:author="Schenk, Denis Elia (ARTORG)" w:date="2021-05-21T09:57:00Z">
        <w:r>
          <w:rPr>
            <w:lang w:val="en-GB"/>
          </w:rPr>
          <w:t>d</w:t>
        </w:r>
      </w:ins>
      <w:del w:id="60" w:author="Schenk, Denis Elia (ARTORG)" w:date="2021-05-21T09:57:00Z">
        <w:r>
          <w:rPr>
            <w:lang w:val="en-GB"/>
          </w:rPr>
          <w:delText>d</w:delText>
        </w:r>
      </w:del>
      <w:r>
        <w:rPr>
          <w:lang w:val="en-GB"/>
        </w:rPr>
        <w:t>s to present higher modulus, ultimate stress and post-yield behavio</w:t>
      </w:r>
      <w:ins w:id="61" w:author="Schenk, Denis Elia (ARTORG)" w:date="2021-05-21T09:57:00Z">
        <w:r>
          <w:rPr>
            <w:lang w:val="en-GB"/>
          </w:rPr>
          <w:t>u</w:t>
        </w:r>
      </w:ins>
      <w:r>
        <w:rPr>
          <w:lang w:val="en-GB"/>
        </w:rPr>
        <w:t xml:space="preserve">r than healthy bone </w:t>
      </w:r>
      <w:del w:id="62" w:author="Schenk, Denis Elia (ARTORG)" w:date="2021-05-21T09:58:00Z">
        <w:r>
          <w:rPr>
            <w:lang w:val="en-GB"/>
          </w:rPr>
          <w:delText xml:space="preserve">in compression </w:delText>
        </w:r>
      </w:del>
      <w:r>
        <w:rPr>
          <w:lang w:val="en-GB"/>
        </w:rPr>
        <w:t>[Indermaur 2021].</w:t>
      </w:r>
    </w:p>
    <w:p>
      <w:pPr>
        <w:pStyle w:val="Normal"/>
        <w:rPr>
          <w:lang w:val="en-US"/>
        </w:rPr>
      </w:pPr>
      <w:r>
        <w:rPr>
          <w:lang w:val="en-US"/>
        </w:rPr>
      </w:r>
    </w:p>
    <w:p>
      <w:pPr>
        <w:pStyle w:val="Normal"/>
        <w:rPr>
          <w:lang w:val="en-US"/>
        </w:rPr>
      </w:pPr>
      <w:r>
        <w:rPr>
          <w:lang w:val="en-GB"/>
        </w:rPr>
        <w:t>High</w:t>
      </w:r>
      <w:ins w:id="63" w:author="Schenk, Denis Elia (ARTORG)" w:date="2021-05-21T09:58:00Z">
        <w:r>
          <w:rPr>
            <w:lang w:val="en-GB"/>
          </w:rPr>
          <w:t>-</w:t>
        </w:r>
      </w:ins>
      <w:del w:id="64" w:author="Schenk, Denis Elia (ARTORG)" w:date="2021-05-21T09:58:00Z">
        <w:r>
          <w:rPr>
            <w:lang w:val="en-GB"/>
          </w:rPr>
          <w:delText xml:space="preserve"> </w:delText>
        </w:r>
      </w:del>
      <w:r>
        <w:rPr>
          <w:lang w:val="en-GB"/>
        </w:rPr>
        <w:t xml:space="preserve">resolution peripheral quantitative tomography (HR-pQCT) scans allow to perform </w:t>
      </w:r>
      <w:r>
        <w:rPr>
          <w:i/>
          <w:lang w:val="en-GB"/>
        </w:rPr>
        <w:t>in vivo</w:t>
      </w:r>
      <w:r>
        <w:rPr>
          <w:lang w:val="en-GB"/>
        </w:rPr>
        <w:t xml:space="preserve"> assessment of trabecular architecture and volumetric </w:t>
      </w:r>
      <w:del w:id="65" w:author="Schenk, Denis Elia (ARTORG)" w:date="2021-05-21T09:58:00Z">
        <w:r>
          <w:rPr>
            <w:lang w:val="en-GB"/>
          </w:rPr>
          <w:delText xml:space="preserve">BMD </w:delText>
        </w:r>
      </w:del>
      <w:ins w:id="66" w:author="Schenk, Denis Elia (ARTORG)" w:date="2021-05-21T09:58:00Z">
        <w:r>
          <w:rPr>
            <w:lang w:val="en-GB"/>
          </w:rPr>
          <w:t xml:space="preserve">bone mineral density (vBMD) </w:t>
        </w:r>
      </w:ins>
      <w:r>
        <w:rPr>
          <w:lang w:val="en-GB"/>
        </w:rPr>
        <w:t xml:space="preserve">in </w:t>
      </w:r>
      <w:ins w:id="67" w:author="Schenk, Denis Elia (ARTORG)" w:date="2021-05-21T09:59:00Z">
        <w:r>
          <w:rPr>
            <w:lang w:val="en-GB"/>
          </w:rPr>
          <w:t xml:space="preserve">the </w:t>
        </w:r>
      </w:ins>
      <w:r>
        <w:rPr>
          <w:lang w:val="en-GB"/>
        </w:rPr>
        <w:t xml:space="preserve">distal radius and </w:t>
      </w:r>
      <w:ins w:id="68" w:author="Schenk, Denis Elia (ARTORG)" w:date="2021-05-21T09:59:00Z">
        <w:r>
          <w:rPr>
            <w:lang w:val="en-GB"/>
          </w:rPr>
          <w:t xml:space="preserve">distal </w:t>
        </w:r>
      </w:ins>
      <w:r>
        <w:rPr>
          <w:lang w:val="en-GB"/>
        </w:rPr>
        <w:t xml:space="preserve">tibia [Boutroy 2005]. Moreover, the </w:t>
      </w:r>
      <w:commentRangeStart w:id="11"/>
      <w:r>
        <w:rPr>
          <w:lang w:val="en-GB"/>
        </w:rPr>
        <w:t xml:space="preserve">bony microstructure </w:t>
      </w:r>
      <w:r>
        <w:rPr>
          <w:lang w:val="en-GB"/>
        </w:rPr>
      </w:r>
      <w:commentRangeEnd w:id="11"/>
      <w:r>
        <w:commentReference w:id="11"/>
      </w:r>
      <w:r>
        <w:rPr>
          <w:lang w:val="en-GB"/>
        </w:rPr>
        <w:t xml:space="preserve">obtained from HR-pQCT can be used for finite element analysis (FEA) to predict mechanical properties [Boutroy 2008]. Homogenized </w:t>
      </w:r>
      <w:del w:id="69" w:author="Schenk, Denis Elia (ARTORG)" w:date="2021-05-21T10:00:00Z">
        <w:r>
          <w:rPr>
            <w:lang w:val="en-GB"/>
          </w:rPr>
          <w:delText xml:space="preserve">FE </w:delText>
        </w:r>
      </w:del>
      <w:ins w:id="70" w:author="Schenk, Denis Elia (ARTORG)" w:date="2021-05-21T10:00:00Z">
        <w:r>
          <w:rPr>
            <w:lang w:val="en-GB"/>
          </w:rPr>
          <w:t xml:space="preserve">finite element </w:t>
        </w:r>
      </w:ins>
      <w:r>
        <w:rPr>
          <w:lang w:val="en-GB"/>
        </w:rPr>
        <w:t xml:space="preserve">(hFE) is </w:t>
      </w:r>
      <w:del w:id="71" w:author="Schenk, Denis Elia (ARTORG)" w:date="2021-05-21T10:00:00Z">
        <w:r>
          <w:rPr>
            <w:lang w:val="en-GB"/>
          </w:rPr>
          <w:delText xml:space="preserve">a FEA scheme including </w:delText>
        </w:r>
      </w:del>
      <w:ins w:id="72" w:author="Schenk, Denis Elia (ARTORG)" w:date="2021-05-21T10:00:00Z">
        <w:r>
          <w:rPr>
            <w:lang w:val="en-GB"/>
          </w:rPr>
          <w:t xml:space="preserve">based on </w:t>
        </w:r>
      </w:ins>
      <w:del w:id="73" w:author="Schenk, Denis Elia (ARTORG)" w:date="2021-05-21T10:00:00Z">
        <w:r>
          <w:rPr>
            <w:lang w:val="en-GB"/>
          </w:rPr>
          <w:delText>volume fraction (</w:delText>
        </w:r>
      </w:del>
      <w:r>
        <w:rPr>
          <w:lang w:val="en-GB"/>
        </w:rPr>
        <w:t>BV/TV</w:t>
      </w:r>
      <w:del w:id="74" w:author="Schenk, Denis Elia (ARTORG)" w:date="2021-05-21T10:00:00Z">
        <w:r>
          <w:rPr>
            <w:lang w:val="en-GB"/>
          </w:rPr>
          <w:delText>)</w:delText>
        </w:r>
      </w:del>
      <w:r>
        <w:rPr>
          <w:lang w:val="en-GB"/>
        </w:rPr>
        <w:t xml:space="preserve"> and anisotropy information (fabric) of </w:t>
      </w:r>
      <w:commentRangeStart w:id="12"/>
      <w:r>
        <w:rPr>
          <w:lang w:val="en-GB"/>
        </w:rPr>
        <w:t>trabecular bon</w:t>
      </w:r>
      <w:r>
        <w:rPr>
          <w:lang w:val="en-GB"/>
        </w:rPr>
      </w:r>
      <w:commentRangeEnd w:id="12"/>
      <w:r>
        <w:commentReference w:id="12"/>
      </w:r>
      <w:r>
        <w:rPr>
          <w:lang w:val="en-GB"/>
        </w:rPr>
        <w:t xml:space="preserve">e from HR-pQCT </w:t>
      </w:r>
      <w:commentRangeStart w:id="13"/>
      <w:r>
        <w:rPr>
          <w:lang w:val="en-GB"/>
        </w:rPr>
        <w:t xml:space="preserve">which to assess bone strength within reasonable computation time </w:t>
      </w:r>
      <w:del w:id="75" w:author="Schenk, Denis Elia (ARTORG)" w:date="2021-05-21T10:01:00Z">
        <w:r>
          <w:rPr>
            <w:lang w:val="en-GB"/>
          </w:rPr>
          <w:delText xml:space="preserve"> </w:delText>
        </w:r>
      </w:del>
      <w:r>
        <w:rPr>
          <w:lang w:val="en-GB"/>
        </w:rPr>
        <w:t xml:space="preserve">[Pahr 2009]. </w:t>
      </w:r>
      <w:r>
        <w:rPr>
          <w:lang w:val="en-GB"/>
        </w:rPr>
      </w:r>
      <w:commentRangeEnd w:id="13"/>
      <w:r>
        <w:commentReference w:id="13"/>
      </w:r>
      <w:r>
        <w:rPr>
          <w:lang w:val="en-GB"/>
        </w:rPr>
        <w:t xml:space="preserve">High correlations were found between patient-specific hFE </w:t>
      </w:r>
      <w:del w:id="76" w:author="Schenk, Denis Elia (ARTORG)" w:date="2021-05-21T10:02:00Z">
        <w:r>
          <w:rPr>
            <w:lang w:val="en-GB"/>
          </w:rPr>
          <w:delText xml:space="preserve"> </w:delText>
        </w:r>
      </w:del>
      <w:r>
        <w:rPr>
          <w:lang w:val="en-GB"/>
        </w:rPr>
        <w:t xml:space="preserve">and mechanical compression experiment of </w:t>
      </w:r>
      <w:del w:id="77" w:author="Schenk, Denis Elia (ARTORG)" w:date="2021-05-21T10:02:00Z">
        <w:r>
          <w:rPr>
            <w:lang w:val="en-GB"/>
          </w:rPr>
          <w:delText xml:space="preserve">cadaveric </w:delText>
        </w:r>
      </w:del>
      <w:ins w:id="78" w:author="Schenk, Denis Elia (ARTORG)" w:date="2021-05-21T10:02:00Z">
        <w:r>
          <w:rPr>
            <w:lang w:val="en-GB"/>
          </w:rPr>
          <w:t xml:space="preserve">freshly frozed human </w:t>
        </w:r>
      </w:ins>
      <w:r>
        <w:rPr>
          <w:lang w:val="en-GB"/>
        </w:rPr>
        <w:t>samples</w:t>
      </w:r>
      <w:ins w:id="79" w:author="Schenk, Denis Elia (ARTORG)" w:date="2021-05-21T10:02:00Z">
        <w:r>
          <w:rPr>
            <w:lang w:val="en-GB"/>
          </w:rPr>
          <w:t xml:space="preserve"> at the distal radius</w:t>
        </w:r>
      </w:ins>
      <w:r>
        <w:rPr>
          <w:lang w:val="en-GB"/>
        </w:rPr>
        <w:t xml:space="preserve"> [Varga 2011, Arias-Moreno 2019]. Thus, it could be legitimate to use hFE for OI patients bone strength estimation and </w:t>
      </w:r>
      <w:ins w:id="80" w:author="Schenk, Denis Elia (ARTORG)" w:date="2021-05-21T10:03:00Z">
        <w:r>
          <w:rPr>
            <w:lang w:val="en-GB"/>
          </w:rPr>
          <w:t xml:space="preserve">potentially </w:t>
        </w:r>
      </w:ins>
      <w:r>
        <w:rPr>
          <w:lang w:val="en-GB"/>
        </w:rPr>
        <w:t>fracture risk assessment. However, HR-pQCT-based FEA rel</w:t>
      </w:r>
      <w:ins w:id="81" w:author="Schenk, Denis Elia (ARTORG)" w:date="2021-05-21T10:03:00Z">
        <w:r>
          <w:rPr>
            <w:lang w:val="en-GB"/>
          </w:rPr>
          <w:t>ies</w:t>
        </w:r>
      </w:ins>
      <w:del w:id="82" w:author="Schenk, Denis Elia (ARTORG)" w:date="2021-05-21T10:03:00Z">
        <w:r>
          <w:rPr>
            <w:lang w:val="en-GB"/>
          </w:rPr>
          <w:delText>y</w:delText>
        </w:r>
      </w:del>
      <w:r>
        <w:rPr>
          <w:lang w:val="en-GB"/>
        </w:rPr>
        <w:t xml:space="preserve"> on fabric-</w:t>
      </w:r>
      <w:r>
        <w:rPr>
          <w:lang w:val="en-US"/>
          <w:rPrChange w:id="0" w:author="Schenk, Denis Elia (ARTORG)" w:date="2021-05-21T10:03:00Z"/>
        </w:rPr>
        <w:t xml:space="preserve">elasticity relationships. Therefore, the present study aims to compare trabecular bone microstructure of healthy and OI </w:t>
      </w:r>
      <w:del w:id="84" w:author="Schenk, Denis Elia (ARTORG)" w:date="2021-05-21T10:03:00Z">
        <w:r>
          <w:rPr>
            <w:lang w:val="en-US"/>
          </w:rPr>
          <w:delText>diagnosed individuals</w:delText>
        </w:r>
      </w:del>
      <w:ins w:id="85" w:author="Schenk, Denis Elia (ARTORG)" w:date="2021-05-21T10:03:00Z">
        <w:r>
          <w:rPr>
            <w:lang w:val="en-US"/>
          </w:rPr>
          <w:t>bone samples</w:t>
        </w:r>
      </w:ins>
      <w:r>
        <w:rPr>
          <w:lang w:val="en-US"/>
          <w:rPrChange w:id="0" w:author="Schenk, Denis Elia (ARTORG)" w:date="2021-05-21T10:03:00Z"/>
        </w:rPr>
        <w:t xml:space="preserve"> and to investigate the hypothesis of similar fabric-elasticity relationships.</w:t>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commentRangeStart w:id="14"/>
      <w:r>
        <w:rPr>
          <w:b/>
          <w:lang w:val="en-GB"/>
        </w:rPr>
        <w:t>2. Methods</w:t>
      </w:r>
      <w:commentRangeEnd w:id="14"/>
      <w:r>
        <w:commentReference w:id="14"/>
      </w:r>
      <w:r>
        <w:rPr>
          <w:b/>
          <w:lang w:val="en-GB"/>
        </w:rPr>
      </w:r>
    </w:p>
    <w:p>
      <w:pPr>
        <w:pStyle w:val="Normal"/>
        <w:jc w:val="both"/>
        <w:rPr>
          <w:lang w:val="en-US"/>
        </w:rPr>
      </w:pPr>
      <w:r>
        <w:rPr>
          <w:lang w:val="en-US"/>
        </w:rPr>
      </w:r>
    </w:p>
    <w:p>
      <w:pPr>
        <w:pStyle w:val="Normal"/>
        <w:jc w:val="both"/>
        <w:rPr>
          <w:lang w:val="en-US"/>
        </w:rPr>
      </w:pPr>
      <w:r>
        <w:rPr>
          <w:b/>
          <w:sz w:val="20"/>
          <w:lang w:val="en-GB"/>
        </w:rPr>
        <w:t>2.1 Subjects</w:t>
      </w:r>
    </w:p>
    <w:p>
      <w:pPr>
        <w:pStyle w:val="Normal"/>
        <w:pPrChange w:id="0" w:author="Schenk, Denis Elia (ARTORG)" w:date="2021-05-21T10:04:00Z">
          <w:pPr>
            <w:jc w:val="both"/>
          </w:pPr>
        </w:pPrChange>
        <w:rPr>
          <w:lang w:val="en-US"/>
        </w:rPr>
      </w:pPr>
      <w:r>
        <w:rPr>
          <w:lang w:val="en-GB"/>
        </w:rPr>
        <w:t>The healthy group include</w:t>
      </w:r>
      <w:ins w:id="87" w:author="Schenk, Denis Elia (ARTORG)" w:date="2021-05-21T10:27:00Z">
        <w:r>
          <w:rPr>
            <w:lang w:val="en-GB"/>
          </w:rPr>
          <w:t>s</w:t>
        </w:r>
      </w:ins>
      <w:r>
        <w:rPr>
          <w:lang w:val="en-GB"/>
        </w:rPr>
        <w:t xml:space="preserve"> a total of 120 patients from a previous reproducibility study performed at the University Department of osteoporosis in Bern [Schenk 2020]. The </w:t>
      </w:r>
      <w:del w:id="88" w:author="Schenk, Denis Elia (ARTORG)" w:date="2021-05-21T10:27:00Z">
        <w:r>
          <w:rPr>
            <w:lang w:val="en-GB"/>
          </w:rPr>
          <w:delText xml:space="preserve">sample </w:delText>
        </w:r>
      </w:del>
      <w:ins w:id="89" w:author="Schenk, Denis Elia (ARTORG)" w:date="2021-05-21T10:27:00Z">
        <w:r>
          <w:rPr>
            <w:lang w:val="en-GB"/>
          </w:rPr>
          <w:t>gro</w:t>
        </w:r>
      </w:ins>
      <w:ins w:id="90" w:author="Schenk, Denis Elia (ARTORG)" w:date="2021-05-21T10:28:00Z">
        <w:r>
          <w:rPr>
            <w:lang w:val="en-GB"/>
          </w:rPr>
          <w:t>up</w:t>
        </w:r>
      </w:ins>
      <w:ins w:id="91" w:author="Schenk, Denis Elia (ARTORG)" w:date="2021-05-21T10:27:00Z">
        <w:r>
          <w:rPr>
            <w:lang w:val="en-GB"/>
          </w:rPr>
          <w:t xml:space="preserve"> </w:t>
        </w:r>
      </w:ins>
      <w:r>
        <w:rPr>
          <w:lang w:val="en-GB"/>
        </w:rPr>
        <w:t xml:space="preserve">is composed of 64 female and 56 male subjects aged between 20 and 92 years old with a </w:t>
      </w:r>
      <w:commentRangeStart w:id="15"/>
      <w:r>
        <w:rPr>
          <w:lang w:val="en-GB"/>
        </w:rPr>
        <w:t xml:space="preserve">median </w:t>
      </w:r>
      <w:r>
        <w:rPr>
          <w:lang w:val="en-GB"/>
        </w:rPr>
      </w:r>
      <w:commentRangeEnd w:id="15"/>
      <w:r>
        <w:commentReference w:id="15"/>
      </w:r>
      <w:r>
        <w:rPr>
          <w:lang w:val="en-GB"/>
        </w:rPr>
        <w:t xml:space="preserve">age of 26 [22 - 35] years. These subjects did not </w:t>
      </w:r>
      <w:del w:id="92" w:author="Schenk, Denis Elia (ARTORG)" w:date="2021-05-21T10:28:00Z">
        <w:r>
          <w:rPr>
            <w:lang w:val="en-GB"/>
          </w:rPr>
          <w:delText xml:space="preserve">took </w:delText>
        </w:r>
      </w:del>
      <w:ins w:id="93" w:author="Schenk, Denis Elia (ARTORG)" w:date="2021-05-21T10:28:00Z">
        <w:r>
          <w:rPr>
            <w:lang w:val="en-GB"/>
          </w:rPr>
          <w:t xml:space="preserve">take </w:t>
        </w:r>
      </w:ins>
      <w:r>
        <w:rPr>
          <w:lang w:val="en-GB"/>
        </w:rPr>
        <w:t xml:space="preserve">any medication known to affect bone metabolism nor presented any prior osteoporosis fracture. The second group was scanned at the Shriners Hospital for </w:t>
      </w:r>
      <w:commentRangeStart w:id="16"/>
      <w:r>
        <w:rPr>
          <w:lang w:val="en-GB"/>
        </w:rPr>
        <w:t xml:space="preserve">Children </w:t>
      </w:r>
      <w:r>
        <w:rPr>
          <w:lang w:val="en-GB"/>
        </w:rPr>
      </w:r>
      <w:commentRangeEnd w:id="16"/>
      <w:r>
        <w:commentReference w:id="16"/>
      </w:r>
      <w:r>
        <w:rPr>
          <w:lang w:val="en-GB"/>
        </w:rPr>
        <w:t xml:space="preserve">and images were shared to our group by the McGill University in Montreal. This group </w:t>
      </w:r>
      <w:ins w:id="94" w:author="Schenk, Denis Elia (ARTORG)" w:date="2021-05-21T10:30:00Z">
        <w:r>
          <w:rPr>
            <w:lang w:val="en-GB"/>
          </w:rPr>
          <w:t xml:space="preserve">includes a total of 50 OI diagnosed subjects, composed </w:t>
        </w:r>
      </w:ins>
      <w:del w:id="95" w:author="Schenk, Denis Elia (ARTORG)" w:date="2021-05-21T10:30:00Z">
        <w:r>
          <w:rPr>
            <w:lang w:val="en-GB"/>
          </w:rPr>
          <w:delText xml:space="preserve">is composed </w:delText>
        </w:r>
      </w:del>
      <w:r>
        <w:rPr>
          <w:lang w:val="en-GB"/>
        </w:rPr>
        <w:t>of 35 female</w:t>
      </w:r>
      <w:ins w:id="96" w:author="Schenk, Denis Elia (ARTORG)" w:date="2021-05-21T10:30:00Z">
        <w:r>
          <w:rPr>
            <w:lang w:val="en-GB"/>
          </w:rPr>
          <w:t>s</w:t>
        </w:r>
      </w:ins>
      <w:ins w:id="97" w:author="Schenk, Denis Elia (ARTORG)" w:date="2021-05-21T10:29:00Z">
        <w:r>
          <w:rPr>
            <w:lang w:val="en-GB"/>
          </w:rPr>
          <w:t xml:space="preserve"> and</w:t>
        </w:r>
      </w:ins>
      <w:r>
        <w:rPr>
          <w:lang w:val="en-GB"/>
        </w:rPr>
        <w:t xml:space="preserve"> 15 male</w:t>
      </w:r>
      <w:ins w:id="98" w:author="Schenk, Denis Elia (ARTORG)" w:date="2021-05-21T10:30:00Z">
        <w:r>
          <w:rPr>
            <w:lang w:val="en-GB"/>
          </w:rPr>
          <w:t>s.</w:t>
        </w:r>
      </w:ins>
      <w:del w:id="99" w:author="Schenk, Denis Elia (ARTORG)" w:date="2021-05-21T10:30:00Z">
        <w:r>
          <w:rPr>
            <w:lang w:val="en-GB"/>
          </w:rPr>
          <w:delText xml:space="preserve"> </w:delText>
        </w:r>
      </w:del>
      <w:del w:id="100" w:author="Schenk, Denis Elia (ARTORG)" w:date="2021-05-21T10:29:00Z">
        <w:r>
          <w:rPr>
            <w:lang w:val="en-GB"/>
          </w:rPr>
          <w:delText xml:space="preserve">individuals </w:delText>
        </w:r>
      </w:del>
      <w:del w:id="101" w:author="Schenk, Denis Elia (ARTORG)" w:date="2021-05-21T10:30:00Z">
        <w:r>
          <w:rPr>
            <w:lang w:val="en-GB"/>
          </w:rPr>
          <w:delText>leading to 50 OI diagnosed subjects.</w:delText>
        </w:r>
      </w:del>
      <w:r>
        <w:rPr>
          <w:lang w:val="en-GB"/>
        </w:rPr>
        <w:t xml:space="preserve"> </w:t>
      </w:r>
      <w:commentRangeStart w:id="17"/>
      <w:r>
        <w:rPr>
          <w:lang w:val="en-GB"/>
        </w:rPr>
        <w:t>The youngest and oldest patients are 19 and 69 year old, respectively. The median age is 44 [33 - 55] years</w:t>
      </w:r>
      <w:r>
        <w:rPr>
          <w:lang w:val="en-GB"/>
        </w:rPr>
      </w:r>
      <w:commentRangeEnd w:id="17"/>
      <w:r>
        <w:commentReference w:id="17"/>
      </w:r>
      <w:r>
        <w:rPr>
          <w:lang w:val="en-GB"/>
        </w:rPr>
        <w:t xml:space="preserve">. 35 subjects were diagnosed with </w:t>
      </w:r>
      <w:ins w:id="102" w:author="Schenk, Denis Elia (ARTORG)" w:date="2021-05-21T10:31:00Z">
        <w:r>
          <w:rPr>
            <w:lang w:val="en-GB"/>
          </w:rPr>
          <w:t xml:space="preserve">OI </w:t>
        </w:r>
      </w:ins>
      <w:r>
        <w:rPr>
          <w:lang w:val="en-GB"/>
        </w:rPr>
        <w:t>type I</w:t>
      </w:r>
      <w:del w:id="103" w:author="Schenk, Denis Elia (ARTORG)" w:date="2021-05-21T10:31:00Z">
        <w:r>
          <w:rPr>
            <w:lang w:val="en-GB"/>
          </w:rPr>
          <w:delText xml:space="preserve"> OI</w:delText>
        </w:r>
      </w:del>
      <w:r>
        <w:rPr>
          <w:lang w:val="en-GB"/>
        </w:rPr>
        <w:t>, 2 with type III, and 13 with type IV.</w:t>
      </w:r>
    </w:p>
    <w:p>
      <w:pPr>
        <w:pStyle w:val="Normal"/>
        <w:pPrChange w:id="0" w:author="Schenk, Denis Elia (ARTORG)" w:date="2021-05-21T10:04:00Z">
          <w:pPr>
            <w:jc w:val="both"/>
          </w:pPr>
        </w:pPrChange>
        <w:rPr>
          <w:lang w:val="en-US"/>
        </w:rPr>
      </w:pPr>
      <w:r>
        <w:rPr>
          <w:lang w:val="en-US"/>
        </w:rPr>
      </w:r>
    </w:p>
    <w:p>
      <w:pPr>
        <w:pStyle w:val="Normal"/>
        <w:jc w:val="both"/>
        <w:rPr>
          <w:lang w:val="en-US"/>
        </w:rPr>
      </w:pPr>
      <w:r>
        <w:rPr>
          <w:b/>
          <w:sz w:val="20"/>
          <w:lang w:val="en-GB"/>
        </w:rPr>
        <w:t>2.2 HR-pQCT</w:t>
      </w:r>
    </w:p>
    <w:p>
      <w:pPr>
        <w:pStyle w:val="Normal"/>
        <w:rPr>
          <w:lang w:val="en-US"/>
        </w:rPr>
      </w:pPr>
      <w:commentRangeStart w:id="18"/>
      <w:r>
        <w:rPr>
          <w:lang w:val="en-GB"/>
        </w:rPr>
        <w:t>HR-pQCT scans (XtremeCTII, SCANCO Medical, Brütisellen, Switzerland) were performed at the distal tibia on all patients from both groups. People of the healthy group were scanned using an in-house protocol as described in [Schenk 2020] whereas OI subjects were scanned using the manufacturer's standard protocol. The main differences of the in-house protocol with the manufacturer's standard protocol are the following:</w:t>
      </w:r>
    </w:p>
    <w:p>
      <w:pPr>
        <w:pStyle w:val="Normal"/>
        <w:rPr>
          <w:lang w:val="en-US"/>
        </w:rPr>
      </w:pPr>
      <w:r>
        <w:rPr>
          <w:lang w:val="en-US"/>
        </w:rPr>
      </w:r>
    </w:p>
    <w:p>
      <w:pPr>
        <w:pStyle w:val="ListParagraph"/>
        <w:numPr>
          <w:ilvl w:val="0"/>
          <w:numId w:val="3"/>
        </w:numPr>
        <w:rPr>
          <w:lang w:val="en-US"/>
        </w:rPr>
      </w:pPr>
      <w:r>
        <w:rPr>
          <w:lang w:val="en-GB"/>
        </w:rPr>
        <w:t>The reference line is positioned at the proximal margin of the dense structure formed by the tibia plafond instead of the subchondral endplate of the ankle joint (standard clinical section) [Whittier 2020].</w:t>
      </w:r>
    </w:p>
    <w:p>
      <w:pPr>
        <w:pStyle w:val="ListParagraph"/>
        <w:numPr>
          <w:ilvl w:val="0"/>
          <w:numId w:val="3"/>
        </w:numPr>
        <w:rPr>
          <w:lang w:val="en-US"/>
        </w:rPr>
      </w:pPr>
      <w:r>
        <w:rPr>
          <w:lang w:val="en-GB"/>
        </w:rPr>
        <w:t>Three stacks were scanned proximal to the reference line instead of one stack at 22.5 mm proximal to the reference line for standard clinical section [Whittier 2020].</w:t>
      </w:r>
      <w:commentRangeEnd w:id="18"/>
      <w:r>
        <w:commentReference w:id="18"/>
      </w:r>
      <w:r>
        <w:rPr>
          <w:lang w:val="en-GB"/>
        </w:rPr>
      </w:r>
    </w:p>
    <w:p>
      <w:pPr>
        <w:pStyle w:val="Normal"/>
        <w:rPr>
          <w:lang w:val="en-US"/>
        </w:rPr>
      </w:pPr>
      <w:r>
        <w:rPr>
          <w:lang w:val="en-US"/>
        </w:rPr>
      </w:r>
    </w:p>
    <w:p>
      <w:pPr>
        <w:pStyle w:val="Normal"/>
        <w:rPr>
          <w:lang w:val="en-US"/>
        </w:rPr>
      </w:pPr>
      <w:r>
        <w:rPr>
          <w:lang w:val="en-GB"/>
        </w:rPr>
        <w:t>These differences are shown in Figure 1. For both group</w:t>
      </w:r>
      <w:ins w:id="104" w:author="Schenk, Denis Elia (ARTORG)" w:date="2021-05-21T10:32:00Z">
        <w:r>
          <w:rPr>
            <w:lang w:val="en-GB"/>
          </w:rPr>
          <w:t>s</w:t>
        </w:r>
      </w:ins>
      <w:r>
        <w:rPr>
          <w:lang w:val="en-GB"/>
        </w:rPr>
        <w:t>, each stack consist</w:t>
      </w:r>
      <w:ins w:id="105" w:author="Schenk, Denis Elia (ARTORG)" w:date="2021-05-21T10:32:00Z">
        <w:r>
          <w:rPr>
            <w:lang w:val="en-GB"/>
          </w:rPr>
          <w:t>s</w:t>
        </w:r>
      </w:ins>
      <w:r>
        <w:rPr>
          <w:lang w:val="en-GB"/>
        </w:rPr>
        <w:t xml:space="preserve"> of 168 voxels and a resolution of 61 </w:t>
      </w:r>
      <w:r>
        <w:rPr>
          <w:rFonts w:cs="Latin Modern Math" w:ascii="Latin Modern Math" w:hAnsi="Latin Modern Math"/>
          <w:lang w:val="en-GB"/>
        </w:rPr>
        <w:t>μ</w:t>
      </w:r>
      <w:r>
        <w:rPr>
          <w:lang w:val="en-GB"/>
        </w:rPr>
        <w:t>m in the three principal directions</w:t>
      </w:r>
      <w:ins w:id="106" w:author="Schenk, Denis Elia (ARTORG)" w:date="2021-05-21T10:32:00Z">
        <w:r>
          <w:rPr>
            <w:lang w:val="en-GB"/>
          </w:rPr>
          <w:t xml:space="preserve">. This </w:t>
        </w:r>
      </w:ins>
      <w:del w:id="107" w:author="Schenk, Denis Elia (ARTORG)" w:date="2021-05-21T10:32:00Z">
        <w:r>
          <w:rPr>
            <w:lang w:val="en-GB"/>
          </w:rPr>
          <w:delText xml:space="preserve"> which </w:delText>
        </w:r>
      </w:del>
      <w:r>
        <w:rPr>
          <w:lang w:val="en-GB"/>
        </w:rPr>
        <w:t>lead</w:t>
      </w:r>
      <w:ins w:id="108" w:author="Schenk, Denis Elia (ARTORG)" w:date="2021-05-21T10:32:00Z">
        <w:r>
          <w:rPr>
            <w:lang w:val="en-GB"/>
          </w:rPr>
          <w:t>s</w:t>
        </w:r>
      </w:ins>
      <w:r>
        <w:rPr>
          <w:lang w:val="en-GB"/>
        </w:rPr>
        <w:t xml:space="preserve"> to a thickness</w:t>
      </w:r>
      <w:ins w:id="109" w:author="Schenk, Denis Elia (ARTORG)" w:date="2021-05-21T10:32:00Z">
        <w:r>
          <w:rPr>
            <w:lang w:val="en-GB"/>
          </w:rPr>
          <w:t xml:space="preserve"> of</w:t>
        </w:r>
      </w:ins>
      <w:r>
        <w:rPr>
          <w:lang w:val="en-GB"/>
        </w:rPr>
        <w:t xml:space="preserve"> </w:t>
      </w:r>
      <w:del w:id="110" w:author="Schenk, Denis Elia (ARTORG)" w:date="2021-05-21T10:32:00Z">
        <w:r>
          <w:rPr>
            <w:lang w:val="en-GB"/>
          </w:rPr>
          <w:delText xml:space="preserve">about </w:delText>
        </w:r>
      </w:del>
      <w:ins w:id="111" w:author="Schenk, Denis Elia (ARTORG)" w:date="2021-05-21T10:32:00Z">
        <w:r>
          <w:rPr>
            <w:lang w:val="en-GB"/>
          </w:rPr>
          <w:t xml:space="preserve">roughly </w:t>
        </w:r>
      </w:ins>
      <w:r>
        <w:rPr>
          <w:lang w:val="en-GB"/>
        </w:rPr>
        <w:t xml:space="preserve">10.2 mm for each stack. </w:t>
      </w:r>
      <w:ins w:id="112" w:author="Schenk, Denis Elia (ARTORG)" w:date="2021-05-21T10:32:00Z">
        <w:r>
          <w:rPr>
            <w:lang w:val="en-GB"/>
          </w:rPr>
          <w:t>Standardized s</w:t>
        </w:r>
      </w:ins>
      <w:del w:id="113" w:author="Schenk, Denis Elia (ARTORG)" w:date="2021-05-21T10:32:00Z">
        <w:r>
          <w:rPr>
            <w:lang w:val="en-GB"/>
          </w:rPr>
          <w:delText>S</w:delText>
        </w:r>
      </w:del>
      <w:r>
        <w:rPr>
          <w:lang w:val="en-GB"/>
        </w:rPr>
        <w:t>canning settings were</w:t>
      </w:r>
      <w:ins w:id="114" w:author="Schenk, Denis Elia (ARTORG)" w:date="2021-05-21T10:32:00Z">
        <w:r>
          <w:rPr>
            <w:lang w:val="en-GB"/>
          </w:rPr>
          <w:t xml:space="preserve"> used (</w:t>
        </w:r>
      </w:ins>
      <w:del w:id="115" w:author="Schenk, Denis Elia (ARTORG)" w:date="2021-05-21T10:32:00Z">
        <w:r>
          <w:rPr>
            <w:lang w:val="en-GB"/>
          </w:rPr>
          <w:delText xml:space="preserve"> a </w:delText>
        </w:r>
      </w:del>
      <w:r>
        <w:rPr>
          <w:lang w:val="en-GB"/>
        </w:rPr>
        <w:t>voltage of 60 kVp, 900 μA, 100 ms integration time</w:t>
      </w:r>
      <w:ins w:id="116" w:author="Schenk, Denis Elia (ARTORG)" w:date="2021-05-21T10:33:00Z">
        <w:r>
          <w:rPr>
            <w:lang w:val="en-GB"/>
          </w:rPr>
          <w:t>)</w:t>
        </w:r>
      </w:ins>
      <w:r>
        <w:rPr>
          <w:lang w:val="en-GB"/>
        </w:rPr>
        <w:t xml:space="preserve"> for the healthy group as well as for the OI group. For the healthy group, motion artefacts of </w:t>
      </w:r>
      <w:commentRangeStart w:id="19"/>
      <w:r>
        <w:rPr>
          <w:lang w:val="en-GB"/>
        </w:rPr>
        <w:t xml:space="preserve">first, middle and last slice </w:t>
      </w:r>
      <w:r>
        <w:rPr>
          <w:lang w:val="en-GB"/>
        </w:rPr>
      </w:r>
      <w:commentRangeEnd w:id="19"/>
      <w:r>
        <w:commentReference w:id="19"/>
      </w:r>
      <w:r>
        <w:rPr>
          <w:lang w:val="en-GB"/>
        </w:rPr>
        <w:t>were graded</w:t>
      </w:r>
      <w:del w:id="117" w:author="Schenk, Denis Elia (ARTORG)" w:date="2021-05-21T10:35:00Z">
        <w:r>
          <w:rPr>
            <w:lang w:val="en-GB"/>
          </w:rPr>
          <w:delText>. The</w:delText>
        </w:r>
      </w:del>
      <w:ins w:id="118" w:author="Schenk, Denis Elia (ARTORG)" w:date="2021-05-21T10:35:00Z">
        <w:r>
          <w:rPr>
            <w:lang w:val="en-GB"/>
          </w:rPr>
          <w:t xml:space="preserve"> on a</w:t>
        </w:r>
      </w:ins>
      <w:r>
        <w:rPr>
          <w:lang w:val="en-GB"/>
        </w:rPr>
        <w:t xml:space="preserve"> scale </w:t>
      </w:r>
      <w:del w:id="119" w:author="Schenk, Denis Elia (ARTORG)" w:date="2021-05-21T10:35:00Z">
        <w:r>
          <w:rPr>
            <w:lang w:val="en-GB"/>
          </w:rPr>
          <w:delText xml:space="preserve">used </w:delText>
        </w:r>
      </w:del>
      <w:ins w:id="120" w:author="Schenk, Denis Elia (ARTORG)" w:date="2021-05-21T10:35:00Z">
        <w:r>
          <w:rPr>
            <w:lang w:val="en-GB"/>
          </w:rPr>
          <w:t xml:space="preserve">of </w:t>
        </w:r>
      </w:ins>
      <w:del w:id="121" w:author="Schenk, Denis Elia (ARTORG)" w:date="2021-05-21T10:34:00Z">
        <w:r>
          <w:rPr>
            <w:lang w:val="en-GB"/>
          </w:rPr>
          <w:delText xml:space="preserve">start </w:delText>
        </w:r>
      </w:del>
      <w:del w:id="122" w:author="Schenk, Denis Elia (ARTORG)" w:date="2021-05-21T10:35:00Z">
        <w:r>
          <w:rPr>
            <w:lang w:val="en-GB"/>
          </w:rPr>
          <w:delText xml:space="preserve">from </w:delText>
        </w:r>
      </w:del>
      <w:r>
        <w:rPr>
          <w:lang w:val="en-GB"/>
        </w:rPr>
        <w:t>1 (no motion artefacts) to 5 (extreme motion artefacts)</w:t>
      </w:r>
      <w:ins w:id="123" w:author="Schenk, Denis Elia (ARTORG)" w:date="2021-05-21T10:35:00Z">
        <w:r>
          <w:rPr>
            <w:lang w:val="en-GB"/>
          </w:rPr>
          <w:t xml:space="preserve">, </w:t>
        </w:r>
      </w:ins>
      <w:del w:id="124" w:author="Schenk, Denis Elia (ARTORG)" w:date="2021-05-21T10:35:00Z">
        <w:r>
          <w:rPr>
            <w:lang w:val="en-GB"/>
          </w:rPr>
          <w:delText xml:space="preserve"> </w:delText>
        </w:r>
      </w:del>
      <w:r>
        <w:rPr>
          <w:lang w:val="en-GB"/>
        </w:rPr>
        <w:t xml:space="preserve">as proposed by the </w:t>
      </w:r>
      <w:commentRangeStart w:id="20"/>
      <w:r>
        <w:rPr>
          <w:lang w:val="en-GB"/>
        </w:rPr>
        <w:t xml:space="preserve">manufacturer </w:t>
      </w:r>
      <w:r>
        <w:rPr>
          <w:lang w:val="en-GB"/>
        </w:rPr>
      </w:r>
      <w:commentRangeEnd w:id="20"/>
      <w:r>
        <w:commentReference w:id="20"/>
      </w:r>
      <w:r>
        <w:rPr>
          <w:lang w:val="en-GB"/>
        </w:rPr>
        <w:t xml:space="preserve">[Pialat 2012]. The final grade of each scan was defined as the highest slice grade. For the OI group, as the scan consist of one stack, only one grade is attributed using the same scale as for the control group. Scans were then processed independently of their quality grading. A summary of the scans </w:t>
      </w:r>
      <w:commentRangeStart w:id="21"/>
      <w:r>
        <w:rPr>
          <w:lang w:val="en-GB"/>
        </w:rPr>
        <w:t xml:space="preserve">grading densities </w:t>
      </w:r>
      <w:r>
        <w:rPr>
          <w:lang w:val="en-GB"/>
        </w:rPr>
      </w:r>
      <w:commentRangeEnd w:id="21"/>
      <w:r>
        <w:commentReference w:id="21"/>
      </w:r>
      <w:r>
        <w:rPr>
          <w:lang w:val="en-GB"/>
        </w:rPr>
        <w:t>is shown in Figure 2.</w:t>
      </w:r>
    </w:p>
    <w:p>
      <w:pPr>
        <w:pStyle w:val="Normal"/>
        <w:tabs>
          <w:tab w:val="clear" w:pos="708"/>
          <w:tab w:val="left" w:pos="2335" w:leader="none"/>
        </w:tabs>
        <w:jc w:val="both"/>
        <w:rPr/>
      </w:pPr>
      <w:r>
        <w:rPr/>
        <w:drawing>
          <wp:inline distT="0" distB="0" distL="0" distR="0">
            <wp:extent cx="1256030" cy="2012950"/>
            <wp:effectExtent l="0" t="0" r="0" b="0"/>
            <wp:docPr id="1" name="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png" descr=""/>
                    <pic:cNvPicPr>
                      <a:picLocks noChangeAspect="1" noChangeArrowheads="1"/>
                    </pic:cNvPicPr>
                  </pic:nvPicPr>
                  <pic:blipFill>
                    <a:blip r:embed="rId2"/>
                    <a:stretch>
                      <a:fillRect/>
                    </a:stretch>
                  </pic:blipFill>
                  <pic:spPr bwMode="auto">
                    <a:xfrm>
                      <a:off x="0" y="0"/>
                      <a:ext cx="1256030" cy="2012950"/>
                    </a:xfrm>
                    <a:prstGeom prst="rect">
                      <a:avLst/>
                    </a:prstGeom>
                  </pic:spPr>
                </pic:pic>
              </a:graphicData>
            </a:graphic>
          </wp:inline>
        </w:drawing>
      </w:r>
      <w:r>
        <w:rPr>
          <w:sz w:val="16"/>
          <w:lang w:val="en-GB"/>
        </w:rPr>
        <w:tab/>
      </w:r>
      <w:r>
        <w:rPr/>
        <w:drawing>
          <wp:inline distT="0" distB="0" distL="0" distR="0">
            <wp:extent cx="1256030" cy="2012950"/>
            <wp:effectExtent l="0" t="0" r="0" b="0"/>
            <wp:docPr id="2" nam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descr=""/>
                    <pic:cNvPicPr>
                      <a:picLocks noChangeAspect="1" noChangeArrowheads="1"/>
                    </pic:cNvPicPr>
                  </pic:nvPicPr>
                  <pic:blipFill>
                    <a:blip r:embed="rId3"/>
                    <a:stretch>
                      <a:fillRect/>
                    </a:stretch>
                  </pic:blipFill>
                  <pic:spPr bwMode="auto">
                    <a:xfrm>
                      <a:off x="0" y="0"/>
                      <a:ext cx="1256030" cy="2012950"/>
                    </a:xfrm>
                    <a:prstGeom prst="rect">
                      <a:avLst/>
                    </a:prstGeom>
                  </pic:spPr>
                </pic:pic>
              </a:graphicData>
            </a:graphic>
          </wp:inline>
        </w:drawing>
      </w:r>
    </w:p>
    <w:p>
      <w:pPr>
        <w:pStyle w:val="Normal"/>
        <w:tabs>
          <w:tab w:val="clear" w:pos="708"/>
          <w:tab w:val="left" w:pos="492" w:leader="none"/>
          <w:tab w:val="left" w:pos="2976" w:leader="none"/>
        </w:tabs>
        <w:jc w:val="both"/>
        <w:rPr>
          <w:lang w:val="en-US"/>
        </w:rPr>
      </w:pPr>
      <w:r>
        <w:rPr>
          <w:sz w:val="16"/>
          <w:lang w:val="en-GB"/>
        </w:rPr>
        <w:tab/>
        <w:t>(a) Healthy group</w:t>
        <w:tab/>
        <w:t>(b) OI group</w:t>
      </w:r>
    </w:p>
    <w:p>
      <w:pPr>
        <w:pStyle w:val="Normal"/>
        <w:tabs>
          <w:tab w:val="clear" w:pos="708"/>
          <w:tab w:val="left" w:pos="492" w:leader="none"/>
          <w:tab w:val="left" w:pos="2760" w:leader="none"/>
        </w:tabs>
        <w:spacing w:before="154" w:after="154"/>
        <w:jc w:val="center"/>
        <w:rPr>
          <w:lang w:val="en-US"/>
        </w:rPr>
      </w:pPr>
      <w:r>
        <w:rPr>
          <w:b/>
          <w:sz w:val="16"/>
          <w:lang w:val="en-GB"/>
        </w:rPr>
        <w:t>Figure 1</w:t>
      </w:r>
      <w:r>
        <w:rPr>
          <w:sz w:val="16"/>
          <w:lang w:val="en-GB"/>
        </w:rPr>
        <w:t>: Clinical section scanned for both group</w:t>
      </w:r>
    </w:p>
    <w:p>
      <w:pPr>
        <w:pStyle w:val="Normal"/>
        <w:tabs>
          <w:tab w:val="clear" w:pos="708"/>
          <w:tab w:val="left" w:pos="492" w:leader="none"/>
          <w:tab w:val="left" w:pos="2760" w:leader="none"/>
        </w:tabs>
        <w:jc w:val="center"/>
        <w:rPr>
          <w:lang w:val="en-US"/>
        </w:rPr>
      </w:pPr>
      <w:r>
        <w:rPr>
          <w:lang w:val="en-US"/>
        </w:rPr>
      </w:r>
    </w:p>
    <w:p>
      <w:pPr>
        <w:pStyle w:val="Normal"/>
        <w:tabs>
          <w:tab w:val="clear" w:pos="708"/>
          <w:tab w:val="left" w:pos="492" w:leader="none"/>
          <w:tab w:val="left" w:pos="2760" w:leader="none"/>
        </w:tabs>
        <w:jc w:val="both"/>
        <w:rPr>
          <w:lang w:val="en-US"/>
        </w:rPr>
      </w:pPr>
      <w:r>
        <w:rPr>
          <w:b/>
          <w:sz w:val="20"/>
          <w:lang w:val="en-GB"/>
        </w:rPr>
        <w:t>2.3 Image Analysis</w:t>
      </w:r>
    </w:p>
    <w:p>
      <w:pPr>
        <w:pStyle w:val="Normal"/>
        <w:rPr>
          <w:lang w:val="en-US"/>
        </w:rPr>
      </w:pPr>
      <w:commentRangeStart w:id="22"/>
      <w:r>
        <w:rPr>
          <w:lang w:val="en-GB"/>
        </w:rPr>
        <w:t xml:space="preserve">The HR-pQCT scans were evaluated using the manufacturer's standard </w:t>
      </w:r>
      <w:ins w:id="125" w:author="Schenk, Denis Elia (ARTORG)" w:date="2021-05-21T10:37:00Z">
        <w:r>
          <w:rPr>
            <w:lang w:val="en-GB"/>
          </w:rPr>
          <w:t xml:space="preserve">evaluation </w:t>
        </w:r>
      </w:ins>
      <w:r>
        <w:rPr>
          <w:lang w:val="en-GB"/>
        </w:rPr>
        <w:t>protocol. Then, mask segmented images were used for further analysis.</w:t>
      </w:r>
      <w:commentRangeEnd w:id="22"/>
      <w:r>
        <w:commentReference w:id="22"/>
      </w:r>
      <w:r>
        <w:rPr>
          <w:lang w:val="en-GB"/>
        </w:rPr>
      </w:r>
    </w:p>
    <w:p>
      <w:pPr>
        <w:pStyle w:val="Normal"/>
        <w:rPr>
          <w:lang w:val="en-US"/>
        </w:rPr>
      </w:pPr>
      <w:r>
        <w:rPr>
          <w:lang w:val="en-US"/>
        </w:rPr>
      </w:r>
    </w:p>
    <w:p>
      <w:pPr>
        <w:pStyle w:val="Normal"/>
        <w:rPr>
          <w:lang w:val="en-US"/>
        </w:rPr>
      </w:pPr>
      <w:ins w:id="126" w:author="Schenk, Denis Elia (ARTORG)" w:date="2021-05-21T10:41:00Z">
        <w:r>
          <w:rPr>
            <w:lang w:val="en-GB"/>
          </w:rPr>
          <w:t xml:space="preserve">In </w:t>
        </w:r>
      </w:ins>
      <w:ins w:id="127" w:author="Schenk, Denis Elia (ARTORG)" w:date="2021-05-21T10:42:00Z">
        <w:r>
          <w:rPr>
            <w:lang w:val="en-GB"/>
          </w:rPr>
          <w:t>general</w:t>
        </w:r>
      </w:ins>
      <w:ins w:id="128" w:author="Schenk, Denis Elia (ARTORG)" w:date="2021-05-21T10:43:00Z">
        <w:r>
          <w:rPr>
            <w:lang w:val="en-GB"/>
          </w:rPr>
          <w:t>, six</w:t>
        </w:r>
      </w:ins>
      <w:del w:id="129" w:author="Schenk, Denis Elia (ARTORG)" w:date="2021-05-21T10:41:00Z">
        <w:r>
          <w:rPr>
            <w:lang w:val="en-GB"/>
          </w:rPr>
          <w:delText>S</w:delText>
        </w:r>
      </w:del>
      <w:del w:id="130" w:author="Schenk, Denis Elia (ARTORG)" w:date="2021-05-21T10:42:00Z">
        <w:r>
          <w:rPr>
            <w:lang w:val="en-GB"/>
          </w:rPr>
          <w:delText>ix</w:delText>
        </w:r>
      </w:del>
      <w:r>
        <w:rPr>
          <w:lang w:val="en-GB"/>
        </w:rPr>
        <w:t xml:space="preserve"> ROI were </w:t>
      </w:r>
      <w:commentRangeStart w:id="23"/>
      <w:r>
        <w:rPr>
          <w:lang w:val="en-GB"/>
        </w:rPr>
        <w:t xml:space="preserve">randomly </w:t>
      </w:r>
      <w:r>
        <w:rPr>
          <w:lang w:val="en-GB"/>
        </w:rPr>
      </w:r>
      <w:commentRangeEnd w:id="23"/>
      <w:r>
        <w:commentReference w:id="23"/>
      </w:r>
      <w:r>
        <w:rPr>
          <w:lang w:val="en-GB"/>
        </w:rPr>
        <w:t xml:space="preserve">selected in each scan. </w:t>
      </w:r>
      <w:ins w:id="131" w:author="Schenk, Denis Elia (ARTORG)" w:date="2021-05-21T10:41:00Z">
        <w:r>
          <w:rPr>
            <w:lang w:val="en-GB"/>
          </w:rPr>
          <w:t>Each ROI must contain trabecular bone, but no cortical bone</w:t>
        </w:r>
      </w:ins>
      <w:del w:id="132" w:author="Schenk, Denis Elia (ARTORG)" w:date="2021-05-21T10:41:00Z">
        <w:r>
          <w:rPr>
            <w:lang w:val="en-GB"/>
          </w:rPr>
          <w:delText>The conditions for ROI to be kept are no cortical bone inside and that it must contain trabecular bone</w:delText>
        </w:r>
      </w:del>
      <w:r>
        <w:rPr>
          <w:lang w:val="en-GB"/>
        </w:rPr>
        <w:t xml:space="preserve">. For the OI subjects, the stack was divided into two halves and the ROIs were selected to have the </w:t>
      </w:r>
      <w:del w:id="133" w:author="Schenk, Denis Elia (ARTORG)" w:date="2021-05-21T10:42:00Z">
        <w:r>
          <w:rPr>
            <w:lang w:val="en-GB"/>
          </w:rPr>
          <w:delText>centers</w:delText>
        </w:r>
      </w:del>
      <w:ins w:id="134" w:author="Schenk, Denis Elia (ARTORG)" w:date="2021-05-21T10:42:00Z">
        <w:r>
          <w:rPr>
            <w:lang w:val="en-GB"/>
          </w:rPr>
          <w:t>centres</w:t>
        </w:r>
      </w:ins>
      <w:r>
        <w:rPr>
          <w:lang w:val="en-GB"/>
        </w:rPr>
        <w:t xml:space="preserve"> of three ROIs in the proximal half and three in the distal half. For the </w:t>
      </w:r>
      <w:commentRangeStart w:id="24"/>
      <w:r>
        <w:rPr>
          <w:lang w:val="en-GB"/>
        </w:rPr>
        <w:t xml:space="preserve">healthy </w:t>
      </w:r>
      <w:del w:id="135" w:author="Schenk, Denis Elia (ARTORG)" w:date="2021-05-21T10:43:00Z">
        <w:r>
          <w:rPr>
            <w:lang w:val="en-GB"/>
          </w:rPr>
          <w:delText>people</w:delText>
        </w:r>
      </w:del>
      <w:ins w:id="136" w:author="Schenk, Denis Elia (ARTORG)" w:date="2021-05-21T10:43:00Z">
        <w:r>
          <w:rPr>
            <w:lang w:val="en-GB"/>
          </w:rPr>
          <w:t>controls</w:t>
        </w:r>
      </w:ins>
      <w:r>
        <w:rPr>
          <w:lang w:val="en-GB"/>
        </w:rPr>
      </w:r>
      <w:commentRangeEnd w:id="24"/>
      <w:r>
        <w:commentReference w:id="24"/>
      </w:r>
      <w:r>
        <w:rPr>
          <w:lang w:val="en-GB"/>
        </w:rPr>
        <w:t xml:space="preserve">, the ROIs were selected in the more proximal stack uniquely, see Figure 1a stack </w:t>
      </w:r>
      <w:commentRangeStart w:id="25"/>
      <w:r>
        <w:rPr>
          <w:lang w:val="en-GB"/>
        </w:rPr>
        <w:t>n°</w:t>
      </w:r>
      <w:r>
        <w:rPr>
          <w:lang w:val="en-GB"/>
        </w:rPr>
      </w:r>
      <w:commentRangeEnd w:id="25"/>
      <w:r>
        <w:commentReference w:id="25"/>
      </w:r>
      <w:r>
        <w:rPr>
          <w:lang w:val="en-GB"/>
        </w:rPr>
        <w:t xml:space="preserve"> 3. As for the OI subjects, the stack </w:t>
      </w:r>
      <w:commentRangeStart w:id="26"/>
      <w:r>
        <w:rPr>
          <w:lang w:val="en-GB"/>
        </w:rPr>
        <w:t xml:space="preserve">is </w:t>
      </w:r>
      <w:r>
        <w:rPr>
          <w:lang w:val="en-GB"/>
        </w:rPr>
      </w:r>
      <w:commentRangeEnd w:id="26"/>
      <w:r>
        <w:commentReference w:id="26"/>
      </w:r>
      <w:r>
        <w:rPr>
          <w:lang w:val="en-GB"/>
        </w:rPr>
        <w:t>halved and centers of three ROIs were selected in both half.</w:t>
      </w:r>
    </w:p>
    <w:p>
      <w:pPr>
        <w:pStyle w:val="Normal"/>
        <w:rPr>
          <w:lang w:val="en-US"/>
        </w:rPr>
      </w:pPr>
      <w:r>
        <w:rPr>
          <w:lang w:val="en-US"/>
        </w:rPr>
      </w:r>
    </w:p>
    <w:p>
      <w:pPr>
        <w:pStyle w:val="Normal"/>
        <w:rPr>
          <w:lang w:val="en-US"/>
        </w:rPr>
      </w:pPr>
      <w:r>
        <w:rPr>
          <w:lang w:val="en-GB"/>
        </w:rPr>
        <w:t xml:space="preserve">The ROI is defined as a cube of 5.3 mm side length. This size </w:t>
      </w:r>
      <w:del w:id="137" w:author="Schenk, Denis Elia (ARTORG)" w:date="2021-05-21T10:45:00Z">
        <w:r>
          <w:rPr>
            <w:lang w:val="en-GB"/>
          </w:rPr>
          <w:delText>was chosen to correspond to</w:delText>
        </w:r>
      </w:del>
      <w:ins w:id="138" w:author="Schenk, Denis Elia (ARTORG)" w:date="2021-05-21T10:45:00Z">
        <w:r>
          <w:rPr>
            <w:lang w:val="en-GB"/>
          </w:rPr>
          <w:t xml:space="preserve">is in agreement with </w:t>
        </w:r>
      </w:ins>
      <w:del w:id="139" w:author="Schenk, Denis Elia (ARTORG)" w:date="2021-05-21T10:45:00Z">
        <w:r>
          <w:rPr>
            <w:lang w:val="en-GB"/>
          </w:rPr>
          <w:delText xml:space="preserve"> </w:delText>
        </w:r>
      </w:del>
      <w:r>
        <w:rPr>
          <w:lang w:val="en-GB"/>
        </w:rPr>
        <w:t>the work of [Panyasantisuk 2015] and [Gross 2013]</w:t>
      </w:r>
      <w:ins w:id="140" w:author="Schenk, Denis Elia (ARTORG)" w:date="2021-05-21T10:45:00Z">
        <w:r>
          <w:rPr>
            <w:lang w:val="en-GB"/>
          </w:rPr>
          <w:t>,</w:t>
        </w:r>
      </w:ins>
      <w:r>
        <w:rPr>
          <w:lang w:val="en-GB"/>
        </w:rPr>
        <w:t xml:space="preserve"> </w:t>
      </w:r>
      <w:del w:id="141" w:author="Schenk, Denis Elia (ARTORG)" w:date="2021-05-21T10:45:00Z">
        <w:r>
          <w:rPr>
            <w:lang w:val="en-GB"/>
          </w:rPr>
          <w:delText xml:space="preserve">which </w:delText>
        </w:r>
      </w:del>
      <w:ins w:id="142" w:author="Schenk, Denis Elia (ARTORG)" w:date="2021-05-21T10:45:00Z">
        <w:r>
          <w:rPr>
            <w:lang w:val="en-GB"/>
          </w:rPr>
          <w:t xml:space="preserve">who </w:t>
        </w:r>
      </w:ins>
      <w:r>
        <w:rPr>
          <w:lang w:val="en-GB"/>
        </w:rPr>
        <w:t xml:space="preserve">performed similar analysis with femur </w:t>
      </w:r>
      <w:r>
        <w:rPr>
          <w:rFonts w:cs="Latin Modern Math" w:ascii="Latin Modern Math" w:hAnsi="Latin Modern Math"/>
          <w:lang w:val="en-GB"/>
        </w:rPr>
        <w:t>μ</w:t>
      </w:r>
      <w:r>
        <w:rPr>
          <w:lang w:val="en-GB"/>
        </w:rPr>
        <w:t xml:space="preserve">CT scans. It was determined by [Zysset 1998] and [Daszkiewicz 2017] </w:t>
      </w:r>
      <w:commentRangeStart w:id="27"/>
      <w:r>
        <w:rPr>
          <w:lang w:val="en-GB"/>
        </w:rPr>
        <w:t>to be the optimal size to obtain accurate FEA results.</w:t>
      </w:r>
      <w:commentRangeEnd w:id="27"/>
      <w:r>
        <w:commentReference w:id="27"/>
      </w:r>
      <w:r>
        <w:rPr>
          <w:lang w:val="en-GB"/>
        </w:rPr>
      </w:r>
    </w:p>
    <w:p>
      <w:pPr>
        <w:pStyle w:val="Normal"/>
        <w:rPr>
          <w:lang w:val="en-US"/>
        </w:rPr>
      </w:pPr>
      <w:r>
        <w:rPr>
          <w:lang w:val="en-US"/>
        </w:rPr>
      </w:r>
    </w:p>
    <w:p>
      <w:pPr>
        <w:pStyle w:val="Normal"/>
        <w:rPr>
          <w:lang w:val="en-US"/>
        </w:rPr>
      </w:pPr>
      <w:commentRangeStart w:id="28"/>
      <w:r>
        <w:rPr>
          <w:lang w:val="en-GB"/>
        </w:rPr>
        <w:t xml:space="preserve">The morphological </w:t>
      </w:r>
      <w:r>
        <w:rPr>
          <w:lang w:val="en-GB"/>
        </w:rPr>
      </w:r>
      <w:commentRangeEnd w:id="28"/>
      <w:r>
        <w:commentReference w:id="28"/>
      </w:r>
      <w:r>
        <w:rPr>
          <w:lang w:val="en-GB"/>
        </w:rPr>
        <w:t xml:space="preserve">analysis of ROIs was performed using medtool (v4.5; Dr. Pahr Ingenieurs e.U., Pfaffstätten, Austria). The morphological parameters analyzed are: BV/TV, </w:t>
      </w:r>
      <w:commentRangeStart w:id="29"/>
      <w:r>
        <w:rPr>
          <w:lang w:val="en-GB"/>
        </w:rPr>
        <w:t>SMI</w:t>
      </w:r>
      <w:r>
        <w:rPr>
          <w:lang w:val="en-GB"/>
        </w:rPr>
      </w:r>
      <w:commentRangeEnd w:id="29"/>
      <w:r>
        <w:commentReference w:id="29"/>
      </w:r>
      <w:r>
        <w:rPr>
          <w:lang w:val="en-GB"/>
        </w:rPr>
        <w:t xml:space="preserve">, trabecular number </w:t>
      </w:r>
      <w:commentRangeStart w:id="30"/>
      <w:r>
        <w:rPr>
          <w:lang w:val="en-GB"/>
        </w:rPr>
        <w:t xml:space="preserve">(Tb. N.), </w:t>
      </w:r>
      <w:r>
        <w:rPr>
          <w:lang w:val="en-GB"/>
        </w:rPr>
      </w:r>
      <w:commentRangeEnd w:id="30"/>
      <w:r>
        <w:commentReference w:id="30"/>
      </w:r>
      <w:r>
        <w:rPr>
          <w:lang w:val="en-GB"/>
        </w:rPr>
        <w:t xml:space="preserve">trabecular thickness (Tb. Th.), trabecular spacing (Tb. Sp.), and the standard deviation of the trabecular spacing (Tb. Sp. SD). </w:t>
      </w:r>
      <w:del w:id="143" w:author="Schenk, Denis Elia (ARTORG)" w:date="2021-05-21T10:48:00Z">
        <w:r>
          <w:rPr>
            <w:lang w:val="en-GB"/>
          </w:rPr>
          <w:delText xml:space="preserve">Moreover, </w:delText>
        </w:r>
      </w:del>
      <w:r>
        <w:rPr>
          <w:lang w:val="en-GB"/>
        </w:rPr>
        <w:t xml:space="preserve">ROI fabric was evaluated using MIL method [Moreno 2014]. The fabric tensor </w:t>
      </w:r>
      <w:r>
        <w:rPr>
          <w:b/>
          <w:lang w:val="en-GB"/>
        </w:rPr>
        <w:t>M</w:t>
      </w:r>
      <w:r>
        <w:rPr>
          <w:lang w:val="en-GB"/>
        </w:rPr>
        <w:t xml:space="preserve"> is a positive-definite second-order tensor</w:t>
      </w:r>
      <w:ins w:id="144" w:author="Schenk, Denis Elia (ARTORG)" w:date="2021-05-21T10:48:00Z">
        <w:r>
          <w:rPr>
            <w:lang w:val="en-GB"/>
          </w:rPr>
          <w:t xml:space="preserve">, </w:t>
        </w:r>
      </w:ins>
      <w:del w:id="145" w:author="Schenk, Denis Elia (ARTORG)" w:date="2021-05-21T10:48:00Z">
        <w:r>
          <w:rPr>
            <w:lang w:val="en-GB"/>
          </w:rPr>
          <w:delText xml:space="preserve">. It is build as </w:delText>
        </w:r>
      </w:del>
      <w:r>
        <w:rPr>
          <w:lang w:val="en-GB"/>
        </w:rPr>
        <w:t>shown in Equation 1 below:</w:t>
      </w:r>
    </w:p>
    <w:p>
      <w:pPr>
        <w:pStyle w:val="Normal"/>
        <w:tabs>
          <w:tab w:val="clear" w:pos="708"/>
          <w:tab w:val="left" w:pos="492" w:leader="none"/>
          <w:tab w:val="left" w:pos="2760" w:leader="none"/>
        </w:tabs>
        <w:jc w:val="both"/>
        <w:rPr>
          <w:lang w:val="en-US"/>
        </w:rPr>
      </w:pPr>
      <w:r>
        <w:rPr>
          <w:lang w:val="en-US"/>
          <w:rPrChange w:id="0" w:author="Schenk, Denis Elia (ARTORG)" w:date="2021-05-21T10:48:00Z"/>
        </w:rPr>
        <w:rPrChange w:id="0" w:author="Schenk, Denis Elia (ARTORG)" w:date="2021-05-21T10:48:00Z"/>
      </w:r>
    </w:p>
    <w:p>
      <w:pPr>
        <w:pStyle w:val="Normal"/>
        <w:tabs>
          <w:tab w:val="clear" w:pos="708"/>
          <w:tab w:val="left" w:pos="492" w:leader="none"/>
          <w:tab w:val="left" w:pos="2760" w:leader="none"/>
        </w:tabs>
        <w:rPr>
          <w:lang w:val="en-US"/>
        </w:rPr>
      </w:pPr>
      <w:r>
        <w:rPr>
          <w:lang w:val="en-US"/>
          <w:rPrChange w:id="0" w:author="Schenk, Denis Elia (ARTORG)" w:date="2021-05-21T10:48:00Z"/>
        </w:rPr>
      </w:r>
    </w:p>
    <w:p>
      <w:pPr>
        <w:pStyle w:val="Normal"/>
        <w:rPr>
          <w:lang w:val="en-GB"/>
        </w:rPr>
      </w:pPr>
      <w:r>
        <w:rPr>
          <w:lang w:val="en-GB"/>
        </w:rPr>
        <w:t xml:space="preserve">where </w:t>
      </w:r>
      <w:r>
        <w:rPr>
          <w:i/>
          <w:lang w:val="en-GB"/>
        </w:rPr>
        <w:t>m</w:t>
      </w:r>
      <w:r>
        <w:rPr>
          <w:i/>
          <w:sz w:val="20"/>
          <w:vertAlign w:val="subscript"/>
          <w:lang w:val="en-GB"/>
        </w:rPr>
        <w:t>i</w:t>
      </w:r>
      <w:r>
        <w:rPr>
          <w:lang w:val="en-GB"/>
        </w:rPr>
        <w:t xml:space="preserve"> are the eigenvalues of </w:t>
      </w:r>
      <w:r>
        <w:rPr>
          <w:b/>
          <w:lang w:val="en-GB"/>
        </w:rPr>
        <w:t>M</w:t>
      </w:r>
      <w:r>
        <w:rPr>
          <w:lang w:val="en-GB"/>
        </w:rPr>
        <w:t xml:space="preserve"> and </w:t>
      </w:r>
      <w:r>
        <w:rPr>
          <w:b/>
          <w:lang w:val="en-GB"/>
        </w:rPr>
        <w:t>M</w:t>
      </w:r>
      <w:r>
        <w:rPr>
          <w:i/>
          <w:sz w:val="20"/>
          <w:vertAlign w:val="subscript"/>
          <w:lang w:val="en-GB"/>
        </w:rPr>
        <w:t>i</w:t>
      </w:r>
      <w:r>
        <w:rPr>
          <w:lang w:val="en-GB"/>
        </w:rPr>
        <w:t xml:space="preserve"> are the dyadic product of the corresponding eigenvectors </w:t>
      </w:r>
      <w:r>
        <w:rPr>
          <w:b/>
          <w:lang w:val="en-GB"/>
        </w:rPr>
        <w:t>m</w:t>
      </w:r>
      <w:r>
        <w:rPr>
          <w:i/>
          <w:vertAlign w:val="subscript"/>
          <w:lang w:val="en-GB"/>
        </w:rPr>
        <w:t>i</w:t>
      </w:r>
      <w:r>
        <w:rPr>
          <w:lang w:val="en-GB"/>
        </w:rPr>
        <w:t xml:space="preserve"> [Cowin1985, Harrigan1985]. The fabric </w:t>
      </w:r>
      <w:del w:id="148" w:author="Schenk, Denis Elia (ARTORG)" w:date="2021-05-21T10:48:00Z">
        <w:r>
          <w:rPr>
            <w:lang w:val="en-GB"/>
          </w:rPr>
          <w:delText>is then</w:delText>
        </w:r>
      </w:del>
      <w:ins w:id="149" w:author="Schenk, Denis Elia (ARTORG)" w:date="2021-05-21T10:48:00Z">
        <w:r>
          <w:rPr>
            <w:lang w:val="en-GB"/>
          </w:rPr>
          <w:t>tensor is</w:t>
        </w:r>
      </w:ins>
      <w:r>
        <w:rPr>
          <w:lang w:val="en-GB"/>
        </w:rPr>
        <w:t xml:space="preserve"> independent of BV/TV and normalized with </w:t>
      </w:r>
      <w:r>
        <w:rPr>
          <w:i/>
          <w:lang w:val="en-GB"/>
        </w:rPr>
        <w:t>tr</w:t>
      </w:r>
      <w:r>
        <w:rPr>
          <w:lang w:val="en-GB"/>
        </w:rPr>
        <w:t>(</w:t>
      </w:r>
      <w:r>
        <w:rPr>
          <w:b/>
          <w:lang w:val="en-GB"/>
        </w:rPr>
        <w:t>M</w:t>
      </w:r>
      <w:r>
        <w:rPr>
          <w:lang w:val="en-GB"/>
        </w:rPr>
        <w:t>) = 3. The fabric eigenvalues allow to compute the degree of anisotropy (</w:t>
      </w:r>
      <w:commentRangeStart w:id="31"/>
      <w:r>
        <w:rPr>
          <w:lang w:val="en-GB"/>
        </w:rPr>
        <w:t>DA</w:t>
      </w:r>
      <w:r>
        <w:rPr>
          <w:lang w:val="en-GB"/>
        </w:rPr>
      </w:r>
      <w:commentRangeEnd w:id="31"/>
      <w:r>
        <w:commentReference w:id="31"/>
      </w:r>
      <w:r>
        <w:rPr>
          <w:lang w:val="en-GB"/>
        </w:rPr>
        <w:t>) of the ROI by dividing the highest eigenvalue by the lowest one.</w:t>
      </w:r>
    </w:p>
    <w:p>
      <w:pPr>
        <w:pStyle w:val="Normal"/>
        <w:rPr>
          <w:lang w:val="en-GB"/>
        </w:rPr>
      </w:pPr>
      <w:r>
        <w:rPr>
          <w:lang w:val="en-GB"/>
        </w:rPr>
      </w:r>
    </w:p>
    <w:p>
      <w:pPr>
        <w:pStyle w:val="Normal"/>
        <w:rPr>
          <w:lang w:val="en-US"/>
        </w:rPr>
      </w:pPr>
      <w:r>
        <w:rPr>
          <w:lang w:val="en-US"/>
        </w:rPr>
      </w:r>
    </w:p>
    <w:p>
      <w:pPr>
        <w:pStyle w:val="Normal"/>
        <w:tabs>
          <w:tab w:val="clear" w:pos="708"/>
          <w:tab w:val="left" w:pos="492" w:leader="none"/>
          <w:tab w:val="left" w:pos="2760" w:leader="none"/>
        </w:tabs>
        <w:spacing w:before="0" w:after="315"/>
        <w:jc w:val="center"/>
        <w:rPr>
          <w:lang w:val="en-US"/>
        </w:rPr>
      </w:pPr>
      <w:r>
        <w:rPr>
          <w:b/>
          <w:sz w:val="16"/>
          <w:lang w:val="en-GB"/>
        </w:rPr>
        <w:t>Figure 2</w:t>
      </w:r>
      <w:r>
        <w:rPr>
          <w:sz w:val="16"/>
          <w:lang w:val="en-GB"/>
        </w:rPr>
        <w:t>: Summary of the motion artefacts grading. Histograms show density of each grade within both group.</w:t>
      </w:r>
    </w:p>
    <w:p>
      <w:pPr>
        <w:pStyle w:val="Normal"/>
        <w:rPr>
          <w:lang w:val="en-US"/>
        </w:rPr>
      </w:pPr>
      <w:r>
        <w:rPr>
          <w:lang w:val="en-GB"/>
        </w:rPr>
        <w:t>After ROI cleaning, i.e. deletion of unconnected region of bone material, a</w:t>
      </w:r>
      <w:del w:id="150" w:author="Schenk, Denis Elia (ARTORG)" w:date="2021-05-21T10:49:00Z">
        <w:r>
          <w:rPr>
            <w:lang w:val="en-GB"/>
          </w:rPr>
          <w:delText>n</w:delText>
        </w:r>
      </w:del>
      <w:r>
        <w:rPr>
          <w:lang w:val="en-GB"/>
        </w:rPr>
        <w:t xml:space="preserve"> </w:t>
      </w:r>
      <w:commentRangeStart w:id="32"/>
      <w:r>
        <w:rPr>
          <w:lang w:val="en-GB"/>
        </w:rPr>
        <w:t xml:space="preserve">homogenized mechanical analysis </w:t>
      </w:r>
      <w:r>
        <w:rPr>
          <w:lang w:val="en-GB"/>
        </w:rPr>
      </w:r>
      <w:commentRangeEnd w:id="32"/>
      <w:r>
        <w:commentReference w:id="32"/>
      </w:r>
      <w:r>
        <w:rPr>
          <w:lang w:val="en-GB"/>
        </w:rPr>
        <w:t xml:space="preserve">was performed using </w:t>
      </w:r>
      <w:r>
        <w:rPr>
          <w:rFonts w:cs="Go Smallcaps" w:ascii="Go Smallcaps" w:hAnsi="Go Smallcaps"/>
          <w:lang w:val="en-GB"/>
        </w:rPr>
        <w:t>ABAQUS 6.14</w:t>
      </w:r>
      <w:r>
        <w:rPr>
          <w:lang w:val="en-GB"/>
        </w:rPr>
        <w:t xml:space="preserve">. </w:t>
      </w:r>
      <w:ins w:id="151" w:author="Schenk, Denis Elia (ARTORG)" w:date="2021-05-21T10:50:00Z">
        <w:r>
          <w:rPr>
            <w:lang w:val="en-GB"/>
          </w:rPr>
          <w:t xml:space="preserve">In brief: </w:t>
        </w:r>
      </w:ins>
      <w:r>
        <w:rPr>
          <w:lang w:val="en-GB"/>
        </w:rPr>
        <w:t xml:space="preserve">Each voxel of the cleaned ROI was converted to </w:t>
      </w:r>
      <w:del w:id="152" w:author="Schenk, Denis Elia (ARTORG)" w:date="2021-05-21T10:50:00Z">
        <w:r>
          <w:rPr>
            <w:lang w:val="en-GB"/>
          </w:rPr>
          <w:delText>mesh using</w:delText>
        </w:r>
      </w:del>
      <w:ins w:id="153" w:author="Schenk, Denis Elia (ARTORG)" w:date="2021-05-21T10:50:00Z">
        <w:r>
          <w:rPr>
            <w:lang w:val="en-GB"/>
          </w:rPr>
          <w:t>a</w:t>
        </w:r>
      </w:ins>
      <w:r>
        <w:rPr>
          <w:lang w:val="en-GB"/>
        </w:rPr>
        <w:t xml:space="preserve"> fully integrated linear brick elements (C3D8)</w:t>
      </w:r>
      <w:ins w:id="154" w:author="Schenk, Denis Elia (ARTORG)" w:date="2021-05-21T10:50:00Z">
        <w:r>
          <w:rPr>
            <w:lang w:val="en-GB"/>
          </w:rPr>
          <w:t xml:space="preserve"> using a direct voxel conversion approach. Then </w:t>
        </w:r>
      </w:ins>
      <w:del w:id="155" w:author="Schenk, Denis Elia (ARTORG)" w:date="2021-05-21T10:51:00Z">
        <w:r>
          <w:rPr>
            <w:lang w:val="en-GB"/>
          </w:rPr>
          <w:delText xml:space="preserve"> with </w:delText>
        </w:r>
      </w:del>
      <w:r>
        <w:rPr>
          <w:lang w:val="en-GB"/>
        </w:rPr>
        <w:t xml:space="preserve">a stiffness </w:t>
      </w:r>
      <w:r>
        <w:rPr>
          <w:i/>
          <w:lang w:val="en-GB"/>
        </w:rPr>
        <w:t>E</w:t>
      </w:r>
      <w:r>
        <w:rPr>
          <w:lang w:val="en-GB"/>
        </w:rPr>
        <w:t xml:space="preserve"> of 10 000 MPa and a Poisson's ratio </w:t>
      </w:r>
      <w:r>
        <w:rPr>
          <w:rFonts w:cs="Latin Modern Math" w:ascii="Latin Modern Math" w:hAnsi="Latin Modern Math"/>
          <w:i/>
          <w:lang w:val="en-GB"/>
        </w:rPr>
        <w:t>ν</w:t>
      </w:r>
      <w:r>
        <w:rPr>
          <w:lang w:val="en-GB"/>
        </w:rPr>
        <w:t xml:space="preserve"> of 0.3</w:t>
      </w:r>
      <w:ins w:id="156" w:author="Schenk, Denis Elia (ARTORG)" w:date="2021-05-21T10:51:00Z">
        <w:r>
          <w:rPr>
            <w:lang w:val="en-GB"/>
          </w:rPr>
          <w:t xml:space="preserve"> were assigned</w:t>
        </w:r>
      </w:ins>
      <w:r>
        <w:rPr>
          <w:lang w:val="en-GB"/>
        </w:rPr>
        <w:t xml:space="preserve">. The simulation consisted of 6 independent load cases, 3 uni-axial and 3 shear cases, using </w:t>
      </w:r>
      <w:commentRangeStart w:id="33"/>
      <w:r>
        <w:rPr>
          <w:lang w:val="en-GB"/>
        </w:rPr>
        <w:t>KUBCs</w:t>
      </w:r>
      <w:r>
        <w:rPr>
          <w:lang w:val="en-GB"/>
        </w:rPr>
      </w:r>
      <w:del w:id="157" w:author="Schenk, Denis Elia (ARTORG)" w:date="2021-05-21T10:51:00Z">
        <w:commentRangeEnd w:id="33"/>
        <w:r>
          <w:commentReference w:id="33"/>
        </w:r>
        <w:r>
          <w:rPr>
            <w:lang w:val="en-GB"/>
          </w:rPr>
          <w:delText>. KUBCs were used according to the work of</w:delText>
        </w:r>
      </w:del>
      <w:r>
        <w:rPr>
          <w:lang w:val="en-GB"/>
        </w:rPr>
        <w:t xml:space="preserve"> [Panyasantisuk 2015]. Unlike PMUBCs, KUBCs do not require to rotate the ROI into fabric coordinate system</w:t>
      </w:r>
      <w:ins w:id="158" w:author="Schenk, Denis Elia (ARTORG)" w:date="2021-05-21T10:52:00Z">
        <w:r>
          <w:rPr>
            <w:lang w:val="en-GB"/>
          </w:rPr>
          <w:t>. Such rotations would potentially</w:t>
        </w:r>
      </w:ins>
      <w:r>
        <w:rPr>
          <w:lang w:val="en-GB"/>
        </w:rPr>
        <w:t xml:space="preserve"> </w:t>
      </w:r>
      <w:del w:id="159" w:author="Schenk, Denis Elia (ARTORG)" w:date="2021-05-21T10:52:00Z">
        <w:r>
          <w:rPr>
            <w:lang w:val="en-GB"/>
          </w:rPr>
          <w:delText xml:space="preserve">which </w:delText>
        </w:r>
      </w:del>
      <w:r>
        <w:rPr>
          <w:lang w:val="en-GB"/>
        </w:rPr>
        <w:t xml:space="preserve">decrease </w:t>
      </w:r>
      <w:del w:id="160" w:author="Schenk, Denis Elia (ARTORG)" w:date="2021-05-21T10:52:00Z">
        <w:r>
          <w:rPr>
            <w:lang w:val="en-GB"/>
          </w:rPr>
          <w:delText xml:space="preserve">the </w:delText>
        </w:r>
      </w:del>
      <w:r>
        <w:rPr>
          <w:lang w:val="en-GB"/>
        </w:rPr>
        <w:t xml:space="preserve">image quality. </w:t>
      </w:r>
      <w:commentRangeStart w:id="34"/>
      <w:r>
        <w:rPr>
          <w:lang w:val="en-GB"/>
        </w:rPr>
        <w:t>This</w:t>
      </w:r>
      <w:r>
        <w:rPr>
          <w:lang w:val="en-GB"/>
        </w:rPr>
      </w:r>
      <w:commentRangeEnd w:id="34"/>
      <w:r>
        <w:commentReference w:id="34"/>
      </w:r>
      <w:r>
        <w:rPr>
          <w:lang w:val="en-GB"/>
        </w:rPr>
        <w:t xml:space="preserve"> homogenization process allows to calibrate the parameters of the Zysset-Curnier fabric-elasticity model [Zysset 1995]. This model builds the fourth order stiffness tensor </w:t>
      </w:r>
      <w:r>
        <w:rPr>
          <w:rFonts w:cs="Cambria Math" w:ascii="Cambria Math" w:hAnsi="Cambria Math"/>
          <w:lang w:val="en-GB"/>
        </w:rPr>
        <w:t>𝕊</w:t>
      </w:r>
      <w:r>
        <w:rPr>
          <w:lang w:val="en-GB"/>
        </w:rPr>
        <w:t xml:space="preserve"> using the BV/TV or </w:t>
      </w:r>
      <w:r>
        <w:rPr>
          <w:rFonts w:cs="Latin Modern Math" w:ascii="Latin Modern Math" w:hAnsi="Latin Modern Math"/>
          <w:i/>
          <w:lang w:val="en-GB"/>
        </w:rPr>
        <w:t>ρ</w:t>
      </w:r>
      <w:r>
        <w:rPr>
          <w:lang w:val="en-GB"/>
        </w:rPr>
        <w:t xml:space="preserve">, fabric </w:t>
      </w:r>
      <w:del w:id="161" w:author="Schenk, Denis Elia (ARTORG)" w:date="2021-05-21T10:53:00Z">
        <w:r>
          <w:rPr>
            <w:lang w:val="en-GB"/>
          </w:rPr>
          <w:delText xml:space="preserve">information </w:delText>
        </w:r>
      </w:del>
      <w:ins w:id="162" w:author="Schenk, Denis Elia (ARTORG)" w:date="2021-05-21T10:53:00Z">
        <w:r>
          <w:rPr>
            <w:lang w:val="en-GB"/>
          </w:rPr>
          <w:t xml:space="preserve">tensor </w:t>
        </w:r>
      </w:ins>
      <w:r>
        <w:rPr>
          <w:b/>
          <w:lang w:val="en-GB"/>
        </w:rPr>
        <w:t>M</w:t>
      </w:r>
      <w:r>
        <w:rPr>
          <w:lang w:val="en-GB"/>
        </w:rPr>
        <w:t xml:space="preserve">, three elasticity parameters </w:t>
      </w:r>
      <w:r>
        <w:rPr>
          <w:rFonts w:cs="Latin Modern Math" w:ascii="Latin Modern Math" w:hAnsi="Latin Modern Math"/>
          <w:i/>
          <w:lang w:val="en-GB"/>
        </w:rPr>
        <w:t>λ</w:t>
      </w:r>
      <w:r>
        <w:rPr>
          <w:rFonts w:cs="Latin Modern Math" w:ascii="Latin Modern Math" w:hAnsi="Latin Modern Math"/>
          <w:i/>
          <w:vertAlign w:val="subscript"/>
          <w:lang w:val="en-GB"/>
        </w:rPr>
        <w:t>0</w:t>
      </w:r>
      <w:r>
        <w:rPr>
          <w:lang w:val="en-GB"/>
        </w:rPr>
        <w:t xml:space="preserve">, </w:t>
      </w:r>
      <w:r>
        <w:rPr>
          <w:rFonts w:cs="Latin Modern Math" w:ascii="Latin Modern Math" w:hAnsi="Latin Modern Math"/>
          <w:i/>
          <w:lang w:val="fr-CH"/>
        </w:rPr>
        <w:t>λ</w:t>
      </w:r>
      <w:r>
        <w:rPr>
          <w:rFonts w:cs="Latin Modern Math" w:ascii="Latin Modern Math" w:hAnsi="Latin Modern Math"/>
          <w:i/>
          <w:vertAlign w:val="subscript"/>
          <w:lang w:val="fr-CH"/>
        </w:rPr>
        <w:t>0</w:t>
      </w:r>
      <w:r>
        <w:rPr>
          <w:i/>
          <w:lang w:val="en-GB"/>
        </w:rPr>
        <w:t>'</w:t>
      </w:r>
      <w:r>
        <w:rPr>
          <w:lang w:val="en-GB"/>
        </w:rPr>
        <w:t xml:space="preserve">, and </w:t>
      </w:r>
      <w:r>
        <w:rPr>
          <w:rFonts w:cs="Latin Modern Math" w:ascii="Latin Modern Math" w:hAnsi="Latin Modern Math"/>
          <w:i/>
          <w:lang w:val="fr-CH"/>
        </w:rPr>
        <w:t>μ</w:t>
      </w:r>
      <w:r>
        <w:rPr>
          <w:rFonts w:cs="Latin Modern Math" w:ascii="Latin Modern Math" w:hAnsi="Latin Modern Math"/>
          <w:i/>
          <w:vertAlign w:val="subscript"/>
          <w:lang w:val="fr-CH"/>
        </w:rPr>
        <w:t>0</w:t>
      </w:r>
      <w:r>
        <w:rPr>
          <w:lang w:val="en-GB"/>
        </w:rPr>
        <w:t xml:space="preserve">, and two exponents, </w:t>
      </w:r>
      <w:r>
        <w:rPr>
          <w:i/>
          <w:lang w:val="en-GB"/>
        </w:rPr>
        <w:t>k</w:t>
      </w:r>
      <w:r>
        <w:rPr>
          <w:lang w:val="en-GB"/>
        </w:rPr>
        <w:t xml:space="preserve"> and </w:t>
      </w:r>
      <w:r>
        <w:rPr>
          <w:i/>
          <w:lang w:val="en-GB"/>
        </w:rPr>
        <w:t>l</w:t>
      </w:r>
      <w:ins w:id="163" w:author="Schenk, Denis Elia (ARTORG)" w:date="2021-05-21T10:53:00Z">
        <w:r>
          <w:rPr>
            <w:lang w:val="en-GB"/>
          </w:rPr>
          <w:t xml:space="preserve">, as </w:t>
        </w:r>
      </w:ins>
      <w:del w:id="164" w:author="Schenk, Denis Elia (ARTORG)" w:date="2021-05-21T10:53:00Z">
        <w:r>
          <w:rPr>
            <w:lang w:val="en-GB"/>
          </w:rPr>
          <w:delText xml:space="preserve">. The building of this tensor is </w:delText>
        </w:r>
      </w:del>
      <w:r>
        <w:rPr>
          <w:lang w:val="en-GB"/>
        </w:rPr>
        <w:t>shown in Equation 2.</w:t>
      </w:r>
    </w:p>
    <w:p>
      <w:pPr>
        <w:pStyle w:val="Normal"/>
        <w:tabs>
          <w:tab w:val="clear" w:pos="708"/>
          <w:tab w:val="left" w:pos="492" w:leader="none"/>
          <w:tab w:val="left" w:pos="2760" w:leader="none"/>
        </w:tabs>
        <w:jc w:val="both"/>
        <w:rPr>
          <w:lang w:val="en-US"/>
        </w:rPr>
      </w:pPr>
      <w:r>
        <w:rPr>
          <w:lang w:val="en-US"/>
        </w:rPr>
      </w:r>
    </w:p>
    <w:p>
      <w:pPr>
        <w:pStyle w:val="Normal"/>
        <w:tabs>
          <w:tab w:val="clear" w:pos="708"/>
          <w:tab w:val="left" w:pos="492" w:leader="none"/>
          <w:tab w:val="left" w:pos="2760" w:leader="none"/>
        </w:tabs>
        <w:jc w:val="both"/>
        <w:rPr>
          <w:lang w:val="en-US"/>
        </w:rPr>
      </w:pPr>
      <w:r>
        <w:rPr>
          <w:lang w:val="en-US"/>
          <w:rPrChange w:id="0" w:author="Schenk, Denis Elia (ARTORG)" w:date="2021-05-21T10:53:00Z"/>
        </w:rPr>
        <w:rPrChange w:id="0" w:author="Schenk, Denis Elia (ARTORG)" w:date="2021-05-21T10:53:00Z"/>
      </w:r>
    </w:p>
    <w:p>
      <w:pPr>
        <w:pStyle w:val="Normal"/>
        <w:rPr>
          <w:lang w:val="en-US"/>
        </w:rPr>
      </w:pPr>
      <w:r>
        <w:rPr>
          <w:lang w:val="en-GB"/>
        </w:rPr>
        <w:t xml:space="preserve">Where </w:t>
      </w:r>
      <w:r>
        <w:rPr>
          <w:rFonts w:cs="Latin Modern Math" w:ascii="Latin Modern Math" w:hAnsi="Latin Modern Math"/>
          <w:lang w:val="en-GB"/>
        </w:rPr>
        <w:t>⊗</w:t>
      </w:r>
      <w:r>
        <w:rPr>
          <w:lang w:val="en-GB"/>
        </w:rPr>
        <w:t xml:space="preserve"> and </w:t>
      </w:r>
      <w:del w:id="166" w:author="Schenk, Denis Elia (ARTORG)" w:date="2021-05-21T10:53:00Z">
        <w:r>
          <w:rPr>
            <w:lang w:val="en-GB"/>
          </w:rPr>
          <w:delText xml:space="preserve"> </w:delText>
        </w:r>
      </w:del>
      <w:r>
        <w:rPr>
          <w:lang w:val="en-GB"/>
        </w:rPr>
        <w:t>are the dyadic and symmetric product of second order tensors,</w:t>
      </w:r>
      <w:ins w:id="167" w:author="Schenk, Denis Elia (ARTORG)" w:date="2021-05-21T10:53:00Z">
        <w:r>
          <w:rPr>
            <w:lang w:val="en-GB"/>
          </w:rPr>
          <w:t xml:space="preserve"> </w:t>
        </w:r>
      </w:ins>
      <w:del w:id="168" w:author="Schenk, Denis Elia (ARTORG)" w:date="2021-05-21T10:53:00Z">
        <w:r>
          <w:rPr>
            <w:lang w:val="en-GB"/>
          </w:rPr>
          <w:delText xml:space="preserve"> </w:delText>
        </w:r>
      </w:del>
      <w:r>
        <w:rPr>
          <w:lang w:val="en-GB"/>
        </w:rPr>
        <w:t>respectively. The Zysset-Curnier model is built with the assumption of orthotropy and homogeneity. However, the trabecular structure is not perfectly homogeneous. In order to assess the ROI heterogeneity</w:t>
      </w:r>
      <w:ins w:id="169" w:author="Schenk, Denis Elia (ARTORG)" w:date="2021-05-21T10:54:00Z">
        <w:r>
          <w:rPr>
            <w:lang w:val="en-GB"/>
          </w:rPr>
          <w:t>,</w:t>
        </w:r>
      </w:ins>
      <w:r>
        <w:rPr>
          <w:lang w:val="en-GB"/>
        </w:rPr>
        <w:t xml:space="preserve"> a </w:t>
      </w:r>
      <w:del w:id="170" w:author="Schenk, Denis Elia (ARTORG)" w:date="2021-05-21T10:54:00Z">
        <w:r>
          <w:rPr>
            <w:lang w:val="en-GB"/>
          </w:rPr>
          <w:delText xml:space="preserve">so-called </w:delText>
        </w:r>
      </w:del>
      <w:r>
        <w:rPr>
          <w:lang w:val="en-GB"/>
        </w:rPr>
        <w:t xml:space="preserve">coefficient of variation (CV) is computed </w:t>
      </w:r>
      <w:del w:id="171" w:author="Schenk, Denis Elia (ARTORG)" w:date="2021-05-21T10:54:00Z">
        <w:r>
          <w:rPr>
            <w:lang w:val="en-GB"/>
          </w:rPr>
          <w:delText>as presented in</w:delText>
        </w:r>
      </w:del>
      <w:ins w:id="172" w:author="Schenk, Denis Elia (ARTORG)" w:date="2021-05-21T10:54:00Z">
        <w:r>
          <w:rPr>
            <w:lang w:val="en-GB"/>
          </w:rPr>
          <w:t>according to</w:t>
        </w:r>
      </w:ins>
      <w:r>
        <w:rPr>
          <w:lang w:val="en-GB"/>
        </w:rPr>
        <w:t xml:space="preserve"> [Panyasantisuk 2015]: the ROI is divided into eight identical sub</w:t>
      </w:r>
      <w:ins w:id="173" w:author="Schenk, Denis Elia (ARTORG)" w:date="2021-05-21T10:54:00Z">
        <w:r>
          <w:rPr>
            <w:lang w:val="en-GB"/>
          </w:rPr>
          <w:t>-</w:t>
        </w:r>
      </w:ins>
      <w:r>
        <w:rPr>
          <w:lang w:val="en-GB"/>
        </w:rPr>
        <w:t>cubes</w:t>
      </w:r>
      <w:ins w:id="174" w:author="Schenk, Denis Elia (ARTORG)" w:date="2021-05-21T10:54:00Z">
        <w:r>
          <w:rPr>
            <w:lang w:val="en-GB"/>
          </w:rPr>
          <w:t xml:space="preserve"> and </w:t>
        </w:r>
      </w:ins>
      <w:del w:id="175" w:author="Schenk, Denis Elia (ARTORG)" w:date="2021-05-21T10:54:00Z">
        <w:r>
          <w:rPr>
            <w:lang w:val="en-GB"/>
          </w:rPr>
          <w:delText xml:space="preserve">, </w:delText>
        </w:r>
      </w:del>
      <w:r>
        <w:rPr>
          <w:lang w:val="en-GB"/>
        </w:rPr>
        <w:t xml:space="preserve">BV/TV is computed for each </w:t>
      </w:r>
      <w:del w:id="176" w:author="Schenk, Denis Elia (ARTORG)" w:date="2021-05-21T10:54:00Z">
        <w:r>
          <w:rPr>
            <w:lang w:val="en-GB"/>
          </w:rPr>
          <w:delText xml:space="preserve">subcube </w:delText>
        </w:r>
      </w:del>
      <w:ins w:id="177" w:author="Schenk, Denis Elia (ARTORG)" w:date="2021-05-21T10:54:00Z">
        <w:r>
          <w:rPr>
            <w:lang w:val="en-GB"/>
          </w:rPr>
          <w:t xml:space="preserve">of them. </w:t>
        </w:r>
      </w:ins>
      <w:del w:id="178" w:author="Schenk, Denis Elia (ARTORG)" w:date="2021-05-21T10:54:00Z">
        <w:r>
          <w:rPr>
            <w:lang w:val="en-GB"/>
          </w:rPr>
          <w:delText>and the</w:delText>
        </w:r>
      </w:del>
      <w:ins w:id="179" w:author="Schenk, Denis Elia (ARTORG)" w:date="2021-05-21T10:55:00Z">
        <w:r>
          <w:rPr>
            <w:lang w:val="en-GB"/>
          </w:rPr>
          <w:t>The</w:t>
        </w:r>
      </w:ins>
      <w:r>
        <w:rPr>
          <w:lang w:val="en-GB"/>
        </w:rPr>
        <w:t xml:space="preserve"> CV is defined as the ratio between the standard deviation of these BV/TV and the mean value</w:t>
      </w:r>
      <w:ins w:id="180" w:author="Schenk, Denis Elia (ARTORG)" w:date="2021-05-21T10:55:00Z">
        <w:r>
          <w:rPr>
            <w:lang w:val="en-GB"/>
          </w:rPr>
          <w:t xml:space="preserve"> </w:t>
        </w:r>
      </w:ins>
      <w:del w:id="181" w:author="Schenk, Denis Elia (ARTORG)" w:date="2021-05-21T10:55:00Z">
        <w:r>
          <w:rPr>
            <w:lang w:val="en-GB"/>
          </w:rPr>
          <w:delText>, see</w:delText>
        </w:r>
      </w:del>
      <w:ins w:id="182" w:author="Schenk, Denis Elia (ARTORG)" w:date="2021-05-21T10:55:00Z">
        <w:r>
          <w:rPr>
            <w:lang w:val="en-GB"/>
          </w:rPr>
          <w:t>(</w:t>
        </w:r>
      </w:ins>
      <w:del w:id="183" w:author="Schenk, Denis Elia (ARTORG)" w:date="2021-05-21T10:55:00Z">
        <w:r>
          <w:rPr>
            <w:lang w:val="en-GB"/>
          </w:rPr>
          <w:delText xml:space="preserve"> </w:delText>
        </w:r>
      </w:del>
      <w:r>
        <w:rPr>
          <w:lang w:val="en-GB"/>
        </w:rPr>
        <w:t>Equation 3</w:t>
      </w:r>
      <w:ins w:id="184" w:author="Schenk, Denis Elia (ARTORG)" w:date="2021-05-21T10:55:00Z">
        <w:r>
          <w:rPr>
            <w:lang w:val="en-GB"/>
          </w:rPr>
          <w:t>).</w:t>
        </w:r>
      </w:ins>
      <w:del w:id="185" w:author="Schenk, Denis Elia (ARTORG)" w:date="2021-05-21T10:55:00Z">
        <w:r>
          <w:rPr>
            <w:lang w:val="en-GB"/>
          </w:rPr>
          <w:delText xml:space="preserve"> below:</w:delText>
        </w:r>
      </w:del>
    </w:p>
    <w:p>
      <w:pPr>
        <w:pStyle w:val="Normal"/>
        <w:tabs>
          <w:tab w:val="clear" w:pos="708"/>
          <w:tab w:val="left" w:pos="492" w:leader="none"/>
          <w:tab w:val="left" w:pos="2760" w:leader="none"/>
        </w:tabs>
        <w:jc w:val="both"/>
        <w:rPr>
          <w:lang w:val="en-US"/>
        </w:rPr>
      </w:pPr>
      <w:r>
        <w:rPr>
          <w:lang w:val="en-US"/>
        </w:rPr>
      </w:r>
    </w:p>
    <w:p>
      <w:pPr>
        <w:pStyle w:val="Normal"/>
        <w:tabs>
          <w:tab w:val="clear" w:pos="708"/>
          <w:tab w:val="left" w:pos="492" w:leader="none"/>
          <w:tab w:val="left" w:pos="2760" w:leader="none"/>
        </w:tabs>
        <w:jc w:val="both"/>
        <w:rPr>
          <w:lang w:val="en-US"/>
        </w:rPr>
      </w:pPr>
      <w:r>
        <w:rPr>
          <w:b/>
          <w:sz w:val="20"/>
          <w:lang w:val="en-GB"/>
        </w:rPr>
        <w:t>2.4 Statistics</w:t>
      </w:r>
    </w:p>
    <w:p>
      <w:pPr>
        <w:pStyle w:val="Normal"/>
        <w:rPr>
          <w:lang w:val="en-US"/>
        </w:rPr>
      </w:pPr>
      <w:r>
        <w:rPr>
          <w:lang w:val="en-GB"/>
        </w:rPr>
        <w:t xml:space="preserve">The </w:t>
      </w:r>
      <w:ins w:id="186" w:author="Schenk, Denis Elia (ARTORG)" w:date="2021-05-21T10:55:00Z">
        <w:r>
          <w:rPr>
            <w:lang w:val="en-GB"/>
          </w:rPr>
          <w:t xml:space="preserve">analyzed </w:t>
        </w:r>
      </w:ins>
      <w:r>
        <w:rPr>
          <w:lang w:val="en-GB"/>
        </w:rPr>
        <w:t xml:space="preserve">morphological parameters </w:t>
      </w:r>
      <w:del w:id="187" w:author="Schenk, Denis Elia (ARTORG)" w:date="2021-05-21T10:55:00Z">
        <w:r>
          <w:rPr>
            <w:lang w:val="en-GB"/>
          </w:rPr>
          <w:delText xml:space="preserve">analyzed </w:delText>
        </w:r>
      </w:del>
      <w:r>
        <w:rPr>
          <w:lang w:val="en-GB"/>
        </w:rPr>
        <w:t xml:space="preserve">(BV/TV, Tb. N., Tb. Th., Tb. Sp., and Tb. Sp. SD, SMI, DA, and CV) were compared </w:t>
      </w:r>
      <w:del w:id="188" w:author="Schenk, Denis Elia (ARTORG)" w:date="2021-05-21T10:55:00Z">
        <w:r>
          <w:rPr>
            <w:lang w:val="en-GB"/>
          </w:rPr>
          <w:delText xml:space="preserve">for </w:delText>
        </w:r>
      </w:del>
      <w:ins w:id="189" w:author="Schenk, Denis Elia (ARTORG)" w:date="2021-05-21T10:55:00Z">
        <w:r>
          <w:rPr>
            <w:lang w:val="en-GB"/>
          </w:rPr>
          <w:t>between the two groups</w:t>
        </w:r>
      </w:ins>
      <w:del w:id="190" w:author="Schenk, Denis Elia (ARTORG)" w:date="2021-05-21T10:55:00Z">
        <w:r>
          <w:rPr>
            <w:lang w:val="en-GB"/>
          </w:rPr>
          <w:delText>both group</w:delText>
        </w:r>
      </w:del>
      <w:r>
        <w:rPr>
          <w:lang w:val="en-GB"/>
        </w:rPr>
        <w:t xml:space="preserve">. As the </w:t>
      </w:r>
      <w:commentRangeStart w:id="35"/>
      <w:r>
        <w:rPr>
          <w:lang w:val="en-GB"/>
        </w:rPr>
        <w:t xml:space="preserve">initial </w:t>
      </w:r>
      <w:r>
        <w:rPr>
          <w:lang w:val="en-GB"/>
        </w:rPr>
      </w:r>
      <w:commentRangeEnd w:id="35"/>
      <w:r>
        <w:commentReference w:id="35"/>
      </w:r>
      <w:r>
        <w:rPr>
          <w:lang w:val="en-GB"/>
        </w:rPr>
        <w:t xml:space="preserve">groups do not have similar distributions of age and sex, a </w:t>
      </w:r>
      <w:commentRangeStart w:id="36"/>
      <w:r>
        <w:rPr>
          <w:lang w:val="en-GB"/>
        </w:rPr>
        <w:t xml:space="preserve">matching </w:t>
      </w:r>
      <w:r>
        <w:rPr>
          <w:lang w:val="en-GB"/>
        </w:rPr>
      </w:r>
      <w:commentRangeEnd w:id="36"/>
      <w:r>
        <w:commentReference w:id="36"/>
      </w:r>
      <w:r>
        <w:rPr>
          <w:lang w:val="en-GB"/>
        </w:rPr>
        <w:t xml:space="preserve">was performed leading to identical mean and median age as well as identical gender distribution. </w:t>
      </w:r>
      <w:commentRangeStart w:id="37"/>
      <w:r>
        <w:rPr>
          <w:lang w:val="en-GB"/>
        </w:rPr>
        <w:t>Then, the selection of statistical test to perform was executed as follow:</w:t>
      </w:r>
      <w:commentRangeEnd w:id="37"/>
      <w:r>
        <w:commentReference w:id="37"/>
      </w:r>
      <w:r>
        <w:rPr>
          <w:lang w:val="en-GB"/>
        </w:rPr>
      </w:r>
    </w:p>
    <w:p>
      <w:pPr>
        <w:pStyle w:val="Normal"/>
        <w:rPr>
          <w:lang w:val="en-US"/>
        </w:rPr>
      </w:pPr>
      <w:r>
        <w:rPr>
          <w:lang w:val="en-US"/>
        </w:rPr>
      </w:r>
    </w:p>
    <w:p>
      <w:pPr>
        <w:pStyle w:val="ListParagraph"/>
        <w:numPr>
          <w:ilvl w:val="0"/>
          <w:numId w:val="4"/>
        </w:numPr>
        <w:rPr>
          <w:lang w:val="en-US"/>
        </w:rPr>
      </w:pPr>
      <w:r>
        <w:rPr>
          <w:lang w:val="en-GB"/>
        </w:rPr>
        <w:t>For each parameter, the median value between the six ROI of the same individual was computed. The median was preferred over the mean because it is less influenced by outliers.</w:t>
      </w:r>
    </w:p>
    <w:p>
      <w:pPr>
        <w:pStyle w:val="ListParagraph"/>
        <w:numPr>
          <w:ilvl w:val="0"/>
          <w:numId w:val="4"/>
        </w:numPr>
        <w:rPr>
          <w:lang w:val="en-US"/>
        </w:rPr>
      </w:pPr>
      <w:r>
        <w:rPr>
          <w:lang w:val="en-GB"/>
        </w:rPr>
        <w:t>Normality of the distribution was assessed with QQ plot and Shapiro-Wilk test.</w:t>
      </w:r>
    </w:p>
    <w:p>
      <w:pPr>
        <w:pStyle w:val="ListParagraph"/>
        <w:numPr>
          <w:ilvl w:val="0"/>
          <w:numId w:val="4"/>
        </w:numPr>
        <w:rPr>
          <w:lang w:val="en-US"/>
        </w:rPr>
      </w:pPr>
      <w:r>
        <w:rPr>
          <w:lang w:val="en-GB"/>
        </w:rPr>
        <w:t>If normality assumption was met, Bartlett test for equal variances was performed. Otherwise, data were log transformed to try to achieve normal distribution. If even after log transformation, normality assumption was not met, original data space was kept and Brown-Forsythe test was applied to assess the equal variance assumption.</w:t>
      </w:r>
    </w:p>
    <w:p>
      <w:pPr>
        <w:pStyle w:val="ListParagraph"/>
        <w:numPr>
          <w:ilvl w:val="0"/>
          <w:numId w:val="4"/>
        </w:numPr>
        <w:rPr>
          <w:lang w:val="en-US"/>
        </w:rPr>
      </w:pPr>
      <w:r>
        <w:rPr>
          <w:lang w:val="en-GB"/>
        </w:rPr>
        <w:t>According to the previous results, t-test was performed if normal distribution and equal variance were met. If only the equal variances assumption was met, Mann-Whitney test was preferred. Finally, if none of these conditions could be assumed, a non-parametric permutation test was performed.</w:t>
      </w:r>
    </w:p>
    <w:p>
      <w:pPr>
        <w:pStyle w:val="Normal"/>
        <w:rPr>
          <w:lang w:val="en-US"/>
        </w:rPr>
      </w:pPr>
      <w:r>
        <w:rPr>
          <w:lang w:val="en-GB"/>
        </w:rPr>
        <w:t xml:space="preserve">The general significance level was set to 95% for all tests. </w:t>
      </w:r>
      <w:commentRangeStart w:id="38"/>
      <w:r>
        <w:rPr>
          <w:lang w:val="en-GB"/>
        </w:rPr>
        <w:t>Confidence intervals in means difference was computed for t-tested variables to confirm p</w:t>
      </w:r>
      <w:ins w:id="191" w:author="Schenk, Denis Elia (ARTORG)" w:date="2021-05-21T10:58:00Z">
        <w:r>
          <w:rPr>
            <w:lang w:val="en-GB"/>
          </w:rPr>
          <w:t>-</w:t>
        </w:r>
      </w:ins>
      <w:del w:id="192" w:author="Schenk, Denis Elia (ARTORG)" w:date="2021-05-21T10:58:00Z">
        <w:r>
          <w:rPr>
            <w:lang w:val="en-GB"/>
          </w:rPr>
          <w:delText xml:space="preserve"> </w:delText>
        </w:r>
      </w:del>
      <w:r>
        <w:rPr>
          <w:lang w:val="en-GB"/>
        </w:rPr>
        <w:t>values</w:t>
      </w:r>
      <w:r>
        <w:rPr>
          <w:lang w:val="en-GB"/>
        </w:rPr>
      </w:r>
      <w:commentRangeEnd w:id="38"/>
      <w:r>
        <w:commentReference w:id="38"/>
      </w:r>
      <w:r>
        <w:rPr>
          <w:lang w:val="en-GB"/>
        </w:rPr>
        <w:t>. As Mann-Whitney test</w:t>
      </w:r>
      <w:ins w:id="193" w:author="Schenk, Denis Elia (ARTORG)" w:date="2021-05-21T10:58:00Z">
        <w:r>
          <w:rPr>
            <w:lang w:val="en-GB"/>
          </w:rPr>
          <w:t>s are</w:t>
        </w:r>
      </w:ins>
      <w:r>
        <w:rPr>
          <w:lang w:val="en-GB"/>
        </w:rPr>
        <w:t xml:space="preserve"> </w:t>
      </w:r>
      <w:del w:id="194" w:author="Schenk, Denis Elia (ARTORG)" w:date="2021-05-21T10:58:00Z">
        <w:r>
          <w:rPr>
            <w:lang w:val="en-GB"/>
          </w:rPr>
          <w:delText xml:space="preserve">is </w:delText>
        </w:r>
      </w:del>
      <w:r>
        <w:rPr>
          <w:lang w:val="en-GB"/>
        </w:rPr>
        <w:t xml:space="preserve">performed on the median, only </w:t>
      </w:r>
      <w:ins w:id="195" w:author="Schenk, Denis Elia (ARTORG)" w:date="2021-05-21T10:58:00Z">
        <w:r>
          <w:rPr>
            <w:lang w:val="en-GB"/>
          </w:rPr>
          <w:t xml:space="preserve">the </w:t>
        </w:r>
      </w:ins>
      <w:r>
        <w:rPr>
          <w:lang w:val="en-GB"/>
        </w:rPr>
        <w:t>corresponding p</w:t>
      </w:r>
      <w:ins w:id="196" w:author="Schenk, Denis Elia (ARTORG)" w:date="2021-05-21T10:58:00Z">
        <w:r>
          <w:rPr>
            <w:lang w:val="en-GB"/>
          </w:rPr>
          <w:t>-</w:t>
        </w:r>
      </w:ins>
      <w:del w:id="197" w:author="Schenk, Denis Elia (ARTORG)" w:date="2021-05-21T10:58:00Z">
        <w:r>
          <w:rPr>
            <w:lang w:val="en-GB"/>
          </w:rPr>
          <w:delText xml:space="preserve"> </w:delText>
        </w:r>
      </w:del>
      <w:r>
        <w:rPr>
          <w:lang w:val="en-GB"/>
        </w:rPr>
        <w:t xml:space="preserve">value is </w:t>
      </w:r>
      <w:del w:id="198" w:author="Schenk, Denis Elia (ARTORG)" w:date="2021-05-21T10:58:00Z">
        <w:r>
          <w:rPr>
            <w:lang w:val="en-GB"/>
          </w:rPr>
          <w:delText>given</w:delText>
        </w:r>
      </w:del>
      <w:ins w:id="199" w:author="Schenk, Denis Elia (ARTORG)" w:date="2021-05-21T10:58:00Z">
        <w:r>
          <w:rPr>
            <w:lang w:val="en-GB"/>
          </w:rPr>
          <w:t>presented</w:t>
        </w:r>
      </w:ins>
      <w:r>
        <w:rPr>
          <w:lang w:val="en-GB"/>
        </w:rPr>
        <w:t>. Finally, non-parametric permutation test</w:t>
      </w:r>
      <w:ins w:id="200" w:author="Schenk, Denis Elia (ARTORG)" w:date="2021-05-21T10:58:00Z">
        <w:r>
          <w:rPr>
            <w:lang w:val="en-GB"/>
          </w:rPr>
          <w:t>s</w:t>
        </w:r>
      </w:ins>
      <w:r>
        <w:rPr>
          <w:lang w:val="en-GB"/>
        </w:rPr>
        <w:t xml:space="preserve"> </w:t>
      </w:r>
      <w:del w:id="201" w:author="Schenk, Denis Elia (ARTORG)" w:date="2021-05-21T10:58:00Z">
        <w:r>
          <w:rPr>
            <w:lang w:val="en-GB"/>
          </w:rPr>
          <w:delText xml:space="preserve">is </w:delText>
        </w:r>
      </w:del>
      <w:ins w:id="202" w:author="Schenk, Denis Elia (ARTORG)" w:date="2021-05-21T10:58:00Z">
        <w:r>
          <w:rPr>
            <w:lang w:val="en-GB"/>
          </w:rPr>
          <w:t xml:space="preserve">are </w:t>
        </w:r>
      </w:ins>
      <w:r>
        <w:rPr>
          <w:lang w:val="en-GB"/>
        </w:rPr>
        <w:t>less powerful but give an empirical 95% exclusion range and a p</w:t>
      </w:r>
      <w:ins w:id="203" w:author="Schenk, Denis Elia (ARTORG)" w:date="2021-05-21T10:58:00Z">
        <w:r>
          <w:rPr>
            <w:lang w:val="en-GB"/>
          </w:rPr>
          <w:t>-</w:t>
        </w:r>
      </w:ins>
      <w:del w:id="204" w:author="Schenk, Denis Elia (ARTORG)" w:date="2021-05-21T10:58:00Z">
        <w:r>
          <w:rPr>
            <w:lang w:val="en-GB"/>
          </w:rPr>
          <w:delText xml:space="preserve"> </w:delText>
        </w:r>
      </w:del>
      <w:r>
        <w:rPr>
          <w:lang w:val="en-GB"/>
        </w:rPr>
        <w:t>value. If the difference in means belong to this exclusion range, it can be stated that group means are different with 95% certainty.</w:t>
      </w:r>
    </w:p>
    <w:p>
      <w:pPr>
        <w:pStyle w:val="Normal"/>
        <w:tabs>
          <w:tab w:val="clear" w:pos="708"/>
          <w:tab w:val="left" w:pos="492" w:leader="none"/>
          <w:tab w:val="left" w:pos="2760" w:leader="none"/>
        </w:tabs>
        <w:jc w:val="both"/>
        <w:rPr>
          <w:lang w:val="en-US"/>
        </w:rPr>
      </w:pPr>
      <w:r>
        <w:rPr>
          <w:lang w:val="en-US"/>
        </w:rPr>
      </w:r>
    </w:p>
    <w:p>
      <w:pPr>
        <w:pStyle w:val="Normal"/>
        <w:tabs>
          <w:tab w:val="clear" w:pos="708"/>
          <w:tab w:val="left" w:pos="492" w:leader="none"/>
          <w:tab w:val="left" w:pos="2760" w:leader="none"/>
        </w:tabs>
        <w:jc w:val="both"/>
        <w:rPr>
          <w:lang w:val="en-US"/>
        </w:rPr>
      </w:pPr>
      <w:r>
        <w:rPr>
          <w:b/>
          <w:sz w:val="20"/>
          <w:lang w:val="en-GB"/>
        </w:rPr>
        <w:t>2.5 Fit to model</w:t>
      </w:r>
    </w:p>
    <w:p>
      <w:pPr>
        <w:pStyle w:val="Normal"/>
        <w:pPrChange w:id="0" w:author="Schenk, Denis Elia (ARTORG)" w:date="2021-05-21T10:59:00Z">
          <w:pPr>
            <w:jc w:val="both"/>
            <w:tabs>
              <w:tab w:val="left" w:pos="492" w:leader="none"/>
              <w:tab w:val="left" w:pos="2760" w:leader="none"/>
            </w:tabs>
          </w:pPr>
        </w:pPrChange>
        <w:rPr>
          <w:lang w:val="en-US"/>
        </w:rPr>
      </w:pPr>
      <w:r>
        <w:rPr>
          <w:lang w:val="en-GB"/>
        </w:rPr>
        <w:t xml:space="preserve">The stiffness tensors obtained from the mechanical simulations were </w:t>
      </w:r>
      <w:commentRangeStart w:id="39"/>
      <w:r>
        <w:rPr>
          <w:lang w:val="en-GB"/>
        </w:rPr>
        <w:t>transformed into fabric coordinate system and projected onto orthotropy</w:t>
      </w:r>
      <w:r>
        <w:rPr>
          <w:lang w:val="en-GB"/>
        </w:rPr>
      </w:r>
      <w:commentRangeEnd w:id="39"/>
      <w:r>
        <w:commentReference w:id="39"/>
      </w:r>
      <w:r>
        <w:rPr>
          <w:lang w:val="en-GB"/>
        </w:rPr>
        <w:t xml:space="preserve">, leading to 12 components. The resulting orthotropic stiffness tensors were then used to perform a multiple linear regression </w:t>
      </w:r>
      <w:del w:id="205" w:author="Schenk, Denis Elia (ARTORG)" w:date="2021-05-21T10:59:00Z">
        <w:r>
          <w:rPr>
            <w:lang w:val="en-GB"/>
          </w:rPr>
          <w:delText xml:space="preserve">on </w:delText>
        </w:r>
      </w:del>
      <w:ins w:id="206" w:author="Schenk, Denis Elia (ARTORG)" w:date="2021-05-21T10:59:00Z">
        <w:r>
          <w:rPr>
            <w:lang w:val="en-GB"/>
          </w:rPr>
          <w:t xml:space="preserve">with </w:t>
        </w:r>
      </w:ins>
      <w:r>
        <w:rPr>
          <w:lang w:val="en-GB"/>
        </w:rPr>
        <w:t xml:space="preserve">the Zysset-Curnier model. Standard linear models assume independent and identically distributed (iid) variables. As this assumption is violated by the fact that six ROIs are analyzed </w:t>
      </w:r>
      <w:del w:id="207" w:author="Schenk, Denis Elia (ARTORG)" w:date="2021-05-21T11:00:00Z">
        <w:r>
          <w:rPr>
            <w:lang w:val="en-GB"/>
          </w:rPr>
          <w:delText>by individual</w:delText>
        </w:r>
      </w:del>
      <w:ins w:id="208" w:author="Schenk, Denis Elia (ARTORG)" w:date="2021-05-21T11:00:00Z">
        <w:r>
          <w:rPr>
            <w:lang w:val="en-GB"/>
          </w:rPr>
          <w:t>individually</w:t>
        </w:r>
      </w:ins>
      <w:r>
        <w:rPr>
          <w:lang w:val="en-GB"/>
        </w:rPr>
        <w:t xml:space="preserve">, a linear mixed-effect model was preferred. This last model, shown in Equation 4 in Laird-Ware form [Laird 1982], </w:t>
      </w:r>
      <w:del w:id="209" w:author="Schenk, Denis Elia (ARTORG)" w:date="2021-05-21T11:00:00Z">
        <w:r>
          <w:rPr>
            <w:lang w:val="en-GB"/>
          </w:rPr>
          <w:delText>takes into account</w:delText>
        </w:r>
      </w:del>
      <w:ins w:id="210" w:author="Schenk, Denis Elia (ARTORG)" w:date="2021-05-21T11:00:00Z">
        <w:r>
          <w:rPr>
            <w:lang w:val="en-GB"/>
          </w:rPr>
          <w:t>considers</w:t>
        </w:r>
      </w:ins>
      <w:r>
        <w:rPr>
          <w:lang w:val="en-GB"/>
        </w:rPr>
        <w:t xml:space="preserve"> the non-independence of ROIs from the same individual. </w:t>
      </w:r>
      <w:ins w:id="211" w:author="Schenk, Denis Elia (ARTORG)" w:date="2021-05-21T11:00:00Z">
        <w:r>
          <w:rPr>
            <w:lang w:val="en-GB"/>
          </w:rPr>
          <w:t>A more d</w:t>
        </w:r>
      </w:ins>
      <w:del w:id="212" w:author="Schenk, Denis Elia (ARTORG)" w:date="2021-05-21T11:00:00Z">
        <w:r>
          <w:rPr>
            <w:lang w:val="en-GB"/>
          </w:rPr>
          <w:delText>D</w:delText>
        </w:r>
      </w:del>
      <w:r>
        <w:rPr>
          <w:lang w:val="en-GB"/>
        </w:rPr>
        <w:t>etailed form of this model is presented in Appendix A1.</w:t>
      </w:r>
    </w:p>
    <w:p>
      <w:pPr>
        <w:pStyle w:val="Normal"/>
        <w:tabs>
          <w:tab w:val="clear" w:pos="708"/>
          <w:tab w:val="left" w:pos="492" w:leader="none"/>
          <w:tab w:val="left" w:pos="2760" w:leader="none"/>
        </w:tabs>
        <w:jc w:val="both"/>
        <w:rPr>
          <w:lang w:val="en-US"/>
        </w:rPr>
      </w:pPr>
      <w:r>
        <w:rPr>
          <w:lang w:val="en-US"/>
        </w:rPr>
      </w:r>
    </w:p>
    <w:p>
      <w:pPr>
        <w:pStyle w:val="Normal"/>
        <w:tabs>
          <w:tab w:val="clear" w:pos="708"/>
          <w:tab w:val="left" w:pos="492" w:leader="none"/>
          <w:tab w:val="left" w:pos="2760" w:leader="none"/>
        </w:tabs>
        <w:jc w:val="right"/>
        <w:rPr/>
      </w:pPr>
      <w:r>
        <w:rPr/>
        <w:drawing>
          <wp:inline distT="0" distB="0" distL="0" distR="0">
            <wp:extent cx="2628900" cy="226695"/>
            <wp:effectExtent l="0" t="0" r="0" b="0"/>
            <wp:docPr id="3" nam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descr=""/>
                    <pic:cNvPicPr>
                      <a:picLocks noChangeAspect="1" noChangeArrowheads="1"/>
                    </pic:cNvPicPr>
                  </pic:nvPicPr>
                  <pic:blipFill>
                    <a:blip r:embed="rId4"/>
                    <a:stretch>
                      <a:fillRect/>
                    </a:stretch>
                  </pic:blipFill>
                  <pic:spPr bwMode="auto">
                    <a:xfrm>
                      <a:off x="0" y="0"/>
                      <a:ext cx="2628900" cy="226695"/>
                    </a:xfrm>
                    <a:prstGeom prst="rect">
                      <a:avLst/>
                    </a:prstGeom>
                  </pic:spPr>
                </pic:pic>
              </a:graphicData>
            </a:graphic>
          </wp:inline>
        </w:drawing>
      </w:r>
    </w:p>
    <w:p>
      <w:pPr>
        <w:pStyle w:val="Normal"/>
        <w:tabs>
          <w:tab w:val="clear" w:pos="708"/>
          <w:tab w:val="left" w:pos="492" w:leader="none"/>
          <w:tab w:val="left" w:pos="2760" w:leader="none"/>
        </w:tabs>
        <w:rPr/>
      </w:pPr>
      <w:r>
        <w:rPr/>
      </w:r>
    </w:p>
    <w:p>
      <w:pPr>
        <w:pStyle w:val="Normal"/>
        <w:pPrChange w:id="0" w:author="Schenk, Denis Elia (ARTORG)" w:date="2021-05-21T11:00:00Z">
          <w:pPr>
            <w:jc w:val="both"/>
            <w:tabs>
              <w:tab w:val="left" w:pos="492" w:leader="none"/>
              <w:tab w:val="left" w:pos="2760" w:leader="none"/>
            </w:tabs>
          </w:pPr>
        </w:pPrChange>
        <w:rPr>
          <w:lang w:val="en-US"/>
        </w:rPr>
      </w:pPr>
      <w:r>
        <w:rPr>
          <w:lang w:val="en-GB"/>
        </w:rPr>
        <w:t xml:space="preserve">Where </w:t>
      </w:r>
      <w:r>
        <w:rPr>
          <w:i/>
          <w:lang w:val="en-GB"/>
        </w:rPr>
        <w:t>S</w:t>
      </w:r>
      <w:r>
        <w:rPr>
          <w:i/>
          <w:vertAlign w:val="subscript"/>
          <w:lang w:val="en-GB"/>
        </w:rPr>
        <w:t>rc</w:t>
      </w:r>
      <w:r>
        <w:rPr>
          <w:lang w:val="en-GB"/>
        </w:rPr>
        <w:t xml:space="preserve"> is the </w:t>
      </w:r>
      <w:r>
        <w:rPr>
          <w:i/>
          <w:lang w:val="en-GB"/>
        </w:rPr>
        <w:t>r</w:t>
      </w:r>
      <w:r>
        <w:rPr>
          <w:lang w:val="en-GB"/>
        </w:rPr>
        <w:t xml:space="preserve">th row and </w:t>
      </w:r>
      <w:r>
        <w:rPr>
          <w:i/>
          <w:lang w:val="en-GB"/>
        </w:rPr>
        <w:t>c</w:t>
      </w:r>
      <w:r>
        <w:rPr>
          <w:lang w:val="en-GB"/>
        </w:rPr>
        <w:t xml:space="preserve">th column of the non-zero element of the orthotropic stiffness tensor </w:t>
      </w:r>
      <w:r>
        <w:rPr>
          <w:rFonts w:cs="Cambria Math" w:ascii="Cambria Math" w:hAnsi="Cambria Math"/>
          <w:lang w:val="en-GB"/>
        </w:rPr>
        <w:t>𝕊</w:t>
      </w:r>
      <w:r>
        <w:rPr>
          <w:lang w:val="en-GB"/>
        </w:rPr>
        <w:t xml:space="preserve"> in Mandel notation [MANDEL 1965], </w:t>
      </w:r>
      <w:r>
        <w:rPr>
          <w:i/>
          <w:lang w:val="en-GB"/>
        </w:rPr>
        <w:t>X</w:t>
      </w:r>
      <w:r>
        <w:rPr>
          <w:lang w:val="en-GB"/>
        </w:rPr>
        <w:t xml:space="preserve"> is a 12</w:t>
      </w:r>
      <w:r>
        <w:rPr>
          <w:i/>
          <w:lang w:val="en-GB"/>
        </w:rPr>
        <w:t xml:space="preserve">n </w:t>
      </w:r>
      <w:r>
        <w:rPr>
          <w:lang w:val="en-GB"/>
        </w:rPr>
        <w:t xml:space="preserve">x </w:t>
      </w:r>
      <w:r>
        <w:rPr>
          <w:i/>
          <w:lang w:val="en-GB"/>
        </w:rPr>
        <w:t>p</w:t>
      </w:r>
      <w:r>
        <w:rPr>
          <w:lang w:val="en-GB"/>
        </w:rPr>
        <w:t xml:space="preserve"> design matrix containing the the BV/TV and fabric info of the </w:t>
      </w:r>
      <w:r>
        <w:rPr>
          <w:i/>
          <w:lang w:val="en-GB"/>
        </w:rPr>
        <w:t>n</w:t>
      </w:r>
      <w:r>
        <w:rPr>
          <w:lang w:val="en-GB"/>
        </w:rPr>
        <w:t xml:space="preserve"> ROIs and </w:t>
      </w:r>
      <w:r>
        <w:rPr>
          <w:rFonts w:cs="Latin Modern Math" w:ascii="Latin Modern Math" w:hAnsi="Latin Modern Math"/>
          <w:i/>
          <w:lang w:val="en-GB"/>
        </w:rPr>
        <w:t>β</w:t>
      </w:r>
      <w:r>
        <w:rPr>
          <w:lang w:val="en-GB"/>
        </w:rPr>
        <w:t xml:space="preserve"> is a </w:t>
      </w:r>
      <w:r>
        <w:rPr>
          <w:i/>
          <w:lang w:val="en-GB"/>
        </w:rPr>
        <w:t xml:space="preserve">p </w:t>
      </w:r>
      <w:r>
        <w:rPr>
          <w:lang w:val="en-GB"/>
        </w:rPr>
        <w:t xml:space="preserve">x1 vector of fixed effects containing model parameters. </w:t>
      </w:r>
      <w:r>
        <w:rPr>
          <w:i/>
          <w:lang w:val="en-GB"/>
        </w:rPr>
        <w:t>Z</w:t>
      </w:r>
      <w:r>
        <w:rPr>
          <w:lang w:val="en-GB"/>
        </w:rPr>
        <w:t xml:space="preserve"> is a 12</w:t>
      </w:r>
      <w:r>
        <w:rPr>
          <w:i/>
          <w:lang w:val="en-GB"/>
        </w:rPr>
        <w:t xml:space="preserve">n </w:t>
      </w:r>
      <w:r>
        <w:rPr>
          <w:lang w:val="en-GB"/>
        </w:rPr>
        <w:t xml:space="preserve">x </w:t>
      </w:r>
      <w:r>
        <w:rPr>
          <w:i/>
          <w:lang w:val="en-GB"/>
        </w:rPr>
        <w:t>f</w:t>
      </w:r>
      <w:r>
        <w:rPr>
          <w:lang w:val="en-GB"/>
        </w:rPr>
        <w:t xml:space="preserve"> design matrix which contains data with individual dependence and </w:t>
      </w:r>
      <w:r>
        <w:rPr>
          <w:rFonts w:cs="Latin Modern Math" w:ascii="Latin Modern Math" w:hAnsi="Latin Modern Math"/>
          <w:i/>
          <w:lang w:val="fr-CH"/>
        </w:rPr>
        <w:t>δ</w:t>
      </w:r>
      <w:r>
        <w:rPr>
          <w:lang w:val="en-GB"/>
        </w:rPr>
        <w:t xml:space="preserve"> is a </w:t>
      </w:r>
      <w:r>
        <w:rPr>
          <w:i/>
          <w:lang w:val="en-GB"/>
        </w:rPr>
        <w:t xml:space="preserve">f </w:t>
      </w:r>
      <w:r>
        <w:rPr>
          <w:lang w:val="en-GB"/>
        </w:rPr>
        <w:t xml:space="preserve">x1 vector composed of random factors. Finally, </w:t>
      </w:r>
      <w:r>
        <w:rPr>
          <w:rFonts w:cs="Latin Modern Math" w:ascii="Latin Modern Math" w:hAnsi="Latin Modern Math"/>
          <w:i/>
          <w:lang w:val="fr-CH"/>
        </w:rPr>
        <w:t>ε</w:t>
      </w:r>
      <w:r>
        <w:rPr>
          <w:lang w:val="en-GB"/>
        </w:rPr>
        <w:t xml:space="preserve"> is a 12</w:t>
      </w:r>
      <w:r>
        <w:rPr>
          <w:i/>
          <w:lang w:val="en-GB"/>
        </w:rPr>
        <w:t xml:space="preserve">n </w:t>
      </w:r>
      <w:r>
        <w:rPr>
          <w:lang w:val="en-GB"/>
        </w:rPr>
        <w:t>x1 vector containing the regression residuals.</w:t>
      </w:r>
    </w:p>
    <w:p>
      <w:pPr>
        <w:pStyle w:val="Normal"/>
        <w:tabs>
          <w:tab w:val="clear" w:pos="708"/>
          <w:tab w:val="left" w:pos="492" w:leader="none"/>
          <w:tab w:val="left" w:pos="2760" w:leader="none"/>
        </w:tabs>
        <w:rPr>
          <w:lang w:val="en-US"/>
        </w:rPr>
      </w:pPr>
      <w:r>
        <w:rPr>
          <w:lang w:val="en-US"/>
        </w:rPr>
      </w:r>
    </w:p>
    <w:p>
      <w:pPr>
        <w:pStyle w:val="Normal"/>
        <w:pPrChange w:id="0" w:author="Schenk, Denis Elia (ARTORG)" w:date="2021-05-21T11:01:00Z">
          <w:pPr>
            <w:jc w:val="both"/>
            <w:tabs>
              <w:tab w:val="left" w:pos="492" w:leader="none"/>
              <w:tab w:val="left" w:pos="2760" w:leader="none"/>
            </w:tabs>
          </w:pPr>
        </w:pPrChange>
        <w:rPr>
          <w:lang w:val="en-US"/>
        </w:rPr>
      </w:pPr>
      <w:r>
        <w:rPr>
          <w:lang w:val="en-GB"/>
        </w:rPr>
        <w:t xml:space="preserve">The linear regression was performed on both group (healthy and OI) separately. To improve the fit quality, the data sets were filtered. The aim here is to filter out ROIs </w:t>
      </w:r>
      <w:del w:id="213" w:author="Schenk, Denis Elia (ARTORG)" w:date="2021-05-21T11:01:00Z">
        <w:r>
          <w:rPr>
            <w:lang w:val="en-GB"/>
          </w:rPr>
          <w:delText>whose are too far from</w:delText>
        </w:r>
      </w:del>
      <w:ins w:id="214" w:author="Schenk, Denis Elia (ARTORG)" w:date="2021-05-21T11:01:00Z">
        <w:r>
          <w:rPr>
            <w:lang w:val="en-GB"/>
          </w:rPr>
          <w:t>violating</w:t>
        </w:r>
      </w:ins>
      <w:r>
        <w:rPr>
          <w:lang w:val="en-GB"/>
        </w:rPr>
        <w:t xml:space="preserve"> the assumption of homogeneity. Therefore, analogously to the work of [Panyasantisuk 2015], a fixed threshold for the CV was used. To simplify comparison, </w:t>
      </w:r>
      <w:del w:id="215" w:author="Schenk, Denis Elia (ARTORG)" w:date="2021-05-21T11:01:00Z">
        <w:r>
          <w:rPr>
            <w:lang w:val="en-GB"/>
          </w:rPr>
          <w:delText xml:space="preserve">the same </w:delText>
        </w:r>
      </w:del>
      <w:ins w:id="216" w:author="Schenk, Denis Elia (ARTORG)" w:date="2021-05-21T11:01:00Z">
        <w:r>
          <w:rPr>
            <w:lang w:val="en-GB"/>
          </w:rPr>
          <w:t>we used the sa</w:t>
        </w:r>
      </w:ins>
      <w:ins w:id="217" w:author="Schenk, Denis Elia (ARTORG)" w:date="2021-05-21T11:02:00Z">
        <w:r>
          <w:rPr>
            <w:lang w:val="en-GB"/>
          </w:rPr>
          <w:t xml:space="preserve">me </w:t>
        </w:r>
      </w:ins>
      <w:r>
        <w:rPr>
          <w:lang w:val="en-GB"/>
        </w:rPr>
        <w:t xml:space="preserve">value of 0.263 </w:t>
      </w:r>
      <w:del w:id="218" w:author="Schenk, Denis Elia (ARTORG)" w:date="2021-05-21T11:02:00Z">
        <w:r>
          <w:rPr>
            <w:lang w:val="en-GB"/>
          </w:rPr>
          <w:delText xml:space="preserve">was fixed </w:delText>
        </w:r>
      </w:del>
      <w:r>
        <w:rPr>
          <w:lang w:val="en-GB"/>
        </w:rPr>
        <w:t xml:space="preserve">as exclusion criterion. </w:t>
      </w:r>
      <w:del w:id="219" w:author="Schenk, Denis Elia (ARTORG)" w:date="2021-05-21T11:02:00Z">
        <w:r>
          <w:rPr>
            <w:lang w:val="en-GB"/>
          </w:rPr>
          <w:delText>Besides, the</w:delText>
        </w:r>
      </w:del>
      <w:ins w:id="220" w:author="Schenk, Denis Elia (ARTORG)" w:date="2021-05-21T11:02:00Z">
        <w:r>
          <w:rPr>
            <w:lang w:val="en-GB"/>
          </w:rPr>
          <w:t>Then the</w:t>
        </w:r>
      </w:ins>
      <w:r>
        <w:rPr>
          <w:lang w:val="en-GB"/>
        </w:rPr>
        <w:t xml:space="preserve"> relation between BV/TV and CV was assessed using Spearman's correlation coefficient.</w:t>
      </w:r>
      <w:del w:id="221" w:author="Schenk, Denis Elia (ARTORG)" w:date="2021-05-21T11:02:00Z">
        <w:r>
          <w:rPr>
            <w:lang w:val="en-GB"/>
          </w:rPr>
          <w:delText xml:space="preserve"> Furthermore</w:delText>
        </w:r>
      </w:del>
      <w:r>
        <w:rPr>
          <w:lang w:val="en-GB"/>
        </w:rPr>
        <w:t>,</w:t>
      </w:r>
      <w:ins w:id="222" w:author="Schenk, Denis Elia (ARTORG)" w:date="2021-05-21T11:02:00Z">
        <w:r>
          <w:rPr>
            <w:lang w:val="en-GB"/>
          </w:rPr>
          <w:t xml:space="preserve"> T</w:t>
        </w:r>
      </w:ins>
      <w:del w:id="223" w:author="Schenk, Denis Elia (ARTORG)" w:date="2021-05-21T11:02:00Z">
        <w:r>
          <w:rPr>
            <w:lang w:val="en-GB"/>
          </w:rPr>
          <w:delText xml:space="preserve"> t</w:delText>
        </w:r>
      </w:del>
      <w:r>
        <w:rPr>
          <w:lang w:val="en-GB"/>
        </w:rPr>
        <w:t>o compare the stiffness constants (</w:t>
      </w:r>
      <w:r>
        <w:rPr>
          <w:rFonts w:cs="Latin Modern Math" w:ascii="Latin Modern Math" w:hAnsi="Latin Modern Math"/>
          <w:i/>
          <w:lang w:val="en-GB"/>
        </w:rPr>
        <w:t>λ</w:t>
      </w:r>
      <w:r>
        <w:rPr>
          <w:rFonts w:cs="Latin Modern Math" w:ascii="Latin Modern Math" w:hAnsi="Latin Modern Math"/>
          <w:i/>
          <w:vertAlign w:val="subscript"/>
          <w:lang w:val="en-GB"/>
        </w:rPr>
        <w:t>0</w:t>
      </w:r>
      <w:r>
        <w:rPr>
          <w:lang w:val="en-GB"/>
        </w:rPr>
        <w:t xml:space="preserve">, </w:t>
      </w:r>
      <w:r>
        <w:rPr>
          <w:rFonts w:cs="Latin Modern Math" w:ascii="Latin Modern Math" w:hAnsi="Latin Modern Math"/>
          <w:i/>
          <w:lang w:val="fr-CH"/>
        </w:rPr>
        <w:t>λ</w:t>
      </w:r>
      <w:r>
        <w:rPr>
          <w:rFonts w:cs="Latin Modern Math" w:ascii="Latin Modern Math" w:hAnsi="Latin Modern Math"/>
          <w:i/>
          <w:vertAlign w:val="subscript"/>
          <w:lang w:val="fr-CH"/>
        </w:rPr>
        <w:t>0</w:t>
      </w:r>
      <w:r>
        <w:rPr>
          <w:i/>
          <w:lang w:val="en-GB"/>
        </w:rPr>
        <w:t>'</w:t>
      </w:r>
      <w:r>
        <w:rPr>
          <w:lang w:val="en-GB"/>
        </w:rPr>
        <w:t xml:space="preserve">, and </w:t>
      </w:r>
      <w:r>
        <w:rPr>
          <w:rFonts w:cs="Latin Modern Math" w:ascii="Latin Modern Math" w:hAnsi="Latin Modern Math"/>
          <w:i/>
          <w:lang w:val="fr-CH"/>
        </w:rPr>
        <w:t>μ</w:t>
      </w:r>
      <w:r>
        <w:rPr>
          <w:rFonts w:cs="Latin Modern Math" w:ascii="Latin Modern Math" w:hAnsi="Latin Modern Math"/>
          <w:i/>
          <w:vertAlign w:val="subscript"/>
          <w:lang w:val="fr-CH"/>
        </w:rPr>
        <w:t>0</w:t>
      </w:r>
      <w:r>
        <w:rPr>
          <w:lang w:val="en-GB"/>
        </w:rPr>
        <w:t xml:space="preserve">) between the groups, regression must be performed on identical value ranges. </w:t>
      </w:r>
      <w:del w:id="224" w:author="Schenk, Denis Elia (ARTORG)" w:date="2021-05-21T11:02:00Z">
        <w:r>
          <w:rPr>
            <w:lang w:val="en-GB"/>
          </w:rPr>
          <w:delText>To do this</w:delText>
        </w:r>
      </w:del>
      <w:ins w:id="225" w:author="Schenk, Denis Elia (ARTORG)" w:date="2021-05-21T11:02:00Z">
        <w:r>
          <w:rPr>
            <w:lang w:val="en-GB"/>
          </w:rPr>
          <w:t>Therefore</w:t>
        </w:r>
      </w:ins>
      <w:r>
        <w:rPr>
          <w:lang w:val="en-GB"/>
        </w:rPr>
        <w:t xml:space="preserve">, a matching was performed for BV/TV and </w:t>
      </w:r>
      <w:commentRangeStart w:id="40"/>
      <w:r>
        <w:rPr>
          <w:lang w:val="en-GB"/>
        </w:rPr>
        <w:t>DA</w:t>
      </w:r>
      <w:r>
        <w:rPr>
          <w:lang w:val="en-GB"/>
        </w:rPr>
      </w:r>
      <w:commentRangeEnd w:id="40"/>
      <w:r>
        <w:commentReference w:id="40"/>
      </w:r>
      <w:r>
        <w:rPr>
          <w:lang w:val="en-GB"/>
        </w:rPr>
        <w:t xml:space="preserve"> to find corresponding control ROI for each OI in the filtered groups. Best correspondences were kept and duplicates were dropped. Finally, as the regression is performed in the log space, it is necessary to use identical exponent</w:t>
      </w:r>
      <w:ins w:id="226" w:author="Schenk, Denis Elia (ARTORG)" w:date="2021-05-21T11:03:00Z">
        <w:r>
          <w:rPr>
            <w:lang w:val="en-GB"/>
          </w:rPr>
          <w:t>s</w:t>
        </w:r>
      </w:ins>
      <w:r>
        <w:rPr>
          <w:lang w:val="en-GB"/>
        </w:rPr>
        <w:t xml:space="preserve"> (</w:t>
      </w:r>
      <w:r>
        <w:rPr>
          <w:i/>
          <w:lang w:val="en-GB"/>
        </w:rPr>
        <w:t>k</w:t>
      </w:r>
      <w:r>
        <w:rPr>
          <w:lang w:val="en-GB"/>
        </w:rPr>
        <w:t xml:space="preserve"> and </w:t>
      </w:r>
      <w:r>
        <w:rPr>
          <w:i/>
          <w:lang w:val="en-GB"/>
        </w:rPr>
        <w:t>l</w:t>
      </w:r>
      <w:r>
        <w:rPr>
          <w:lang w:val="en-GB"/>
        </w:rPr>
        <w:t>) for both group</w:t>
      </w:r>
      <w:ins w:id="227" w:author="Schenk, Denis Elia (ARTORG)" w:date="2021-05-21T11:03:00Z">
        <w:r>
          <w:rPr>
            <w:lang w:val="en-GB"/>
          </w:rPr>
          <w:t>s</w:t>
        </w:r>
      </w:ins>
      <w:r>
        <w:rPr>
          <w:lang w:val="en-GB"/>
        </w:rPr>
        <w:t xml:space="preserve">, weighting identically BV/TV and </w:t>
      </w:r>
      <w:commentRangeStart w:id="41"/>
      <w:r>
        <w:rPr>
          <w:lang w:val="en-GB"/>
        </w:rPr>
        <w:t xml:space="preserve">DA </w:t>
      </w:r>
      <w:r>
        <w:rPr>
          <w:lang w:val="en-GB"/>
        </w:rPr>
      </w:r>
      <w:commentRangeEnd w:id="41"/>
      <w:r>
        <w:commentReference w:id="41"/>
      </w:r>
      <w:r>
        <w:rPr>
          <w:lang w:val="en-GB"/>
        </w:rPr>
        <w:t xml:space="preserve">between regressions, to compare stiffness constants. The exponents were determined by grouping healthy and OI for regression. Then a modified system </w:t>
      </w:r>
      <w:del w:id="228" w:author="Schenk, Denis Elia (ARTORG)" w:date="2021-05-21T11:03:00Z">
        <w:r>
          <w:rPr>
            <w:lang w:val="en-GB"/>
          </w:rPr>
          <w:delText xml:space="preserve">is </w:delText>
        </w:r>
      </w:del>
      <w:ins w:id="229" w:author="Schenk, Denis Elia (ARTORG)" w:date="2021-05-21T11:03:00Z">
        <w:r>
          <w:rPr>
            <w:lang w:val="en-GB"/>
          </w:rPr>
          <w:t xml:space="preserve">was </w:t>
        </w:r>
      </w:ins>
      <w:r>
        <w:rPr>
          <w:lang w:val="en-GB"/>
        </w:rPr>
        <w:t>used to perform the fit on separated groups.</w:t>
      </w:r>
    </w:p>
    <w:p>
      <w:pPr>
        <w:pStyle w:val="Normal"/>
        <w:tabs>
          <w:tab w:val="clear" w:pos="708"/>
          <w:tab w:val="left" w:pos="492" w:leader="none"/>
          <w:tab w:val="left" w:pos="2760" w:leader="none"/>
        </w:tabs>
        <w:rPr>
          <w:lang w:val="en-US"/>
        </w:rPr>
      </w:pPr>
      <w:r>
        <w:rPr>
          <w:lang w:val="en-US"/>
        </w:rPr>
      </w:r>
    </w:p>
    <w:p>
      <w:pPr>
        <w:pStyle w:val="Normal"/>
        <w:pPrChange w:id="0" w:author="Schenk, Denis Elia (ARTORG)" w:date="2021-05-21T11:04:00Z">
          <w:pPr>
            <w:jc w:val="both"/>
            <w:tabs>
              <w:tab w:val="left" w:pos="492" w:leader="none"/>
              <w:tab w:val="left" w:pos="2760" w:leader="none"/>
            </w:tabs>
          </w:pPr>
        </w:pPrChange>
        <w:rPr>
          <w:lang w:val="en-US"/>
        </w:rPr>
      </w:pPr>
      <w:r>
        <w:rPr>
          <w:lang w:val="en-GB"/>
        </w:rPr>
        <w:t xml:space="preserve">Another modification of the model </w:t>
      </w:r>
      <w:del w:id="230" w:author="Schenk, Denis Elia (ARTORG)" w:date="2021-05-21T11:04:00Z">
        <w:r>
          <w:rPr>
            <w:lang w:val="en-GB"/>
          </w:rPr>
          <w:delText xml:space="preserve">is </w:delText>
        </w:r>
      </w:del>
      <w:ins w:id="231" w:author="Schenk, Denis Elia (ARTORG)" w:date="2021-05-21T11:04:00Z">
        <w:r>
          <w:rPr>
            <w:lang w:val="en-GB"/>
          </w:rPr>
          <w:t xml:space="preserve">was </w:t>
        </w:r>
      </w:ins>
      <w:r>
        <w:rPr>
          <w:lang w:val="en-GB"/>
        </w:rPr>
        <w:t xml:space="preserve">to add a regressor for the group variable (healthy or OI), i.e. add a column to the design matrix </w:t>
      </w:r>
      <w:r>
        <w:rPr>
          <w:i/>
          <w:lang w:val="en-GB"/>
        </w:rPr>
        <w:t>X</w:t>
      </w:r>
      <w:r>
        <w:rPr>
          <w:lang w:val="en-GB"/>
        </w:rPr>
        <w:t xml:space="preserve"> and a row to the parameter vector </w:t>
      </w:r>
      <w:r>
        <w:rPr>
          <w:rFonts w:cs="Latin Modern Math" w:ascii="Latin Modern Math" w:hAnsi="Latin Modern Math"/>
          <w:i/>
          <w:lang w:val="fr-CH"/>
        </w:rPr>
        <w:t>β</w:t>
      </w:r>
      <w:r>
        <w:rPr>
          <w:lang w:val="en-GB"/>
        </w:rPr>
        <w:t>. This modified model is compared to the original by analysis of covariance (ANCOVA) using the fixed-effects only to determine the statistical significance of the group. Implementation of this modification was performed according to [Fox 2016]. The detailed linear systems for each model discussed here are available in Appendix A1 and a summary of the data sets used for the different methods is shown in Table 1.</w:t>
      </w:r>
    </w:p>
    <w:p>
      <w:pPr>
        <w:pStyle w:val="Normal"/>
        <w:tabs>
          <w:tab w:val="clear" w:pos="708"/>
          <w:tab w:val="left" w:pos="492" w:leader="none"/>
          <w:tab w:val="left" w:pos="2760" w:leader="none"/>
        </w:tabs>
        <w:rPr>
          <w:lang w:val="en-US"/>
        </w:rPr>
      </w:pPr>
      <w:r>
        <w:rPr>
          <w:lang w:val="en-US"/>
        </w:rPr>
      </w:r>
    </w:p>
    <w:p>
      <w:pPr>
        <w:pStyle w:val="Normal"/>
        <w:pPrChange w:id="0" w:author="Schenk, Denis Elia (ARTORG)" w:date="2021-05-21T11:04:00Z">
          <w:pPr>
            <w:jc w:val="both"/>
            <w:tabs>
              <w:tab w:val="left" w:pos="492" w:leader="none"/>
              <w:tab w:val="left" w:pos="2760" w:leader="none"/>
            </w:tabs>
          </w:pPr>
        </w:pPrChange>
        <w:rPr>
          <w:lang w:val="en-US"/>
        </w:rPr>
      </w:pPr>
      <w:r>
        <w:rPr>
          <w:lang w:val="en-GB"/>
        </w:rPr>
        <w:t xml:space="preserve">The regression was performed using the </w:t>
      </w:r>
      <w:r>
        <w:rPr>
          <w:rFonts w:cs="Go Smallcaps" w:ascii="Go Smallcaps" w:hAnsi="Go Smallcaps"/>
          <w:lang w:val="en-GB"/>
        </w:rPr>
        <w:t>statsmodels</w:t>
      </w:r>
      <w:r>
        <w:rPr>
          <w:lang w:val="en-GB"/>
        </w:rPr>
        <w:t xml:space="preserve"> package from </w:t>
      </w:r>
      <w:r>
        <w:rPr>
          <w:rFonts w:cs="Go Smallcaps" w:ascii="Go Smallcaps" w:hAnsi="Go Smallcaps"/>
          <w:lang w:val="en-GB"/>
        </w:rPr>
        <w:t>python 3.6</w:t>
      </w:r>
      <w:r>
        <w:rPr>
          <w:lang w:val="en-GB"/>
        </w:rPr>
        <w:t>. Regression quality was assessed using the adjusted Pearson correlation coefficient squared (</w:t>
      </w:r>
      <w:r>
        <w:rPr>
          <w:i/>
          <w:lang w:val="en-GB"/>
        </w:rPr>
        <w:t>R</w:t>
      </w:r>
      <w:r>
        <w:rPr>
          <w:vertAlign w:val="superscript"/>
          <w:lang w:val="en-GB"/>
        </w:rPr>
        <w:t>2</w:t>
      </w:r>
      <w:r>
        <w:rPr>
          <w:vertAlign w:val="subscript"/>
          <w:lang w:val="en-GB"/>
        </w:rPr>
        <w:t>adj</w:t>
      </w:r>
      <w:r>
        <w:rPr>
          <w:lang w:val="en-GB"/>
        </w:rPr>
        <w:t>) and relative error between the orthotropic observed and the predicted tensor using norm of fourth-order tensors (</w:t>
      </w:r>
      <w:r>
        <w:rPr>
          <w:i/>
          <w:lang w:val="en-GB"/>
        </w:rPr>
        <w:t>NE</w:t>
      </w:r>
      <w:r>
        <w:rPr>
          <w:lang w:val="en-GB"/>
        </w:rPr>
        <w:t xml:space="preserve">), see Equation 5 and 6. </w:t>
      </w:r>
    </w:p>
    <w:p>
      <w:pPr>
        <w:pStyle w:val="Normal"/>
        <w:tabs>
          <w:tab w:val="clear" w:pos="708"/>
          <w:tab w:val="left" w:pos="492" w:leader="none"/>
          <w:tab w:val="left" w:pos="2760" w:leader="none"/>
        </w:tabs>
        <w:jc w:val="right"/>
        <w:rPr>
          <w:lang w:val="en-US"/>
        </w:rPr>
      </w:pPr>
      <w:r>
        <w:rPr>
          <w:lang w:val="en-US"/>
          <w:rPrChange w:id="0" w:author="Schenk, Denis Elia (ARTORG)" w:date="2021-05-31T15:49:00Z"/>
        </w:rPr>
        <w:rPrChange w:id="0" w:author="Schenk, Denis Elia (ARTORG)" w:date="2021-05-31T15:49:00Z"/>
      </w:r>
    </w:p>
    <w:p>
      <w:pPr>
        <w:pStyle w:val="Normal"/>
        <w:pPrChange w:id="0" w:author="Schenk, Denis Elia (ARTORG)" w:date="2021-05-21T11:05:00Z">
          <w:pPr>
            <w:jc w:val="both"/>
            <w:tabs>
              <w:tab w:val="left" w:pos="492" w:leader="none"/>
              <w:tab w:val="left" w:pos="2760" w:leader="none"/>
            </w:tabs>
          </w:pPr>
        </w:pPrChange>
        <w:rPr>
          <w:lang w:val="en-US"/>
        </w:rPr>
      </w:pPr>
      <w:r>
        <w:rPr>
          <w:lang w:val="en-GB"/>
        </w:rPr>
        <w:t xml:space="preserve">Where </w:t>
      </w:r>
      <w:r>
        <w:rPr>
          <w:i/>
          <w:lang w:val="en-GB"/>
        </w:rPr>
        <w:t>RSS</w:t>
      </w:r>
      <w:r>
        <w:rPr>
          <w:lang w:val="en-GB"/>
        </w:rPr>
        <w:t xml:space="preserve"> is the residual sum of squares and </w:t>
      </w:r>
      <w:r>
        <w:rPr>
          <w:i/>
          <w:lang w:val="en-GB"/>
        </w:rPr>
        <w:t>TSS</w:t>
      </w:r>
      <w:r>
        <w:rPr>
          <w:lang w:val="en-GB"/>
        </w:rPr>
        <w:t xml:space="preserve"> is the total sum of squares i.e. </w:t>
      </w:r>
      <w:ins w:id="233" w:author="Schenk, Denis Elia (ARTORG)" w:date="2021-05-25T10:41:00Z">
        <w:r>
          <w:rPr>
            <w:lang w:val="en-GB"/>
          </w:rPr>
          <w:t xml:space="preserve">the </w:t>
        </w:r>
      </w:ins>
      <w:r>
        <w:rPr>
          <w:lang w:val="en-GB"/>
        </w:rPr>
        <w:t>sum of the square of the observations y.</w:t>
      </w:r>
    </w:p>
    <w:p>
      <w:pPr>
        <w:pStyle w:val="Normal"/>
        <w:tabs>
          <w:tab w:val="clear" w:pos="708"/>
          <w:tab w:val="left" w:pos="492" w:leader="none"/>
          <w:tab w:val="left" w:pos="2760" w:leader="none"/>
        </w:tabs>
        <w:rPr>
          <w:lang w:val="en-US"/>
        </w:rPr>
      </w:pPr>
      <w:r>
        <w:rPr>
          <w:lang w:val="en-US"/>
        </w:rPr>
      </w:r>
    </w:p>
    <w:p>
      <w:pPr>
        <w:pStyle w:val="Normal"/>
        <w:tabs>
          <w:tab w:val="clear" w:pos="708"/>
          <w:tab w:val="left" w:pos="492" w:leader="none"/>
          <w:tab w:val="left" w:pos="2760" w:leader="none"/>
        </w:tabs>
        <w:jc w:val="right"/>
        <w:rPr>
          <w:lang w:val="en-US"/>
        </w:rPr>
      </w:pPr>
      <w:r>
        <w:rPr>
          <w:lang w:val="en-US"/>
        </w:rPr>
      </w:r>
    </w:p>
    <w:p>
      <w:pPr>
        <w:pStyle w:val="Normal"/>
        <w:tabs>
          <w:tab w:val="clear" w:pos="708"/>
          <w:tab w:val="left" w:pos="492" w:leader="none"/>
          <w:tab w:val="left" w:pos="2760" w:leader="none"/>
        </w:tabs>
        <w:rPr>
          <w:lang w:val="en-US"/>
        </w:rPr>
      </w:pPr>
      <w:r>
        <w:rPr>
          <w:lang w:val="en-US"/>
        </w:rPr>
      </w:r>
    </w:p>
    <w:p>
      <w:pPr>
        <w:pStyle w:val="Normal"/>
        <w:tabs>
          <w:tab w:val="clear" w:pos="708"/>
          <w:tab w:val="left" w:pos="492" w:leader="none"/>
          <w:tab w:val="left" w:pos="2760" w:leader="none"/>
        </w:tabs>
        <w:rPr>
          <w:lang w:val="en-US"/>
        </w:rPr>
      </w:pPr>
      <w:r>
        <w:rPr>
          <w:b/>
          <w:lang w:val="en-GB"/>
        </w:rPr>
        <w:t>3. Results</w:t>
      </w:r>
    </w:p>
    <w:p>
      <w:pPr>
        <w:pStyle w:val="Normal"/>
        <w:tabs>
          <w:tab w:val="clear" w:pos="708"/>
          <w:tab w:val="left" w:pos="492" w:leader="none"/>
          <w:tab w:val="left" w:pos="2760" w:leader="none"/>
        </w:tabs>
        <w:rPr>
          <w:lang w:val="en-US"/>
        </w:rPr>
      </w:pPr>
      <w:r>
        <w:rPr>
          <w:lang w:val="en-US"/>
        </w:rPr>
      </w:r>
    </w:p>
    <w:p>
      <w:pPr>
        <w:pStyle w:val="Normal"/>
        <w:tabs>
          <w:tab w:val="clear" w:pos="708"/>
          <w:tab w:val="left" w:pos="492" w:leader="none"/>
          <w:tab w:val="left" w:pos="2760" w:leader="none"/>
        </w:tabs>
        <w:rPr>
          <w:lang w:val="en-US"/>
        </w:rPr>
      </w:pPr>
      <w:r>
        <w:rPr>
          <w:b/>
          <w:sz w:val="20"/>
          <w:lang w:val="en-GB"/>
        </w:rPr>
        <w:t>3.1 Morphological Analysis</w:t>
      </w:r>
    </w:p>
    <w:p>
      <w:pPr>
        <w:pStyle w:val="Normal"/>
        <w:rPr>
          <w:lang w:val="en-US"/>
        </w:rPr>
      </w:pPr>
      <w:r>
        <w:rPr>
          <w:lang w:val="en-GB"/>
        </w:rPr>
        <w:t xml:space="preserve">The results of </w:t>
      </w:r>
      <w:ins w:id="234" w:author="Schenk, Denis Elia (ARTORG)" w:date="2021-05-25T10:41:00Z">
        <w:r>
          <w:rPr>
            <w:lang w:val="en-GB"/>
          </w:rPr>
          <w:t xml:space="preserve">the </w:t>
        </w:r>
      </w:ins>
      <w:r>
        <w:rPr>
          <w:lang w:val="en-GB"/>
        </w:rPr>
        <w:t xml:space="preserve">morphological analysis are summarized in Table 2. </w:t>
      </w:r>
      <w:del w:id="235" w:author="Schenk, Denis Elia (ARTORG)" w:date="2021-05-25T10:41:00Z">
        <w:r>
          <w:rPr>
            <w:lang w:val="en-GB"/>
          </w:rPr>
          <w:delText>In the present study, the</w:delText>
        </w:r>
      </w:del>
      <w:ins w:id="236" w:author="Schenk, Denis Elia (ARTORG)" w:date="2021-05-25T10:41:00Z">
        <w:r>
          <w:rPr>
            <w:lang w:val="en-GB"/>
          </w:rPr>
          <w:t>The</w:t>
        </w:r>
      </w:ins>
      <w:r>
        <w:rPr>
          <w:lang w:val="en-GB"/>
        </w:rPr>
        <w:t xml:space="preserve"> individual matching </w:t>
      </w:r>
      <w:ins w:id="237" w:author="Schenk, Denis Elia (ARTORG)" w:date="2021-05-25T10:41:00Z">
        <w:r>
          <w:rPr>
            <w:lang w:val="en-GB"/>
          </w:rPr>
          <w:t xml:space="preserve">for sex </w:t>
        </w:r>
      </w:ins>
      <w:r>
        <w:rPr>
          <w:lang w:val="en-GB"/>
        </w:rPr>
        <w:t>allowed to have similar group distribution</w:t>
      </w:r>
      <w:ins w:id="238" w:author="Schenk, Denis Elia (ARTORG)" w:date="2021-05-25T10:41:00Z">
        <w:r>
          <w:rPr>
            <w:lang w:val="en-GB"/>
          </w:rPr>
          <w:t>s</w:t>
        </w:r>
      </w:ins>
      <w:r>
        <w:rPr>
          <w:lang w:val="en-GB"/>
        </w:rPr>
        <w:t xml:space="preserve"> with 17 females and 11 males in each group. The mean age of matched healthy </w:t>
      </w:r>
      <w:ins w:id="239" w:author="Schenk, Denis Elia (ARTORG)" w:date="2021-05-25T10:42:00Z">
        <w:r>
          <w:rPr>
            <w:lang w:val="en-GB"/>
          </w:rPr>
          <w:t xml:space="preserve">subjects </w:t>
        </w:r>
      </w:ins>
      <w:r>
        <w:rPr>
          <w:lang w:val="en-GB"/>
        </w:rPr>
        <w:t>is 41</w:t>
      </w:r>
      <w:ins w:id="240" w:author="Schenk, Denis Elia (ARTORG)" w:date="2021-05-25T10:42:00Z">
        <w:r>
          <w:rPr>
            <w:lang w:val="en-GB"/>
          </w:rPr>
          <w:t>y</w:t>
        </w:r>
      </w:ins>
      <w:r>
        <w:rPr>
          <w:lang w:val="en-GB"/>
        </w:rPr>
        <w:t xml:space="preserve"> </w:t>
      </w:r>
      <w:r>
        <w:rPr>
          <w:rFonts w:cs="Latin Modern Math" w:ascii="Latin Modern Math" w:hAnsi="Latin Modern Math"/>
          <w:lang w:val="en-GB"/>
        </w:rPr>
        <w:t>±</w:t>
      </w:r>
      <w:r>
        <w:rPr>
          <w:lang w:val="en-GB"/>
        </w:rPr>
        <w:t xml:space="preserve"> 14</w:t>
      </w:r>
      <w:ins w:id="241" w:author="Schenk, Denis Elia (ARTORG)" w:date="2021-05-25T10:42:00Z">
        <w:r>
          <w:rPr>
            <w:lang w:val="en-GB"/>
          </w:rPr>
          <w:t>y</w:t>
        </w:r>
      </w:ins>
      <w:r>
        <w:rPr>
          <w:lang w:val="en-GB"/>
        </w:rPr>
        <w:t xml:space="preserve"> and 41</w:t>
      </w:r>
      <w:ins w:id="242" w:author="Schenk, Denis Elia (ARTORG)" w:date="2021-05-25T10:42:00Z">
        <w:r>
          <w:rPr>
            <w:lang w:val="en-GB"/>
          </w:rPr>
          <w:t>y</w:t>
        </w:r>
      </w:ins>
      <w:r>
        <w:rPr>
          <w:lang w:val="en-GB"/>
        </w:rPr>
        <w:t xml:space="preserve"> </w:t>
      </w:r>
      <w:r>
        <w:rPr>
          <w:rFonts w:cs="Latin Modern Math" w:ascii="Latin Modern Math" w:hAnsi="Latin Modern Math"/>
          <w:lang w:val="fr-CH"/>
        </w:rPr>
        <w:t xml:space="preserve">± </w:t>
      </w:r>
      <w:r>
        <w:rPr>
          <w:lang w:val="en-GB"/>
        </w:rPr>
        <w:t>15</w:t>
      </w:r>
      <w:ins w:id="243" w:author="Schenk, Denis Elia (ARTORG)" w:date="2021-05-25T10:42:00Z">
        <w:r>
          <w:rPr>
            <w:lang w:val="en-GB"/>
          </w:rPr>
          <w:t>y</w:t>
        </w:r>
      </w:ins>
      <w:r>
        <w:rPr>
          <w:lang w:val="en-GB"/>
        </w:rPr>
        <w:t xml:space="preserve"> for the matched OI</w:t>
      </w:r>
      <w:ins w:id="244" w:author="Schenk, Denis Elia (ARTORG)" w:date="2021-05-25T10:42:00Z">
        <w:r>
          <w:rPr>
            <w:lang w:val="en-GB"/>
          </w:rPr>
          <w:t xml:space="preserve"> group</w:t>
        </w:r>
      </w:ins>
      <w:r>
        <w:rPr>
          <w:lang w:val="en-GB"/>
        </w:rPr>
        <w:t xml:space="preserve">. BV/TV of healthy </w:t>
      </w:r>
      <w:del w:id="245" w:author="Schenk, Denis Elia (ARTORG)" w:date="2021-05-25T10:42:00Z">
        <w:commentRangeStart w:id="42"/>
        <w:r>
          <w:rPr>
            <w:lang w:val="en-GB"/>
          </w:rPr>
          <w:delText xml:space="preserve">people </w:delText>
        </w:r>
      </w:del>
      <w:ins w:id="246" w:author="Schenk, Denis Elia (ARTORG)" w:date="2021-05-25T10:42:00Z">
        <w:r>
          <w:rPr>
            <w:lang w:val="en-GB"/>
          </w:rPr>
          <w:t xml:space="preserve">subjects </w:t>
        </w:r>
      </w:ins>
      <w:r>
        <w:rPr>
          <w:lang w:val="en-GB"/>
        </w:rPr>
      </w:r>
      <w:commentRangeEnd w:id="42"/>
      <w:r>
        <w:commentReference w:id="42"/>
      </w:r>
      <w:r>
        <w:rPr>
          <w:lang w:val="en-GB"/>
        </w:rPr>
        <w:t xml:space="preserve">is higher than BV/TV of OI group with a 95% CI of </w:t>
      </w:r>
      <w:commentRangeStart w:id="43"/>
      <w:r>
        <w:rPr>
          <w:lang w:val="en-GB"/>
        </w:rPr>
        <w:t xml:space="preserve">[0.016, 0.101] </w:t>
      </w:r>
      <w:r>
        <w:rPr>
          <w:lang w:val="en-GB"/>
        </w:rPr>
      </w:r>
      <w:commentRangeEnd w:id="43"/>
      <w:r>
        <w:commentReference w:id="43"/>
      </w:r>
      <w:r>
        <w:rPr>
          <w:lang w:val="en-GB"/>
        </w:rPr>
        <w:t>and p</w:t>
      </w:r>
      <w:ins w:id="247" w:author="Schenk, Denis Elia (ARTORG)" w:date="2021-05-25T10:44:00Z">
        <w:r>
          <w:rPr>
            <w:lang w:val="en-GB"/>
          </w:rPr>
          <w:t>-</w:t>
        </w:r>
      </w:ins>
      <w:del w:id="248" w:author="Schenk, Denis Elia (ARTORG)" w:date="2021-05-25T10:44:00Z">
        <w:r>
          <w:rPr>
            <w:lang w:val="en-GB"/>
          </w:rPr>
          <w:delText xml:space="preserve"> </w:delText>
        </w:r>
      </w:del>
      <w:r>
        <w:rPr>
          <w:lang w:val="en-GB"/>
        </w:rPr>
        <w:t xml:space="preserve">value &lt;0.01. Similarly, trabecular number is higher in the matched healthy group </w:t>
      </w:r>
      <w:ins w:id="249" w:author="Schenk, Denis Elia (ARTORG)" w:date="2021-05-25T10:43:00Z">
        <w:r>
          <w:rPr>
            <w:lang w:val="en-GB"/>
          </w:rPr>
          <w:t xml:space="preserve">compared to the matched OI group </w:t>
        </w:r>
      </w:ins>
      <w:r>
        <w:rPr>
          <w:lang w:val="en-GB"/>
        </w:rPr>
        <w:t>with a 95% CI of [0.099, 0.285] and a corresponding p</w:t>
      </w:r>
      <w:ins w:id="250" w:author="Schenk, Denis Elia (ARTORG)" w:date="2021-05-25T10:44:00Z">
        <w:r>
          <w:rPr>
            <w:lang w:val="en-GB"/>
          </w:rPr>
          <w:t>-</w:t>
        </w:r>
      </w:ins>
      <w:del w:id="251" w:author="Schenk, Denis Elia (ARTORG)" w:date="2021-05-25T10:44:00Z">
        <w:r>
          <w:rPr>
            <w:lang w:val="en-GB"/>
          </w:rPr>
          <w:delText xml:space="preserve"> </w:delText>
        </w:r>
      </w:del>
      <w:r>
        <w:rPr>
          <w:lang w:val="en-GB"/>
        </w:rPr>
        <w:t xml:space="preserve">value &lt;0.001. The trabecular thickness </w:t>
      </w:r>
      <w:del w:id="252" w:author="Schenk, Denis Elia (ARTORG)" w:date="2021-05-25T10:44:00Z">
        <w:r>
          <w:rPr>
            <w:lang w:val="en-GB"/>
          </w:rPr>
          <w:delText xml:space="preserve">do </w:delText>
        </w:r>
      </w:del>
      <w:ins w:id="253" w:author="Schenk, Denis Elia (ARTORG)" w:date="2021-05-25T10:44:00Z">
        <w:r>
          <w:rPr>
            <w:lang w:val="en-GB"/>
          </w:rPr>
          <w:t xml:space="preserve">does </w:t>
        </w:r>
      </w:ins>
      <w:r>
        <w:rPr>
          <w:lang w:val="en-GB"/>
        </w:rPr>
        <w:t>not show significant differences between groups</w:t>
      </w:r>
      <w:del w:id="254" w:author="Schenk, Denis Elia (ARTORG)" w:date="2021-05-25T10:44:00Z">
        <w:r>
          <w:rPr>
            <w:lang w:val="en-GB"/>
          </w:rPr>
          <w:delText xml:space="preserve"> with a p value of 0.2</w:delText>
        </w:r>
      </w:del>
      <w:r>
        <w:rPr>
          <w:lang w:val="en-GB"/>
        </w:rPr>
        <w:t xml:space="preserve">. </w:t>
      </w:r>
      <w:del w:id="255" w:author="Schenk, Denis Elia (ARTORG)" w:date="2021-05-25T10:45:00Z">
        <w:r>
          <w:rPr>
            <w:lang w:val="en-GB"/>
          </w:rPr>
          <w:delText xml:space="preserve">In </w:delText>
        </w:r>
      </w:del>
      <w:ins w:id="256" w:author="Schenk, Denis Elia (ARTORG)" w:date="2021-05-25T10:45:00Z">
        <w:r>
          <w:rPr>
            <w:lang w:val="en-GB"/>
          </w:rPr>
          <w:t xml:space="preserve">On </w:t>
        </w:r>
      </w:ins>
      <w:r>
        <w:rPr>
          <w:lang w:val="en-GB"/>
        </w:rPr>
        <w:t xml:space="preserve">the other hand, trabecular spacing is higher in </w:t>
      </w:r>
      <w:commentRangeStart w:id="44"/>
      <w:r>
        <w:rPr>
          <w:lang w:val="en-GB"/>
        </w:rPr>
        <w:t xml:space="preserve">matched OI group </w:t>
      </w:r>
      <w:del w:id="257" w:author="Schenk, Denis Elia (ARTORG)" w:date="2021-05-25T10:45:00Z">
        <w:r>
          <w:rPr>
            <w:lang w:val="en-GB"/>
          </w:rPr>
          <w:delText xml:space="preserve">than </w:delText>
        </w:r>
      </w:del>
      <w:ins w:id="258" w:author="Schenk, Denis Elia (ARTORG)" w:date="2021-05-25T10:45:00Z">
        <w:r>
          <w:rPr>
            <w:lang w:val="en-GB"/>
          </w:rPr>
          <w:t xml:space="preserve">compared to </w:t>
        </w:r>
      </w:ins>
      <w:del w:id="259" w:author="Schenk, Denis Elia (ARTORG)" w:date="2021-05-25T10:45:00Z">
        <w:r>
          <w:rPr>
            <w:lang w:val="en-GB"/>
          </w:rPr>
          <w:delText xml:space="preserve">in </w:delText>
        </w:r>
      </w:del>
      <w:r>
        <w:rPr>
          <w:lang w:val="en-GB"/>
        </w:rPr>
        <w:t xml:space="preserve">healthy individuals </w:t>
      </w:r>
      <w:r>
        <w:rPr>
          <w:lang w:val="en-GB"/>
        </w:rPr>
      </w:r>
      <w:commentRangeEnd w:id="44"/>
      <w:r>
        <w:commentReference w:id="44"/>
      </w:r>
      <w:r>
        <w:rPr>
          <w:lang w:val="en-GB"/>
        </w:rPr>
        <w:t>with a p</w:t>
      </w:r>
      <w:ins w:id="260" w:author="Schenk, Denis Elia (ARTORG)" w:date="2021-05-25T10:44:00Z">
        <w:r>
          <w:rPr>
            <w:lang w:val="en-GB"/>
          </w:rPr>
          <w:t>-</w:t>
        </w:r>
      </w:ins>
      <w:del w:id="261" w:author="Schenk, Denis Elia (ARTORG)" w:date="2021-05-25T10:44:00Z">
        <w:r>
          <w:rPr>
            <w:lang w:val="en-GB"/>
          </w:rPr>
          <w:delText xml:space="preserve"> </w:delText>
        </w:r>
      </w:del>
      <w:r>
        <w:rPr>
          <w:lang w:val="en-GB"/>
        </w:rPr>
        <w:t xml:space="preserve">value of 0.01 and an exclusion range of </w:t>
      </w:r>
      <w:commentRangeStart w:id="45"/>
      <w:r>
        <w:rPr>
          <w:lang w:val="en-GB"/>
        </w:rPr>
        <w:t>(</w:t>
      </w:r>
      <w:r>
        <w:rPr>
          <w:rFonts w:cs="Latin Modern Mono" w:ascii="Latin Modern Mono" w:hAnsi="Latin Modern Mono"/>
          <w:lang w:val="en-GB"/>
        </w:rPr>
        <w:t>∞</w:t>
      </w:r>
      <w:r>
        <w:rPr>
          <w:lang w:val="en-GB"/>
        </w:rPr>
        <w:t xml:space="preserve">, -0.384] </w:t>
      </w:r>
      <w:r>
        <w:rPr>
          <w:rFonts w:cs="Latin Modern Math" w:ascii="Latin Modern Math" w:hAnsi="Latin Modern Math"/>
          <w:lang w:val="en-GB"/>
        </w:rPr>
        <w:t>⋃</w:t>
      </w:r>
      <w:r>
        <w:rPr>
          <w:lang w:val="en-GB"/>
        </w:rPr>
        <w:t xml:space="preserve"> [0.421, </w:t>
      </w:r>
      <w:r>
        <w:rPr>
          <w:rFonts w:cs="Latin Modern Mono" w:ascii="Latin Modern Mono" w:hAnsi="Latin Modern Mono"/>
          <w:lang w:val="en-GB"/>
        </w:rPr>
        <w:t>∞</w:t>
      </w:r>
      <w:r>
        <w:rPr>
          <w:lang w:val="en-GB"/>
        </w:rPr>
        <w:t>)</w:t>
      </w:r>
      <w:r>
        <w:rPr>
          <w:lang w:val="en-GB"/>
        </w:rPr>
      </w:r>
      <w:commentRangeEnd w:id="45"/>
      <w:r>
        <w:commentReference w:id="45"/>
      </w:r>
      <w:r>
        <w:rPr>
          <w:lang w:val="en-GB"/>
        </w:rPr>
        <w:t xml:space="preserve">. Trabecular spacing SD </w:t>
      </w:r>
      <w:del w:id="262" w:author="Schenk, Denis Elia (ARTORG)" w:date="2021-05-25T10:46:00Z">
        <w:r>
          <w:rPr>
            <w:lang w:val="en-GB"/>
          </w:rPr>
          <w:delText>present to be</w:delText>
        </w:r>
      </w:del>
      <w:ins w:id="263" w:author="Schenk, Denis Elia (ARTORG)" w:date="2021-05-25T10:46:00Z">
        <w:r>
          <w:rPr>
            <w:lang w:val="en-GB"/>
          </w:rPr>
          <w:t>is</w:t>
        </w:r>
      </w:ins>
      <w:r>
        <w:rPr>
          <w:lang w:val="en-GB"/>
        </w:rPr>
        <w:t xml:space="preserve"> higher in </w:t>
      </w:r>
      <w:commentRangeStart w:id="46"/>
      <w:r>
        <w:rPr>
          <w:lang w:val="en-GB"/>
        </w:rPr>
        <w:t xml:space="preserve">OI patients </w:t>
      </w:r>
      <w:r>
        <w:rPr>
          <w:lang w:val="en-GB"/>
        </w:rPr>
      </w:r>
      <w:del w:id="264" w:author="Schenk, Denis Elia (ARTORG)" w:date="2021-05-25T10:46:00Z">
        <w:commentRangeEnd w:id="46"/>
        <w:r>
          <w:commentReference w:id="46"/>
        </w:r>
        <w:r>
          <w:rPr>
            <w:lang w:val="en-GB"/>
          </w:rPr>
          <w:delText>than in</w:delText>
        </w:r>
      </w:del>
      <w:ins w:id="265" w:author="Schenk, Denis Elia (ARTORG)" w:date="2021-05-25T10:46:00Z">
        <w:r>
          <w:rPr>
            <w:lang w:val="en-GB"/>
          </w:rPr>
          <w:t>compared to</w:t>
        </w:r>
      </w:ins>
      <w:r>
        <w:rPr>
          <w:lang w:val="en-GB"/>
        </w:rPr>
        <w:t xml:space="preserve"> matched healthy with a p</w:t>
      </w:r>
      <w:ins w:id="266" w:author="Schenk, Denis Elia (ARTORG)" w:date="2021-05-25T10:46:00Z">
        <w:r>
          <w:rPr>
            <w:lang w:val="en-GB"/>
          </w:rPr>
          <w:t>-</w:t>
        </w:r>
      </w:ins>
      <w:del w:id="267" w:author="Schenk, Denis Elia (ARTORG)" w:date="2021-05-25T10:46:00Z">
        <w:r>
          <w:rPr>
            <w:lang w:val="en-GB"/>
          </w:rPr>
          <w:delText xml:space="preserve"> </w:delText>
        </w:r>
      </w:del>
      <w:r>
        <w:rPr>
          <w:lang w:val="en-GB"/>
        </w:rPr>
        <w:t>value of 0.02 and an exclusion range of (</w:t>
      </w:r>
      <w:r>
        <w:rPr>
          <w:rFonts w:cs="Latin Modern Mono" w:ascii="Latin Modern Mono" w:hAnsi="Latin Modern Mono"/>
          <w:lang w:val="en-GB"/>
        </w:rPr>
        <w:t>∞</w:t>
      </w:r>
      <w:r>
        <w:rPr>
          <w:lang w:val="en-GB"/>
        </w:rPr>
        <w:t xml:space="preserve">, -0.232] </w:t>
      </w:r>
      <w:r>
        <w:rPr>
          <w:rFonts w:cs="Latin Modern Math" w:ascii="Latin Modern Math" w:hAnsi="Latin Modern Math"/>
          <w:lang w:val="fr-CH"/>
        </w:rPr>
        <w:t>⋃</w:t>
      </w:r>
      <w:r>
        <w:rPr>
          <w:lang w:val="en-GB"/>
        </w:rPr>
        <w:t xml:space="preserve"> [0.251, </w:t>
      </w:r>
      <w:r>
        <w:rPr>
          <w:rFonts w:cs="Latin Modern Mono" w:ascii="Latin Modern Mono" w:hAnsi="Latin Modern Mono"/>
          <w:lang w:val="en-GB"/>
        </w:rPr>
        <w:t>∞</w:t>
      </w:r>
      <w:r>
        <w:rPr>
          <w:lang w:val="en-GB"/>
        </w:rPr>
        <w:t xml:space="preserve">). SMI as well as </w:t>
      </w:r>
      <w:ins w:id="268" w:author="Schenk, Denis Elia (ARTORG)" w:date="2021-05-25T10:46:00Z">
        <w:r>
          <w:rPr>
            <w:lang w:val="en-GB"/>
          </w:rPr>
          <w:t xml:space="preserve">the </w:t>
        </w:r>
      </w:ins>
      <w:r>
        <w:rPr>
          <w:lang w:val="en-GB"/>
        </w:rPr>
        <w:t>degree of anisotropy are higher for matched OI than for healthy people with p</w:t>
      </w:r>
      <w:ins w:id="269" w:author="Schenk, Denis Elia (ARTORG)" w:date="2021-05-25T10:46:00Z">
        <w:r>
          <w:rPr>
            <w:lang w:val="en-GB"/>
          </w:rPr>
          <w:t>-</w:t>
        </w:r>
      </w:ins>
      <w:del w:id="270" w:author="Schenk, Denis Elia (ARTORG)" w:date="2021-05-25T10:46:00Z">
        <w:r>
          <w:rPr>
            <w:lang w:val="en-GB"/>
          </w:rPr>
          <w:delText xml:space="preserve"> </w:delText>
        </w:r>
      </w:del>
      <w:r>
        <w:rPr>
          <w:lang w:val="en-GB"/>
        </w:rPr>
        <w:t xml:space="preserve">values &lt;0.001 and of 0.02, respectively. Finally, the log transformation of </w:t>
      </w:r>
      <w:ins w:id="271" w:author="Schenk, Denis Elia (ARTORG)" w:date="2021-05-25T10:46:00Z">
        <w:r>
          <w:rPr>
            <w:lang w:val="en-GB"/>
          </w:rPr>
          <w:t xml:space="preserve">the </w:t>
        </w:r>
      </w:ins>
      <w:r>
        <w:rPr>
          <w:lang w:val="en-GB"/>
        </w:rPr>
        <w:t>coefficient of variation gives the stronger difference in means with a p</w:t>
      </w:r>
      <w:ins w:id="272" w:author="Schenk, Denis Elia (ARTORG)" w:date="2021-05-25T10:46:00Z">
        <w:r>
          <w:rPr>
            <w:lang w:val="en-GB"/>
          </w:rPr>
          <w:t>-</w:t>
        </w:r>
      </w:ins>
      <w:del w:id="273" w:author="Schenk, Denis Elia (ARTORG)" w:date="2021-05-25T10:46:00Z">
        <w:r>
          <w:rPr>
            <w:lang w:val="en-GB"/>
          </w:rPr>
          <w:delText xml:space="preserve"> </w:delText>
        </w:r>
      </w:del>
      <w:r>
        <w:rPr>
          <w:lang w:val="en-GB"/>
        </w:rPr>
        <w:t xml:space="preserve">value &lt;0.0001 and a 95% CI of </w:t>
      </w:r>
      <w:commentRangeStart w:id="47"/>
      <w:r>
        <w:rPr>
          <w:lang w:val="en-GB"/>
        </w:rPr>
        <w:t>[−0.757, −0.333].</w:t>
      </w:r>
      <w:commentRangeEnd w:id="47"/>
      <w:r>
        <w:commentReference w:id="47"/>
      </w:r>
      <w:r>
        <w:rPr>
          <w:lang w:val="en-GB"/>
        </w:rPr>
      </w:r>
    </w:p>
    <w:p>
      <w:pPr>
        <w:pStyle w:val="Normal"/>
        <w:rPr>
          <w:lang w:val="en-US"/>
        </w:rPr>
      </w:pPr>
      <w:r>
        <w:rPr>
          <w:lang w:val="en-US"/>
        </w:rPr>
      </w:r>
    </w:p>
    <w:p>
      <w:pPr>
        <w:pStyle w:val="Normal"/>
        <w:rPr>
          <w:lang w:val="en-US"/>
        </w:rPr>
      </w:pPr>
      <w:r>
        <w:rPr>
          <w:lang w:val="en-GB"/>
        </w:rPr>
        <w:t xml:space="preserve">In the </w:t>
      </w:r>
      <w:commentRangeStart w:id="48"/>
      <w:r>
        <w:rPr>
          <w:lang w:val="en-GB"/>
        </w:rPr>
        <w:t>table</w:t>
      </w:r>
      <w:r>
        <w:rPr>
          <w:lang w:val="en-GB"/>
        </w:rPr>
      </w:r>
      <w:commentRangeEnd w:id="48"/>
      <w:r>
        <w:commentReference w:id="48"/>
      </w:r>
      <w:r>
        <w:rPr>
          <w:lang w:val="en-GB"/>
        </w:rPr>
        <w:t>, absolute values and p</w:t>
      </w:r>
      <w:ins w:id="274" w:author="Schenk, Denis Elia (ARTORG)" w:date="2021-05-25T10:47:00Z">
        <w:r>
          <w:rPr>
            <w:lang w:val="en-GB"/>
          </w:rPr>
          <w:t>-</w:t>
        </w:r>
      </w:ins>
      <w:del w:id="275" w:author="Schenk, Denis Elia (ARTORG)" w:date="2021-05-25T10:47:00Z">
        <w:r>
          <w:rPr>
            <w:lang w:val="en-GB"/>
          </w:rPr>
          <w:delText xml:space="preserve"> </w:delText>
        </w:r>
      </w:del>
      <w:r>
        <w:rPr>
          <w:lang w:val="en-GB"/>
        </w:rPr>
        <w:t xml:space="preserve">values of test statistics are compared with literature. </w:t>
      </w:r>
      <w:del w:id="276" w:author="Schenk, Denis Elia (ARTORG)" w:date="2021-05-25T10:48:00Z">
        <w:commentRangeStart w:id="49"/>
        <w:r>
          <w:rPr>
            <w:lang w:val="en-GB"/>
          </w:rPr>
          <w:delText>Regarding age, the</w:delText>
        </w:r>
      </w:del>
      <w:ins w:id="277" w:author="Schenk, Denis Elia (ARTORG)" w:date="2021-05-25T10:48:00Z">
        <w:r>
          <w:rPr>
            <w:lang w:val="en-GB"/>
          </w:rPr>
          <w:t>The</w:t>
        </w:r>
      </w:ins>
      <w:r>
        <w:rPr>
          <w:lang w:val="en-GB"/>
        </w:rPr>
        <w:t xml:space="preserve"> present population is slightly younger </w:t>
      </w:r>
      <w:del w:id="278" w:author="Schenk, Denis Elia (ARTORG)" w:date="2021-05-25T10:48:00Z">
        <w:r>
          <w:rPr>
            <w:lang w:val="en-GB"/>
          </w:rPr>
          <w:delText>than in</w:delText>
        </w:r>
      </w:del>
      <w:ins w:id="279" w:author="Schenk, Denis Elia (ARTORG)" w:date="2021-05-25T10:48:00Z">
        <w:r>
          <w:rPr>
            <w:lang w:val="en-GB"/>
          </w:rPr>
          <w:t>compared to</w:t>
        </w:r>
      </w:ins>
      <w:r>
        <w:rPr>
          <w:lang w:val="en-GB"/>
        </w:rPr>
        <w:t xml:space="preserve"> other study but stay in a similar range</w:t>
      </w:r>
      <w:r>
        <w:rPr>
          <w:lang w:val="en-GB"/>
        </w:rPr>
      </w:r>
      <w:commentRangeEnd w:id="49"/>
      <w:r>
        <w:commentReference w:id="49"/>
      </w:r>
      <w:r>
        <w:rPr>
          <w:lang w:val="en-GB"/>
        </w:rPr>
        <w:t xml:space="preserve">. </w:t>
      </w:r>
      <w:del w:id="280" w:author="Schenk, Denis Elia (ARTORG)" w:date="2021-05-25T10:50:00Z">
        <w:r>
          <w:rPr>
            <w:lang w:val="en-GB"/>
          </w:rPr>
          <w:delText>In a general way p values of the t</w:delText>
        </w:r>
      </w:del>
      <w:ins w:id="281" w:author="Schenk, Denis Elia (ARTORG)" w:date="2021-05-25T10:50:00Z">
        <w:r>
          <w:rPr>
            <w:lang w:val="en-GB"/>
          </w:rPr>
          <w:t>T</w:t>
        </w:r>
      </w:ins>
      <w:r>
        <w:rPr>
          <w:lang w:val="en-GB"/>
        </w:rPr>
        <w:t>hree other studies show significant differences for BV/TV, Tb N, Tb Sp, and Tb Sp SD and no</w:t>
      </w:r>
      <w:del w:id="282" w:author="Schenk, Denis Elia (ARTORG)" w:date="2021-05-25T10:50:00Z">
        <w:r>
          <w:rPr>
            <w:lang w:val="en-GB"/>
          </w:rPr>
          <w:delText>n</w:delText>
        </w:r>
      </w:del>
      <w:r>
        <w:rPr>
          <w:lang w:val="en-GB"/>
        </w:rPr>
        <w:t xml:space="preserve"> significant differences for Tb Th</w:t>
      </w:r>
      <w:ins w:id="283" w:author="Schenk, Denis Elia (ARTORG)" w:date="2021-05-25T10:50:00Z">
        <w:r>
          <w:rPr>
            <w:lang w:val="en-GB"/>
          </w:rPr>
          <w:t>[reference for studies!]</w:t>
        </w:r>
      </w:ins>
      <w:r>
        <w:rPr>
          <w:lang w:val="en-GB"/>
        </w:rPr>
        <w:t xml:space="preserve">. </w:t>
      </w:r>
      <w:ins w:id="284" w:author="Schenk, Denis Elia (ARTORG)" w:date="2021-05-25T10:51:00Z">
        <w:r>
          <w:rPr>
            <w:lang w:val="en-GB"/>
          </w:rPr>
          <w:t>In the present study, a</w:t>
        </w:r>
      </w:ins>
      <w:del w:id="285" w:author="Schenk, Denis Elia (ARTORG)" w:date="2021-05-25T10:51:00Z">
        <w:r>
          <w:rPr>
            <w:lang w:val="en-GB"/>
          </w:rPr>
          <w:delText>A</w:delText>
        </w:r>
      </w:del>
      <w:r>
        <w:rPr>
          <w:lang w:val="en-GB"/>
        </w:rPr>
        <w:t xml:space="preserve">bsolute values of BV/TV, TB Th, Tb Sp, and Tb Sp SD are </w:t>
      </w:r>
      <w:commentRangeStart w:id="50"/>
      <w:r>
        <w:rPr>
          <w:lang w:val="en-GB"/>
        </w:rPr>
        <w:t xml:space="preserve">higher </w:t>
      </w:r>
      <w:r>
        <w:rPr>
          <w:lang w:val="en-GB"/>
        </w:rPr>
      </w:r>
      <w:del w:id="286" w:author="Schenk, Denis Elia (ARTORG)" w:date="2021-05-25T10:51:00Z">
        <w:commentRangeEnd w:id="50"/>
        <w:r>
          <w:commentReference w:id="50"/>
        </w:r>
        <w:r>
          <w:rPr>
            <w:lang w:val="en-GB"/>
          </w:rPr>
          <w:delText xml:space="preserve">in the present study </w:delText>
        </w:r>
      </w:del>
      <w:r>
        <w:rPr>
          <w:lang w:val="en-GB"/>
        </w:rPr>
        <w:t xml:space="preserve">compared to literature. On the other hand, Tb N appears to </w:t>
      </w:r>
      <w:del w:id="287" w:author="Schenk, Denis Elia (ARTORG)" w:date="2021-05-25T10:52:00Z">
        <w:r>
          <w:rPr>
            <w:lang w:val="en-GB"/>
          </w:rPr>
          <w:delText>be higher</w:delText>
        </w:r>
      </w:del>
      <w:ins w:id="288" w:author="Schenk, Denis Elia (ARTORG)" w:date="2021-05-25T10:52:00Z">
        <w:r>
          <w:rPr>
            <w:lang w:val="en-GB"/>
          </w:rPr>
          <w:t xml:space="preserve">lower </w:t>
        </w:r>
      </w:ins>
      <w:r>
        <w:rPr>
          <w:lang w:val="en-GB"/>
        </w:rPr>
        <w:t xml:space="preserve"> </w:t>
      </w:r>
      <w:del w:id="289" w:author="Schenk, Denis Elia (ARTORG)" w:date="2021-05-25T10:52:00Z">
        <w:r>
          <w:rPr>
            <w:lang w:val="en-GB"/>
          </w:rPr>
          <w:delText>in the other</w:delText>
        </w:r>
      </w:del>
      <w:ins w:id="290" w:author="Schenk, Denis Elia (ARTORG)" w:date="2021-05-25T10:52:00Z">
        <w:r>
          <w:rPr>
            <w:lang w:val="en-GB"/>
          </w:rPr>
          <w:t>compared to</w:t>
        </w:r>
      </w:ins>
      <w:r>
        <w:rPr>
          <w:lang w:val="en-GB"/>
        </w:rPr>
        <w:t xml:space="preserve"> studies</w:t>
      </w:r>
      <w:ins w:id="291" w:author="Schenk, Denis Elia (ARTORG)" w:date="2021-05-25T10:52:00Z">
        <w:r>
          <w:rPr>
            <w:lang w:val="en-GB"/>
          </w:rPr>
          <w:t xml:space="preserve"> in literature</w:t>
        </w:r>
      </w:ins>
      <w:del w:id="292" w:author="Schenk, Denis Elia (ARTORG)" w:date="2021-05-25T10:52:00Z">
        <w:r>
          <w:rPr>
            <w:lang w:val="en-GB"/>
          </w:rPr>
          <w:delText xml:space="preserve"> than in the present one</w:delText>
        </w:r>
      </w:del>
      <w:r>
        <w:rPr>
          <w:lang w:val="en-GB"/>
        </w:rPr>
        <w:t>.</w:t>
      </w:r>
    </w:p>
    <w:p>
      <w:pPr>
        <w:pStyle w:val="Normal"/>
        <w:rPr>
          <w:lang w:val="en-US"/>
        </w:rPr>
      </w:pPr>
      <w:r>
        <w:rPr>
          <w:lang w:val="en-US"/>
        </w:rPr>
      </w:r>
    </w:p>
    <w:p>
      <w:pPr>
        <w:pStyle w:val="Normal"/>
        <w:tabs>
          <w:tab w:val="clear" w:pos="708"/>
          <w:tab w:val="left" w:pos="492" w:leader="none"/>
          <w:tab w:val="left" w:pos="2760" w:leader="none"/>
        </w:tabs>
        <w:rPr>
          <w:lang w:val="en-US"/>
        </w:rPr>
      </w:pPr>
      <w:r>
        <w:rPr>
          <w:b/>
          <w:sz w:val="20"/>
          <w:lang w:val="en-GB"/>
        </w:rPr>
        <w:t>3.2 Linear Regressions</w:t>
      </w:r>
    </w:p>
    <w:p>
      <w:pPr>
        <w:pStyle w:val="Normal"/>
        <w:rPr>
          <w:lang w:val="en-US"/>
        </w:rPr>
      </w:pPr>
      <w:r>
        <w:rPr>
          <w:lang w:val="en-GB"/>
        </w:rPr>
        <w:t xml:space="preserve">Figure 3 shows the result of </w:t>
      </w:r>
      <w:ins w:id="293" w:author="Schenk, Denis Elia (ARTORG)" w:date="2021-05-25T10:52:00Z">
        <w:r>
          <w:rPr>
            <w:lang w:val="en-GB"/>
          </w:rPr>
          <w:t xml:space="preserve">the (linear?) </w:t>
        </w:r>
      </w:ins>
      <w:r>
        <w:rPr>
          <w:lang w:val="en-GB"/>
        </w:rPr>
        <w:t xml:space="preserve">regression </w:t>
      </w:r>
      <w:ins w:id="294" w:author="Schenk, Denis Elia (ARTORG)" w:date="2021-05-25T10:52:00Z">
        <w:r>
          <w:rPr>
            <w:lang w:val="en-GB"/>
          </w:rPr>
          <w:t xml:space="preserve">analysis </w:t>
        </w:r>
      </w:ins>
      <w:del w:id="295" w:author="Schenk, Denis Elia (ARTORG)" w:date="2021-05-25T10:53:00Z">
        <w:r>
          <w:rPr>
            <w:lang w:val="en-GB"/>
          </w:rPr>
          <w:delText xml:space="preserve">for </w:delText>
        </w:r>
      </w:del>
      <w:ins w:id="296" w:author="Schenk, Denis Elia (ARTORG)" w:date="2021-05-25T10:53:00Z">
        <w:r>
          <w:rPr>
            <w:lang w:val="en-GB"/>
          </w:rPr>
          <w:t xml:space="preserve">of </w:t>
        </w:r>
      </w:ins>
      <w:del w:id="297" w:author="Schenk, Denis Elia (ARTORG)" w:date="2021-05-25T10:53:00Z">
        <w:r>
          <w:rPr>
            <w:lang w:val="en-GB"/>
          </w:rPr>
          <w:delText>complete data set</w:delText>
        </w:r>
      </w:del>
      <w:del w:id="298" w:author="Schenk, Denis Elia (ARTORG)" w:date="2021-05-25T10:52:00Z">
        <w:r>
          <w:rPr>
            <w:lang w:val="en-GB"/>
          </w:rPr>
          <w:delText>s</w:delText>
        </w:r>
      </w:del>
      <w:del w:id="299" w:author="Schenk, Denis Elia (ARTORG)" w:date="2021-05-25T10:53:00Z">
        <w:r>
          <w:rPr>
            <w:lang w:val="en-GB"/>
          </w:rPr>
          <w:delText xml:space="preserve"> of </w:delText>
        </w:r>
      </w:del>
      <w:r>
        <w:rPr>
          <w:lang w:val="en-GB"/>
        </w:rPr>
        <w:t xml:space="preserve">each </w:t>
      </w:r>
      <w:ins w:id="300" w:author="Schenk, Denis Elia (ARTORG)" w:date="2021-05-25T10:53:00Z">
        <w:r>
          <w:rPr>
            <w:lang w:val="en-GB"/>
          </w:rPr>
          <w:t xml:space="preserve">individual </w:t>
        </w:r>
      </w:ins>
      <w:r>
        <w:rPr>
          <w:lang w:val="en-GB"/>
        </w:rPr>
        <w:t>group</w:t>
      </w:r>
      <w:del w:id="301" w:author="Schenk, Denis Elia (ARTORG)" w:date="2021-05-25T10:53:00Z">
        <w:r>
          <w:rPr>
            <w:lang w:val="en-GB"/>
          </w:rPr>
          <w:delText xml:space="preserve"> separately. The x axis represen</w:delText>
        </w:r>
      </w:del>
      <w:ins w:id="302" w:author="Schenk, Denis Elia (ARTORG)" w:date="2021-05-25T10:53:00Z">
        <w:r>
          <w:rPr>
            <w:lang w:val="en-GB"/>
          </w:rPr>
          <w:t>, between</w:t>
        </w:r>
      </w:ins>
      <w:del w:id="303" w:author="Schenk, Denis Elia (ARTORG)" w:date="2021-05-25T10:53:00Z">
        <w:r>
          <w:rPr>
            <w:lang w:val="en-GB"/>
          </w:rPr>
          <w:delText>t</w:delText>
        </w:r>
      </w:del>
      <w:r>
        <w:rPr>
          <w:lang w:val="en-GB"/>
        </w:rPr>
        <w:t xml:space="preserve"> the values of observed tensors </w:t>
      </w:r>
      <w:commentRangeStart w:id="51"/>
      <w:r>
        <w:rPr>
          <w:lang w:val="en-GB"/>
        </w:rPr>
        <w:t>from mechanical simulations</w:t>
      </w:r>
      <w:del w:id="304" w:author="Schenk, Denis Elia (ARTORG)" w:date="2021-05-25T10:54:00Z">
        <w:r>
          <w:rPr>
            <w:lang w:val="en-GB"/>
          </w:rPr>
          <w:delText>. The y axis is</w:delText>
        </w:r>
      </w:del>
      <w:ins w:id="305" w:author="Schenk, Denis Elia (ARTORG)" w:date="2021-05-25T10:54:00Z">
        <w:r>
          <w:rPr>
            <w:lang w:val="en-GB"/>
          </w:rPr>
          <w:t xml:space="preserve"> </w:t>
        </w:r>
      </w:ins>
      <w:r>
        <w:rPr>
          <w:lang w:val="en-GB"/>
        </w:rPr>
      </w:r>
      <w:ins w:id="306" w:author="Schenk, Denis Elia (ARTORG)" w:date="2021-05-25T10:54:00Z">
        <w:commentRangeEnd w:id="51"/>
        <w:r>
          <w:commentReference w:id="51"/>
        </w:r>
        <w:r>
          <w:rPr>
            <w:lang w:val="en-GB"/>
          </w:rPr>
          <w:t xml:space="preserve">and </w:t>
        </w:r>
      </w:ins>
      <w:r>
        <w:rPr>
          <w:lang w:val="en-GB"/>
        </w:rPr>
        <w:t xml:space="preserve"> the predicted values using the Zysset-Curnier model</w:t>
      </w:r>
      <w:ins w:id="307" w:author="Schenk, Denis Elia (ARTORG)" w:date="2021-05-25T10:54:00Z">
        <w:r>
          <w:rPr>
            <w:lang w:val="en-GB"/>
          </w:rPr>
          <w:t>[reference?]</w:t>
        </w:r>
      </w:ins>
      <w:r>
        <w:rPr>
          <w:lang w:val="en-GB"/>
        </w:rPr>
        <w:t xml:space="preserve"> and the parameters obtained after performing the regression with linear mixed-effect model. The fitted line is represented by the dashed line</w:t>
      </w:r>
      <w:commentRangeStart w:id="52"/>
      <w:r>
        <w:rPr>
          <w:lang w:val="en-GB"/>
        </w:rPr>
        <w:t xml:space="preserve">. </w:t>
      </w:r>
      <w:r>
        <w:rPr>
          <w:rFonts w:cs="Latin Modern Math" w:ascii="Latin Modern Math" w:hAnsi="Latin Modern Math"/>
          <w:i/>
          <w:lang w:val="en-GB"/>
        </w:rPr>
        <w:t>λ</w:t>
      </w:r>
      <w:r>
        <w:rPr>
          <w:rFonts w:cs="Latin Modern Math" w:ascii="Latin Modern Math" w:hAnsi="Latin Modern Math"/>
          <w:i/>
          <w:vertAlign w:val="subscript"/>
          <w:lang w:val="en-GB"/>
        </w:rPr>
        <w:t>ii</w:t>
      </w:r>
      <w:r>
        <w:rPr>
          <w:lang w:val="en-GB"/>
        </w:rPr>
        <w:t xml:space="preserve"> stands for the diagonal terms of normal components of </w:t>
      </w:r>
      <w:r>
        <w:rPr>
          <w:rFonts w:cs="Cambria Math" w:ascii="Cambria Math" w:hAnsi="Cambria Math"/>
          <w:lang w:val="en-GB"/>
        </w:rPr>
        <w:t>𝕊</w:t>
      </w:r>
      <w:r>
        <w:rPr>
          <w:lang w:val="en-GB"/>
        </w:rPr>
        <w:t xml:space="preserve"> in Mandel notation [MANDEL 1965], </w:t>
      </w:r>
      <w:r>
        <w:rPr>
          <w:rFonts w:cs="Latin Modern Math" w:ascii="Latin Modern Math" w:hAnsi="Latin Modern Math"/>
          <w:i/>
          <w:lang w:val="fr-CH"/>
        </w:rPr>
        <w:t>λ</w:t>
      </w:r>
      <w:r>
        <w:rPr>
          <w:rFonts w:cs="Latin Modern Math" w:ascii="Latin Modern Math" w:hAnsi="Latin Modern Math"/>
          <w:i/>
          <w:vertAlign w:val="subscript"/>
          <w:lang w:val="fr-CH"/>
        </w:rPr>
        <w:t>ij</w:t>
      </w:r>
      <w:r>
        <w:rPr>
          <w:lang w:val="en-GB"/>
        </w:rPr>
        <w:t xml:space="preserve"> </w:t>
      </w:r>
      <w:del w:id="308" w:author="Schenk, Denis Elia (ARTORG)" w:date="2021-05-25T10:55:00Z">
        <w:r>
          <w:rPr>
            <w:lang w:val="en-GB"/>
          </w:rPr>
          <w:delText xml:space="preserve">and </w:delText>
        </w:r>
      </w:del>
      <w:del w:id="309" w:author="Schenk, Denis Elia (ARTORG)" w:date="2021-05-25T10:54:00Z">
        <w:r>
          <w:rPr>
            <w:lang w:val="en-GB"/>
          </w:rPr>
          <w:delText xml:space="preserve"> </w:delText>
        </w:r>
      </w:del>
      <w:r>
        <w:rPr>
          <w:lang w:val="en-GB"/>
        </w:rPr>
        <w:t xml:space="preserve">for the off-diagonal terms of normal components, and </w:t>
      </w:r>
      <w:r>
        <w:rPr>
          <w:rFonts w:cs="Latin Modern Math" w:ascii="Latin Modern Math" w:hAnsi="Latin Modern Math"/>
          <w:i/>
          <w:lang w:val="fr-CH"/>
        </w:rPr>
        <w:t>μ</w:t>
      </w:r>
      <w:r>
        <w:rPr>
          <w:rFonts w:cs="Latin Modern Math" w:ascii="Latin Modern Math" w:hAnsi="Latin Modern Math"/>
          <w:i/>
          <w:vertAlign w:val="subscript"/>
          <w:lang w:val="fr-CH"/>
        </w:rPr>
        <w:t>ij</w:t>
      </w:r>
      <w:r>
        <w:rPr>
          <w:lang w:val="en-GB"/>
        </w:rPr>
        <w:t xml:space="preserve"> for the shear components. </w:t>
      </w:r>
      <w:r>
        <w:rPr>
          <w:lang w:val="en-GB"/>
        </w:rPr>
      </w:r>
      <w:commentRangeEnd w:id="52"/>
      <w:r>
        <w:commentReference w:id="52"/>
      </w:r>
      <w:r>
        <w:rPr>
          <w:lang w:val="en-GB"/>
        </w:rPr>
        <w:t>For the healthy group</w:t>
      </w:r>
      <w:ins w:id="310" w:author="Schenk, Denis Elia (ARTORG)" w:date="2021-05-25T10:55:00Z">
        <w:r>
          <w:rPr>
            <w:lang w:val="en-GB"/>
          </w:rPr>
          <w:t xml:space="preserve"> (</w:t>
        </w:r>
      </w:ins>
      <w:del w:id="311" w:author="Schenk, Denis Elia (ARTORG)" w:date="2021-05-25T10:55:00Z">
        <w:r>
          <w:rPr>
            <w:lang w:val="en-GB"/>
          </w:rPr>
          <w:delText xml:space="preserve">, see </w:delText>
        </w:r>
      </w:del>
      <w:r>
        <w:rPr>
          <w:lang w:val="en-GB"/>
        </w:rPr>
        <w:t>Figure 3a</w:t>
      </w:r>
      <w:ins w:id="312" w:author="Schenk, Denis Elia (ARTORG)" w:date="2021-05-25T10:55:00Z">
        <w:r>
          <w:rPr>
            <w:lang w:val="en-GB"/>
          </w:rPr>
          <w:t>)</w:t>
        </w:r>
      </w:ins>
      <w:del w:id="313" w:author="Schenk, Denis Elia (ARTORG)" w:date="2021-05-25T10:55:00Z">
        <w:r>
          <w:rPr>
            <w:lang w:val="en-GB"/>
          </w:rPr>
          <w:delText>,</w:delText>
        </w:r>
      </w:del>
      <w:r>
        <w:rPr>
          <w:lang w:val="en-GB"/>
        </w:rPr>
        <w:t xml:space="preserve"> the fit is performed on 720 ROIs leading to 8640 </w:t>
      </w:r>
      <w:ins w:id="314" w:author="Schenk, Denis Elia (ARTORG)" w:date="2021-05-25T10:57:00Z">
        <w:r>
          <w:rPr>
            <w:lang w:val="en-GB"/>
          </w:rPr>
          <w:t xml:space="preserve">data </w:t>
        </w:r>
      </w:ins>
      <w:r>
        <w:rPr>
          <w:lang w:val="en-GB"/>
        </w:rPr>
        <w:t xml:space="preserve">points. The </w:t>
      </w:r>
      <w:r>
        <w:rPr>
          <w:i/>
          <w:lang w:val="en-GB"/>
        </w:rPr>
        <w:t>R</w:t>
      </w:r>
      <w:r>
        <w:rPr>
          <w:vertAlign w:val="superscript"/>
          <w:lang w:val="en-GB"/>
        </w:rPr>
        <w:t>2</w:t>
      </w:r>
      <w:r>
        <w:rPr>
          <w:vertAlign w:val="subscript"/>
          <w:lang w:val="en-GB"/>
        </w:rPr>
        <w:t>adj</w:t>
      </w:r>
      <w:r>
        <w:rPr>
          <w:lang w:val="en-GB"/>
        </w:rPr>
        <w:t xml:space="preserve"> is slightly above 0.95 and the </w:t>
      </w:r>
      <w:r>
        <w:rPr>
          <w:i/>
          <w:lang w:val="en-GB"/>
        </w:rPr>
        <w:t>NE</w:t>
      </w:r>
      <w:r>
        <w:rPr>
          <w:lang w:val="en-GB"/>
        </w:rPr>
        <w:t xml:space="preserve"> is of 18% </w:t>
      </w:r>
      <w:r>
        <w:rPr>
          <w:rFonts w:cs="Latin Modern Math" w:ascii="Latin Modern Math" w:hAnsi="Latin Modern Math"/>
          <w:lang w:val="en-GB"/>
        </w:rPr>
        <w:t>±</w:t>
      </w:r>
      <w:r>
        <w:rPr>
          <w:lang w:val="en-GB"/>
        </w:rPr>
        <w:t xml:space="preserve"> 10%. The regression of the OI group</w:t>
      </w:r>
      <w:ins w:id="315" w:author="Schenk, Denis Elia (ARTORG)" w:date="2021-05-25T10:55:00Z">
        <w:r>
          <w:rPr>
            <w:lang w:val="en-GB"/>
          </w:rPr>
          <w:t xml:space="preserve"> (Figure XY)</w:t>
        </w:r>
      </w:ins>
      <w:r>
        <w:rPr>
          <w:lang w:val="en-GB"/>
        </w:rPr>
        <w:t xml:space="preserve"> could only be performed on 294 ROIs</w:t>
      </w:r>
      <w:ins w:id="316" w:author="Schenk, Denis Elia (ARTORG)" w:date="2021-05-25T10:56:00Z">
        <w:r>
          <w:rPr>
            <w:lang w:val="en-GB"/>
          </w:rPr>
          <w:t>,</w:t>
        </w:r>
      </w:ins>
      <w:r>
        <w:rPr>
          <w:lang w:val="en-GB"/>
        </w:rPr>
        <w:t xml:space="preserve"> as it was not possible to find suitable ROIs for one patient. </w:t>
      </w:r>
      <w:del w:id="317" w:author="Schenk, Denis Elia (ARTORG)" w:date="2021-05-25T10:56:00Z">
        <w:r>
          <w:rPr>
            <w:lang w:val="en-GB"/>
          </w:rPr>
          <w:delText>Nevertheless, it</w:delText>
        </w:r>
      </w:del>
      <w:ins w:id="318" w:author="Schenk, Denis Elia (ARTORG)" w:date="2021-05-25T10:56:00Z">
        <w:r>
          <w:rPr>
            <w:lang w:val="en-GB"/>
          </w:rPr>
          <w:t>This</w:t>
        </w:r>
      </w:ins>
      <w:r>
        <w:rPr>
          <w:lang w:val="en-GB"/>
        </w:rPr>
        <w:t xml:space="preserve"> leads to 3528 </w:t>
      </w:r>
      <w:ins w:id="319" w:author="Schenk, Denis Elia (ARTORG)" w:date="2021-05-25T10:56:00Z">
        <w:r>
          <w:rPr>
            <w:lang w:val="en-GB"/>
          </w:rPr>
          <w:t xml:space="preserve">data </w:t>
        </w:r>
      </w:ins>
      <w:r>
        <w:rPr>
          <w:lang w:val="en-GB"/>
        </w:rPr>
        <w:t>points, a</w:t>
      </w:r>
      <w:ins w:id="320" w:author="Schenk, Denis Elia (ARTORG)" w:date="2021-05-25T10:56:00Z">
        <w:r>
          <w:rPr>
            <w:lang w:val="en-GB"/>
          </w:rPr>
          <w:t>n</w:t>
        </w:r>
      </w:ins>
      <w:r>
        <w:rPr>
          <w:lang w:val="en-GB"/>
        </w:rPr>
        <w:t xml:space="preserve"> </w:t>
      </w:r>
      <w:r>
        <w:rPr>
          <w:i/>
          <w:lang w:val="en-GB"/>
        </w:rPr>
        <w:t>R</w:t>
      </w:r>
      <w:r>
        <w:rPr>
          <w:vertAlign w:val="superscript"/>
          <w:lang w:val="en-GB"/>
        </w:rPr>
        <w:t>2</w:t>
      </w:r>
      <w:r>
        <w:rPr>
          <w:vertAlign w:val="subscript"/>
          <w:lang w:val="en-GB"/>
        </w:rPr>
        <w:t>adj</w:t>
      </w:r>
      <w:r>
        <w:rPr>
          <w:lang w:val="en-GB"/>
        </w:rPr>
        <w:t xml:space="preserve"> close to 0.85 and a </w:t>
      </w:r>
      <w:r>
        <w:rPr>
          <w:i/>
          <w:lang w:val="en-GB"/>
        </w:rPr>
        <w:t>NE</w:t>
      </w:r>
      <w:r>
        <w:rPr>
          <w:lang w:val="en-GB"/>
        </w:rPr>
        <w:t xml:space="preserve"> of 62% </w:t>
      </w:r>
      <w:r>
        <w:rPr>
          <w:rFonts w:cs="Latin Modern Math" w:ascii="Latin Modern Math" w:hAnsi="Latin Modern Math"/>
          <w:lang w:val="en-GB"/>
        </w:rPr>
        <w:t>±</w:t>
      </w:r>
      <w:r>
        <w:rPr>
          <w:lang w:val="en-GB"/>
        </w:rPr>
        <w:t xml:space="preserve"> 233%. It can be noticed that, as the values of observed tensor decreases, </w:t>
      </w:r>
      <w:ins w:id="321" w:author="Schenk, Denis Elia (ARTORG)" w:date="2021-05-25T10:56:00Z">
        <w:r>
          <w:rPr>
            <w:lang w:val="en-GB"/>
          </w:rPr>
          <w:t xml:space="preserve">data </w:t>
        </w:r>
      </w:ins>
      <w:r>
        <w:rPr>
          <w:lang w:val="en-GB"/>
        </w:rPr>
        <w:t>points tend</w:t>
      </w:r>
      <w:del w:id="322" w:author="Schenk, Denis Elia (ARTORG)" w:date="2021-05-25T10:56:00Z">
        <w:r>
          <w:rPr>
            <w:lang w:val="en-GB"/>
          </w:rPr>
          <w:delText>s</w:delText>
        </w:r>
      </w:del>
      <w:r>
        <w:rPr>
          <w:lang w:val="en-GB"/>
        </w:rPr>
        <w:t xml:space="preserve"> to be further apart </w:t>
      </w:r>
      <w:del w:id="323" w:author="Schenk, Denis Elia (ARTORG)" w:date="2021-05-25T10:56:00Z">
        <w:r>
          <w:rPr>
            <w:lang w:val="en-GB"/>
          </w:rPr>
          <w:delText xml:space="preserve">of </w:delText>
        </w:r>
      </w:del>
      <w:ins w:id="324" w:author="Schenk, Denis Elia (ARTORG)" w:date="2021-05-25T10:56:00Z">
        <w:r>
          <w:rPr>
            <w:lang w:val="en-GB"/>
          </w:rPr>
          <w:t xml:space="preserve">from </w:t>
        </w:r>
      </w:ins>
      <w:r>
        <w:rPr>
          <w:lang w:val="en-GB"/>
        </w:rPr>
        <w:t xml:space="preserve">the diagonal (dashed line). Moreover, the </w:t>
      </w:r>
      <w:ins w:id="325" w:author="Schenk, Denis Elia (ARTORG)" w:date="2021-05-25T10:57:00Z">
        <w:r>
          <w:rPr>
            <w:lang w:val="en-GB"/>
          </w:rPr>
          <w:t xml:space="preserve">data </w:t>
        </w:r>
      </w:ins>
      <w:r>
        <w:rPr>
          <w:lang w:val="en-GB"/>
        </w:rPr>
        <w:t xml:space="preserve">points </w:t>
      </w:r>
      <w:del w:id="326" w:author="Schenk, Denis Elia (ARTORG)" w:date="2021-05-25T10:57:00Z">
        <w:r>
          <w:rPr>
            <w:lang w:val="en-GB"/>
          </w:rPr>
          <w:delText xml:space="preserve">coming </w:delText>
        </w:r>
      </w:del>
      <w:r>
        <w:rPr>
          <w:lang w:val="en-GB"/>
        </w:rPr>
        <w:t xml:space="preserve">from the </w:t>
      </w:r>
      <w:commentRangeStart w:id="53"/>
      <w:r>
        <w:rPr>
          <w:lang w:val="en-GB"/>
        </w:rPr>
        <w:t xml:space="preserve">tensors </w:t>
      </w:r>
      <w:r>
        <w:rPr>
          <w:lang w:val="en-GB"/>
        </w:rPr>
      </w:r>
      <w:commentRangeEnd w:id="53"/>
      <w:r>
        <w:commentReference w:id="53"/>
      </w:r>
      <w:r>
        <w:rPr>
          <w:lang w:val="en-GB"/>
        </w:rPr>
        <w:t xml:space="preserve">with lowest values are </w:t>
      </w:r>
      <w:del w:id="327" w:author="Schenk, Denis Elia (ARTORG)" w:date="2021-05-25T10:57:00Z">
        <w:r>
          <w:rPr>
            <w:lang w:val="en-GB"/>
          </w:rPr>
          <w:delText xml:space="preserve">only </w:delText>
        </w:r>
      </w:del>
      <w:ins w:id="328" w:author="Schenk, Denis Elia (ARTORG)" w:date="2021-05-25T10:57:00Z">
        <w:r>
          <w:rPr>
            <w:lang w:val="en-GB"/>
          </w:rPr>
          <w:t xml:space="preserve">exclusively </w:t>
        </w:r>
      </w:ins>
      <w:r>
        <w:rPr>
          <w:lang w:val="en-GB"/>
        </w:rPr>
        <w:t xml:space="preserve">above the diagonal. </w:t>
      </w:r>
      <w:del w:id="329" w:author="Schenk, Denis Elia (ARTORG)" w:date="2021-05-25T10:58:00Z">
        <w:r>
          <w:rPr>
            <w:lang w:val="en-GB"/>
          </w:rPr>
          <w:delText xml:space="preserve">One last </w:delText>
        </w:r>
      </w:del>
    </w:p>
    <w:p>
      <w:pPr>
        <w:pStyle w:val="Normal"/>
        <w:tabs>
          <w:tab w:val="clear" w:pos="708"/>
          <w:tab w:val="left" w:pos="492" w:leader="none"/>
          <w:tab w:val="left" w:pos="2760" w:leader="none"/>
        </w:tabs>
        <w:jc w:val="both"/>
        <w:rPr>
          <w:lang w:val="en-US"/>
        </w:rPr>
      </w:pPr>
      <w:r>
        <w:rPr>
          <w:lang w:val="en-US"/>
        </w:rPr>
      </w:r>
    </w:p>
    <w:p>
      <w:pPr>
        <w:pStyle w:val="Normal"/>
        <w:tabs>
          <w:tab w:val="clear" w:pos="708"/>
          <w:tab w:val="left" w:pos="492" w:leader="none"/>
          <w:tab w:val="left" w:pos="2760" w:leader="none"/>
        </w:tabs>
        <w:jc w:val="both"/>
        <w:rPr>
          <w:lang w:val="en-US"/>
        </w:rPr>
      </w:pPr>
      <w:r>
        <w:rPr>
          <w:lang w:val="en-US"/>
        </w:rPr>
      </w:r>
    </w:p>
    <w:p>
      <w:pPr>
        <w:pStyle w:val="Normal"/>
        <w:tabs>
          <w:tab w:val="clear" w:pos="708"/>
          <w:tab w:val="left" w:pos="492" w:leader="none"/>
          <w:tab w:val="left" w:pos="2760" w:leader="none"/>
        </w:tabs>
        <w:jc w:val="both"/>
        <w:rPr>
          <w:lang w:val="en-US"/>
        </w:rPr>
      </w:pPr>
      <w:r>
        <w:rPr>
          <w:b/>
          <w:sz w:val="16"/>
          <w:lang w:val="en-GB"/>
        </w:rPr>
        <w:t>Table 1</w:t>
      </w:r>
      <w:r>
        <w:rPr>
          <w:sz w:val="16"/>
          <w:lang w:val="en-GB"/>
        </w:rPr>
        <w:t>: Summary of the data set used for different methods</w:t>
      </w:r>
    </w:p>
    <w:tbl>
      <w:tblPr>
        <w:tblW w:w="8558" w:type="dxa"/>
        <w:jc w:val="left"/>
        <w:tblInd w:w="10" w:type="dxa"/>
        <w:tblCellMar>
          <w:top w:w="0" w:type="dxa"/>
          <w:left w:w="10" w:type="dxa"/>
          <w:bottom w:w="0" w:type="dxa"/>
          <w:right w:w="10" w:type="dxa"/>
        </w:tblCellMar>
        <w:tblLook w:val="0000" w:noHBand="0" w:noVBand="0" w:firstColumn="0" w:lastRow="0" w:lastColumn="0" w:firstRow="0"/>
      </w:tblPr>
      <w:tblGrid>
        <w:gridCol w:w="1236"/>
        <w:gridCol w:w="1794"/>
        <w:gridCol w:w="1938"/>
        <w:gridCol w:w="1728"/>
        <w:gridCol w:w="1862"/>
      </w:tblGrid>
      <w:tr>
        <w:trPr/>
        <w:tc>
          <w:tcPr>
            <w:tcW w:w="1236" w:type="dxa"/>
            <w:tcBorders>
              <w:top w:val="dashed" w:sz="4" w:space="0" w:color="000000"/>
              <w:left w:val="dashed" w:sz="6" w:space="0" w:color="000000"/>
              <w:bottom w:val="dashed" w:sz="4" w:space="0" w:color="000000"/>
              <w:right w:val="dashed" w:sz="6" w:space="0" w:color="000000"/>
            </w:tcBorders>
          </w:tcPr>
          <w:p>
            <w:pPr>
              <w:pStyle w:val="Normal"/>
              <w:rPr/>
            </w:pPr>
            <w:r>
              <w:rPr>
                <w:sz w:val="16"/>
                <w:lang w:val="fr-CH"/>
              </w:rPr>
              <w:t>Data sets</w:t>
            </w:r>
          </w:p>
        </w:tc>
        <w:tc>
          <w:tcPr>
            <w:tcW w:w="1794" w:type="dxa"/>
            <w:tcBorders>
              <w:top w:val="dashed" w:sz="4" w:space="0" w:color="000000"/>
              <w:left w:val="dashed" w:sz="6" w:space="0" w:color="000000"/>
              <w:bottom w:val="dashed" w:sz="4" w:space="0" w:color="000000"/>
              <w:right w:val="dashed" w:sz="6" w:space="0" w:color="000000"/>
            </w:tcBorders>
          </w:tcPr>
          <w:p>
            <w:pPr>
              <w:pStyle w:val="Normal"/>
              <w:jc w:val="center"/>
              <w:rPr/>
            </w:pPr>
            <w:r>
              <w:rPr>
                <w:sz w:val="16"/>
                <w:lang w:val="fr-CH"/>
              </w:rPr>
              <w:t>Original</w:t>
            </w:r>
          </w:p>
        </w:tc>
        <w:tc>
          <w:tcPr>
            <w:tcW w:w="1938" w:type="dxa"/>
            <w:tcBorders>
              <w:top w:val="dashed" w:sz="4" w:space="0" w:color="000000"/>
              <w:left w:val="dashed" w:sz="6" w:space="0" w:color="000000"/>
              <w:bottom w:val="dashed" w:sz="4" w:space="0" w:color="000000"/>
              <w:right w:val="dashed" w:sz="6" w:space="0" w:color="000000"/>
            </w:tcBorders>
          </w:tcPr>
          <w:p>
            <w:pPr>
              <w:pStyle w:val="Normal"/>
              <w:jc w:val="center"/>
              <w:rPr/>
            </w:pPr>
            <w:r>
              <w:rPr>
                <w:sz w:val="16"/>
                <w:lang w:val="fr-CH"/>
              </w:rPr>
              <w:t>Age &amp; gender matched</w:t>
            </w:r>
          </w:p>
        </w:tc>
        <w:tc>
          <w:tcPr>
            <w:tcW w:w="1728" w:type="dxa"/>
            <w:tcBorders>
              <w:top w:val="dashed" w:sz="4" w:space="0" w:color="000000"/>
              <w:left w:val="dashed" w:sz="6" w:space="0" w:color="000000"/>
              <w:bottom w:val="dashed" w:sz="4" w:space="0" w:color="000000"/>
              <w:right w:val="dashed" w:sz="6" w:space="0" w:color="000000"/>
            </w:tcBorders>
          </w:tcPr>
          <w:p>
            <w:pPr>
              <w:pStyle w:val="Normal"/>
              <w:jc w:val="center"/>
              <w:rPr/>
            </w:pPr>
            <w:r>
              <w:rPr>
                <w:sz w:val="16"/>
                <w:lang w:val="fr-CH"/>
              </w:rPr>
              <w:t>CV filtered</w:t>
            </w:r>
          </w:p>
        </w:tc>
        <w:tc>
          <w:tcPr>
            <w:tcW w:w="1862" w:type="dxa"/>
            <w:tcBorders>
              <w:top w:val="dashed" w:sz="4" w:space="0" w:color="000000"/>
              <w:left w:val="dashed" w:sz="6" w:space="0" w:color="000000"/>
              <w:bottom w:val="dashed" w:sz="4" w:space="0" w:color="000000"/>
              <w:right w:val="dashed" w:sz="6" w:space="0" w:color="000000"/>
            </w:tcBorders>
          </w:tcPr>
          <w:p>
            <w:pPr>
              <w:pStyle w:val="Normal"/>
              <w:jc w:val="center"/>
              <w:rPr/>
            </w:pPr>
            <w:r>
              <w:rPr>
                <w:sz w:val="16"/>
                <w:lang w:val="fr-CH"/>
              </w:rPr>
              <w:t>BV/TV &amp; DA matched</w:t>
            </w:r>
          </w:p>
        </w:tc>
      </w:tr>
    </w:tbl>
    <w:p>
      <w:pPr>
        <w:pStyle w:val="Normal"/>
        <w:rPr/>
      </w:pPr>
      <w:r>
        <w:rPr/>
      </w:r>
    </w:p>
    <w:tbl>
      <w:tblPr>
        <w:tblW w:w="8098" w:type="dxa"/>
        <w:jc w:val="left"/>
        <w:tblInd w:w="10" w:type="dxa"/>
        <w:tblCellMar>
          <w:top w:w="0" w:type="dxa"/>
          <w:left w:w="10" w:type="dxa"/>
          <w:bottom w:w="0" w:type="dxa"/>
          <w:right w:w="10" w:type="dxa"/>
        </w:tblCellMar>
        <w:tblLook w:val="0000" w:noHBand="0" w:noVBand="0" w:firstColumn="0" w:lastRow="0" w:lastColumn="0" w:firstRow="0"/>
      </w:tblPr>
      <w:tblGrid>
        <w:gridCol w:w="1237"/>
        <w:gridCol w:w="802"/>
        <w:gridCol w:w="876"/>
        <w:gridCol w:w="878"/>
        <w:gridCol w:w="945"/>
        <w:gridCol w:w="877"/>
        <w:gridCol w:w="733"/>
        <w:gridCol w:w="945"/>
        <w:gridCol w:w="804"/>
      </w:tblGrid>
      <w:tr>
        <w:trPr/>
        <w:tc>
          <w:tcPr>
            <w:tcW w:w="1237" w:type="dxa"/>
            <w:tcBorders>
              <w:top w:val="dashed" w:sz="4" w:space="0" w:color="000000"/>
              <w:left w:val="dashed" w:sz="6" w:space="0" w:color="000000"/>
              <w:bottom w:val="dashed" w:sz="6" w:space="0" w:color="000000"/>
              <w:right w:val="dashed" w:sz="6" w:space="0" w:color="000000"/>
            </w:tcBorders>
          </w:tcPr>
          <w:p>
            <w:pPr>
              <w:pStyle w:val="Normal"/>
              <w:rPr/>
            </w:pPr>
            <w:r>
              <w:rPr>
                <w:sz w:val="16"/>
                <w:lang w:val="fr-CH"/>
              </w:rPr>
              <w:t>Group</w:t>
            </w:r>
          </w:p>
        </w:tc>
        <w:tc>
          <w:tcPr>
            <w:tcW w:w="802"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Healthy</w:t>
            </w:r>
          </w:p>
        </w:tc>
        <w:tc>
          <w:tcPr>
            <w:tcW w:w="876"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OI</w:t>
            </w:r>
          </w:p>
        </w:tc>
        <w:tc>
          <w:tcPr>
            <w:tcW w:w="878"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Healthy</w:t>
            </w:r>
          </w:p>
        </w:tc>
        <w:tc>
          <w:tcPr>
            <w:tcW w:w="945"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OI</w:t>
            </w:r>
          </w:p>
        </w:tc>
        <w:tc>
          <w:tcPr>
            <w:tcW w:w="877"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Healthy</w:t>
            </w:r>
          </w:p>
        </w:tc>
        <w:tc>
          <w:tcPr>
            <w:tcW w:w="733"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OI</w:t>
            </w:r>
          </w:p>
        </w:tc>
        <w:tc>
          <w:tcPr>
            <w:tcW w:w="945"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Healthy</w:t>
            </w:r>
          </w:p>
        </w:tc>
        <w:tc>
          <w:tcPr>
            <w:tcW w:w="804"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OI</w:t>
            </w:r>
          </w:p>
        </w:tc>
      </w:tr>
      <w:tr>
        <w:trPr/>
        <w:tc>
          <w:tcPr>
            <w:tcW w:w="1237" w:type="dxa"/>
            <w:tcBorders>
              <w:top w:val="dashed" w:sz="4" w:space="0" w:color="000000"/>
              <w:left w:val="dashed" w:sz="6" w:space="0" w:color="000000"/>
              <w:bottom w:val="dashed" w:sz="6" w:space="0" w:color="000000"/>
              <w:right w:val="dashed" w:sz="6" w:space="0" w:color="000000"/>
            </w:tcBorders>
          </w:tcPr>
          <w:p>
            <w:pPr>
              <w:pStyle w:val="Normal"/>
              <w:rPr/>
            </w:pPr>
            <w:r>
              <w:rPr>
                <w:sz w:val="16"/>
                <w:lang w:val="fr-CH"/>
              </w:rPr>
              <w:t>Individuals</w:t>
            </w:r>
          </w:p>
        </w:tc>
        <w:tc>
          <w:tcPr>
            <w:tcW w:w="802"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120</w:t>
            </w:r>
          </w:p>
        </w:tc>
        <w:tc>
          <w:tcPr>
            <w:tcW w:w="876"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50</w:t>
            </w:r>
          </w:p>
        </w:tc>
        <w:tc>
          <w:tcPr>
            <w:tcW w:w="878"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28</w:t>
            </w:r>
          </w:p>
        </w:tc>
        <w:tc>
          <w:tcPr>
            <w:tcW w:w="945"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28</w:t>
            </w:r>
          </w:p>
        </w:tc>
        <w:tc>
          <w:tcPr>
            <w:tcW w:w="877"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119</w:t>
            </w:r>
          </w:p>
        </w:tc>
        <w:tc>
          <w:tcPr>
            <w:tcW w:w="733"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38</w:t>
            </w:r>
          </w:p>
        </w:tc>
        <w:tc>
          <w:tcPr>
            <w:tcW w:w="945"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58</w:t>
            </w:r>
          </w:p>
        </w:tc>
        <w:tc>
          <w:tcPr>
            <w:tcW w:w="804"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33</w:t>
            </w:r>
          </w:p>
        </w:tc>
      </w:tr>
      <w:tr>
        <w:trPr/>
        <w:tc>
          <w:tcPr>
            <w:tcW w:w="1237" w:type="dxa"/>
            <w:tcBorders>
              <w:top w:val="dashed" w:sz="4" w:space="0" w:color="000000"/>
              <w:left w:val="dashed" w:sz="6" w:space="0" w:color="000000"/>
              <w:bottom w:val="dashed" w:sz="6" w:space="0" w:color="000000"/>
              <w:right w:val="dashed" w:sz="6" w:space="0" w:color="000000"/>
            </w:tcBorders>
          </w:tcPr>
          <w:p>
            <w:pPr>
              <w:pStyle w:val="Normal"/>
              <w:rPr/>
            </w:pPr>
            <w:r>
              <w:rPr>
                <w:sz w:val="16"/>
                <w:lang w:val="fr-CH"/>
              </w:rPr>
              <w:t>ROIs</w:t>
            </w:r>
          </w:p>
        </w:tc>
        <w:tc>
          <w:tcPr>
            <w:tcW w:w="802"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720</w:t>
            </w:r>
          </w:p>
        </w:tc>
        <w:tc>
          <w:tcPr>
            <w:tcW w:w="876"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300</w:t>
            </w:r>
          </w:p>
        </w:tc>
        <w:tc>
          <w:tcPr>
            <w:tcW w:w="878"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168</w:t>
            </w:r>
          </w:p>
        </w:tc>
        <w:tc>
          <w:tcPr>
            <w:tcW w:w="945"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168</w:t>
            </w:r>
          </w:p>
        </w:tc>
        <w:tc>
          <w:tcPr>
            <w:tcW w:w="877"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603</w:t>
            </w:r>
          </w:p>
        </w:tc>
        <w:tc>
          <w:tcPr>
            <w:tcW w:w="733"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115</w:t>
            </w:r>
          </w:p>
        </w:tc>
        <w:tc>
          <w:tcPr>
            <w:tcW w:w="945"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83</w:t>
            </w:r>
          </w:p>
        </w:tc>
        <w:tc>
          <w:tcPr>
            <w:tcW w:w="804"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83</w:t>
            </w:r>
          </w:p>
        </w:tc>
      </w:tr>
      <w:tr>
        <w:trPr/>
        <w:tc>
          <w:tcPr>
            <w:tcW w:w="1237" w:type="dxa"/>
            <w:tcBorders>
              <w:top w:val="dashed" w:sz="4" w:space="0" w:color="000000"/>
              <w:left w:val="dashed" w:sz="6" w:space="0" w:color="000000"/>
              <w:bottom w:val="dashed" w:sz="4" w:space="0" w:color="000000"/>
              <w:right w:val="dashed" w:sz="6" w:space="0" w:color="000000"/>
            </w:tcBorders>
          </w:tcPr>
          <w:p>
            <w:pPr>
              <w:pStyle w:val="Normal"/>
              <w:rPr/>
            </w:pPr>
            <w:r>
              <w:rPr>
                <w:sz w:val="16"/>
                <w:lang w:val="fr-CH"/>
              </w:rPr>
              <w:t>Methods</w:t>
            </w:r>
          </w:p>
        </w:tc>
        <w:tc>
          <w:tcPr>
            <w:tcW w:w="1678" w:type="dxa"/>
            <w:gridSpan w:val="2"/>
            <w:tcBorders>
              <w:top w:val="dashed" w:sz="4" w:space="0" w:color="000000"/>
              <w:left w:val="dashed" w:sz="6" w:space="0" w:color="000000"/>
              <w:bottom w:val="dashed" w:sz="4" w:space="0" w:color="000000"/>
              <w:right w:val="dashed" w:sz="6" w:space="0" w:color="000000"/>
            </w:tcBorders>
          </w:tcPr>
          <w:p>
            <w:pPr>
              <w:pStyle w:val="Normal"/>
              <w:jc w:val="center"/>
              <w:rPr/>
            </w:pPr>
            <w:r>
              <w:rPr>
                <w:sz w:val="16"/>
                <w:lang w:val="fr-CH"/>
              </w:rPr>
              <w:t>Fit to model</w:t>
            </w:r>
          </w:p>
        </w:tc>
        <w:tc>
          <w:tcPr>
            <w:tcW w:w="1823" w:type="dxa"/>
            <w:gridSpan w:val="2"/>
            <w:tcBorders>
              <w:top w:val="dashed" w:sz="4" w:space="0" w:color="000000"/>
              <w:left w:val="dashed" w:sz="6" w:space="0" w:color="000000"/>
              <w:bottom w:val="dashed" w:sz="4" w:space="0" w:color="000000"/>
              <w:right w:val="dashed" w:sz="6" w:space="0" w:color="000000"/>
            </w:tcBorders>
          </w:tcPr>
          <w:p>
            <w:pPr>
              <w:pStyle w:val="Normal"/>
              <w:jc w:val="center"/>
              <w:rPr/>
            </w:pPr>
            <w:r>
              <w:rPr>
                <w:sz w:val="16"/>
                <w:lang w:val="fr-CH"/>
              </w:rPr>
              <w:t>Statistics</w:t>
            </w:r>
          </w:p>
        </w:tc>
        <w:tc>
          <w:tcPr>
            <w:tcW w:w="1610" w:type="dxa"/>
            <w:gridSpan w:val="2"/>
            <w:tcBorders>
              <w:top w:val="dashed" w:sz="4" w:space="0" w:color="000000"/>
              <w:left w:val="dashed" w:sz="6" w:space="0" w:color="000000"/>
              <w:bottom w:val="dashed" w:sz="4" w:space="0" w:color="000000"/>
              <w:right w:val="dashed" w:sz="6" w:space="0" w:color="000000"/>
            </w:tcBorders>
          </w:tcPr>
          <w:p>
            <w:pPr>
              <w:pStyle w:val="Normal"/>
              <w:jc w:val="center"/>
              <w:rPr/>
            </w:pPr>
            <w:r>
              <w:rPr>
                <w:sz w:val="16"/>
                <w:lang w:val="fr-CH"/>
              </w:rPr>
              <w:t>Fit to model</w:t>
            </w:r>
          </w:p>
        </w:tc>
        <w:tc>
          <w:tcPr>
            <w:tcW w:w="1749" w:type="dxa"/>
            <w:gridSpan w:val="2"/>
            <w:tcBorders>
              <w:top w:val="dashed" w:sz="4" w:space="0" w:color="000000"/>
              <w:left w:val="dashed" w:sz="6" w:space="0" w:color="000000"/>
              <w:bottom w:val="dashed" w:sz="4" w:space="0" w:color="000000"/>
              <w:right w:val="dashed" w:sz="6" w:space="0" w:color="000000"/>
            </w:tcBorders>
          </w:tcPr>
          <w:p>
            <w:pPr>
              <w:pStyle w:val="Normal"/>
              <w:jc w:val="center"/>
              <w:rPr/>
            </w:pPr>
            <w:r>
              <w:rPr>
                <w:sz w:val="16"/>
                <w:lang w:val="fr-CH"/>
              </w:rPr>
              <w:t>Fit to model</w:t>
            </w:r>
          </w:p>
        </w:tc>
      </w:tr>
    </w:tbl>
    <w:p>
      <w:pPr>
        <w:pStyle w:val="Normal"/>
        <w:rPr/>
      </w:pPr>
      <w:r>
        <w:rPr/>
      </w:r>
    </w:p>
    <w:p>
      <w:pPr>
        <w:pStyle w:val="Normal"/>
        <w:tabs>
          <w:tab w:val="clear" w:pos="708"/>
          <w:tab w:val="left" w:pos="492" w:leader="none"/>
          <w:tab w:val="left" w:pos="2760" w:leader="none"/>
        </w:tabs>
        <w:jc w:val="center"/>
        <w:rPr/>
      </w:pPr>
      <w:r>
        <w:rPr/>
        <w:drawing>
          <wp:inline distT="0" distB="0" distL="0" distR="0">
            <wp:extent cx="2444750" cy="2000250"/>
            <wp:effectExtent l="0" t="0" r="0" b="0"/>
            <wp:docPr id="4" nam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png" descr=""/>
                    <pic:cNvPicPr>
                      <a:picLocks noChangeAspect="1" noChangeArrowheads="1"/>
                    </pic:cNvPicPr>
                  </pic:nvPicPr>
                  <pic:blipFill>
                    <a:blip r:embed="rId5"/>
                    <a:stretch>
                      <a:fillRect/>
                    </a:stretch>
                  </pic:blipFill>
                  <pic:spPr bwMode="auto">
                    <a:xfrm>
                      <a:off x="0" y="0"/>
                      <a:ext cx="2444750" cy="2000250"/>
                    </a:xfrm>
                    <a:prstGeom prst="rect">
                      <a:avLst/>
                    </a:prstGeom>
                  </pic:spPr>
                </pic:pic>
              </a:graphicData>
            </a:graphic>
          </wp:inline>
        </w:drawing>
      </w:r>
    </w:p>
    <w:p>
      <w:pPr>
        <w:pStyle w:val="Normal"/>
        <w:tabs>
          <w:tab w:val="clear" w:pos="708"/>
          <w:tab w:val="left" w:pos="492" w:leader="none"/>
          <w:tab w:val="left" w:pos="2760" w:leader="none"/>
        </w:tabs>
        <w:jc w:val="center"/>
        <w:rPr/>
      </w:pPr>
      <w:r>
        <w:rPr>
          <w:sz w:val="16"/>
          <w:lang w:val="en-GB"/>
        </w:rPr>
        <w:t>(a) Healthy group</w:t>
      </w:r>
    </w:p>
    <w:p>
      <w:pPr>
        <w:pStyle w:val="Normal"/>
        <w:tabs>
          <w:tab w:val="clear" w:pos="708"/>
          <w:tab w:val="left" w:pos="492" w:leader="none"/>
          <w:tab w:val="left" w:pos="2760" w:leader="none"/>
        </w:tabs>
        <w:jc w:val="center"/>
        <w:rPr/>
      </w:pPr>
      <w:r>
        <w:rPr/>
        <w:drawing>
          <wp:inline distT="0" distB="0" distL="0" distR="0">
            <wp:extent cx="2444750" cy="2000250"/>
            <wp:effectExtent l="0" t="0" r="0" b="0"/>
            <wp:docPr id="5" nam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png" descr=""/>
                    <pic:cNvPicPr>
                      <a:picLocks noChangeAspect="1" noChangeArrowheads="1"/>
                    </pic:cNvPicPr>
                  </pic:nvPicPr>
                  <pic:blipFill>
                    <a:blip r:embed="rId6"/>
                    <a:stretch>
                      <a:fillRect/>
                    </a:stretch>
                  </pic:blipFill>
                  <pic:spPr bwMode="auto">
                    <a:xfrm>
                      <a:off x="0" y="0"/>
                      <a:ext cx="2444750" cy="2000250"/>
                    </a:xfrm>
                    <a:prstGeom prst="rect">
                      <a:avLst/>
                    </a:prstGeom>
                  </pic:spPr>
                </pic:pic>
              </a:graphicData>
            </a:graphic>
          </wp:inline>
        </w:drawing>
      </w:r>
    </w:p>
    <w:p>
      <w:pPr>
        <w:pStyle w:val="Normal"/>
        <w:tabs>
          <w:tab w:val="clear" w:pos="708"/>
          <w:tab w:val="left" w:pos="492" w:leader="none"/>
          <w:tab w:val="left" w:pos="2760" w:leader="none"/>
        </w:tabs>
        <w:jc w:val="center"/>
        <w:rPr>
          <w:lang w:val="en-US"/>
        </w:rPr>
      </w:pPr>
      <w:r>
        <w:rPr>
          <w:sz w:val="16"/>
          <w:lang w:val="en-GB"/>
        </w:rPr>
        <w:t>(b) OI group</w:t>
      </w:r>
    </w:p>
    <w:p>
      <w:pPr>
        <w:pStyle w:val="Normal"/>
        <w:tabs>
          <w:tab w:val="clear" w:pos="708"/>
          <w:tab w:val="left" w:pos="492" w:leader="none"/>
          <w:tab w:val="left" w:pos="2760" w:leader="none"/>
        </w:tabs>
        <w:jc w:val="center"/>
        <w:rPr>
          <w:lang w:val="en-US"/>
        </w:rPr>
      </w:pPr>
      <w:r>
        <w:rPr>
          <w:lang w:val="en-US"/>
        </w:rPr>
      </w:r>
    </w:p>
    <w:p>
      <w:pPr>
        <w:pStyle w:val="Normal"/>
        <w:tabs>
          <w:tab w:val="clear" w:pos="708"/>
          <w:tab w:val="left" w:pos="492" w:leader="none"/>
          <w:tab w:val="left" w:pos="2760" w:leader="none"/>
        </w:tabs>
        <w:spacing w:before="0" w:after="317"/>
        <w:jc w:val="both"/>
        <w:rPr>
          <w:lang w:val="en-US"/>
        </w:rPr>
      </w:pPr>
      <w:r>
        <w:rPr>
          <w:b/>
          <w:sz w:val="16"/>
          <w:lang w:val="en-GB"/>
        </w:rPr>
        <w:t>Figure 3</w:t>
      </w:r>
      <w:r>
        <w:rPr>
          <w:sz w:val="16"/>
          <w:lang w:val="en-GB"/>
        </w:rPr>
        <w:t xml:space="preserve">: Regression results using the fixed effects of the linear mixed-effect model on original data sets. </w:t>
      </w:r>
      <w:r>
        <w:rPr>
          <w:rFonts w:cs="Latin Modern Math" w:ascii="Latin Modern Math" w:hAnsi="Latin Modern Math"/>
          <w:i/>
          <w:sz w:val="16"/>
          <w:lang w:val="en-GB"/>
        </w:rPr>
        <w:t>λ</w:t>
      </w:r>
      <w:r>
        <w:rPr>
          <w:rFonts w:cs="Latin Modern Math" w:ascii="Latin Modern Math" w:hAnsi="Latin Modern Math"/>
          <w:i/>
          <w:sz w:val="16"/>
          <w:vertAlign w:val="subscript"/>
          <w:lang w:val="en-GB"/>
        </w:rPr>
        <w:t>ii</w:t>
      </w:r>
      <w:r>
        <w:rPr>
          <w:sz w:val="16"/>
          <w:lang w:val="en-GB"/>
        </w:rPr>
        <w:t xml:space="preserve"> stands for the diagonal terms of normal components of </w:t>
      </w:r>
      <w:r>
        <w:rPr>
          <w:rFonts w:cs="Latin Modern Math" w:ascii="Latin Modern Math" w:hAnsi="Latin Modern Math"/>
          <w:sz w:val="16"/>
          <w:lang w:val="en-GB"/>
        </w:rPr>
        <w:t>𝕊</w:t>
      </w:r>
      <w:r>
        <w:rPr>
          <w:sz w:val="16"/>
          <w:lang w:val="en-GB"/>
        </w:rPr>
        <w:t xml:space="preserve"> in Mandel notation [MANDEL 1965], </w:t>
      </w:r>
      <w:r>
        <w:rPr>
          <w:rFonts w:cs="Latin Modern Math" w:ascii="Latin Modern Math" w:hAnsi="Latin Modern Math"/>
          <w:i/>
          <w:sz w:val="16"/>
          <w:lang w:val="en-GB"/>
        </w:rPr>
        <w:t>λ</w:t>
      </w:r>
      <w:r>
        <w:rPr>
          <w:rFonts w:cs="Latin Modern Math" w:ascii="Latin Modern Math" w:hAnsi="Latin Modern Math"/>
          <w:i/>
          <w:sz w:val="16"/>
          <w:vertAlign w:val="subscript"/>
          <w:lang w:val="en-GB"/>
        </w:rPr>
        <w:t>ij</w:t>
      </w:r>
      <w:r>
        <w:rPr>
          <w:sz w:val="16"/>
          <w:lang w:val="en-GB"/>
        </w:rPr>
        <w:t xml:space="preserve"> for the off-diagonal terms of normal components, and </w:t>
      </w:r>
      <w:r>
        <w:rPr>
          <w:rFonts w:cs="Latin Modern Math" w:ascii="Latin Modern Math" w:hAnsi="Latin Modern Math"/>
          <w:i/>
          <w:sz w:val="16"/>
          <w:lang w:val="fr-CH"/>
        </w:rPr>
        <w:t>μ</w:t>
      </w:r>
      <w:r>
        <w:rPr>
          <w:rFonts w:cs="Latin Modern Math" w:ascii="Latin Modern Math" w:hAnsi="Latin Modern Math"/>
          <w:i/>
          <w:sz w:val="16"/>
          <w:vertAlign w:val="subscript"/>
          <w:lang w:val="fr-CH"/>
        </w:rPr>
        <w:t>ij</w:t>
      </w:r>
      <w:r>
        <w:rPr>
          <w:sz w:val="16"/>
          <w:lang w:val="en-GB"/>
        </w:rPr>
        <w:t xml:space="preserve"> for the shear components. The dashed line represents the fitted line.</w:t>
      </w:r>
    </w:p>
    <w:p>
      <w:pPr>
        <w:pStyle w:val="Normal"/>
        <w:rPr>
          <w:lang w:val="en-US"/>
        </w:rPr>
      </w:pPr>
      <w:del w:id="330" w:author="Schenk, Denis Elia (ARTORG)" w:date="2021-05-25T10:59:00Z">
        <w:r>
          <w:rPr>
            <w:lang w:val="en-GB"/>
          </w:rPr>
          <w:delText xml:space="preserve">observation which should be noted is the range covered by the observed tensors. </w:delText>
        </w:r>
      </w:del>
      <w:r>
        <w:rPr>
          <w:lang w:val="en-GB"/>
        </w:rPr>
        <w:t xml:space="preserve">The range of </w:t>
      </w:r>
      <w:ins w:id="331" w:author="Schenk, Denis Elia (ARTORG)" w:date="2021-05-25T10:59:00Z">
        <w:r>
          <w:rPr>
            <w:lang w:val="en-GB"/>
          </w:rPr>
          <w:t xml:space="preserve">stiffness tensors of </w:t>
        </w:r>
      </w:ins>
      <w:r>
        <w:rPr>
          <w:lang w:val="en-GB"/>
        </w:rPr>
        <w:t xml:space="preserve">the OI group is wider </w:t>
      </w:r>
      <w:ins w:id="332" w:author="Schenk, Denis Elia (ARTORG)" w:date="2021-05-25T10:59:00Z">
        <w:r>
          <w:rPr>
            <w:lang w:val="en-GB"/>
          </w:rPr>
          <w:t>compared to the one of</w:t>
        </w:r>
      </w:ins>
      <w:del w:id="333" w:author="Schenk, Denis Elia (ARTORG)" w:date="2021-05-25T10:59:00Z">
        <w:r>
          <w:rPr>
            <w:lang w:val="en-GB"/>
          </w:rPr>
          <w:delText>than</w:delText>
        </w:r>
      </w:del>
      <w:r>
        <w:rPr>
          <w:lang w:val="en-GB"/>
        </w:rPr>
        <w:t xml:space="preserve"> the healthy group and ROIs with lower BV/TV present </w:t>
      </w:r>
      <w:del w:id="334" w:author="Schenk, Denis Elia (ARTORG)" w:date="2021-05-25T10:59:00Z">
        <w:r>
          <w:rPr>
            <w:lang w:val="en-GB"/>
          </w:rPr>
          <w:delText xml:space="preserve">further </w:delText>
        </w:r>
      </w:del>
      <w:r>
        <w:rPr>
          <w:lang w:val="en-GB"/>
        </w:rPr>
        <w:t>low</w:t>
      </w:r>
      <w:ins w:id="335" w:author="Schenk, Denis Elia (ARTORG)" w:date="2021-05-25T10:59:00Z">
        <w:r>
          <w:rPr>
            <w:lang w:val="en-GB"/>
          </w:rPr>
          <w:t>er</w:t>
        </w:r>
      </w:ins>
      <w:r>
        <w:rPr>
          <w:lang w:val="en-GB"/>
        </w:rPr>
        <w:t xml:space="preserve"> stiffness values.</w:t>
      </w:r>
    </w:p>
    <w:p>
      <w:pPr>
        <w:pStyle w:val="Normal"/>
        <w:rPr>
          <w:lang w:val="en-US"/>
        </w:rPr>
      </w:pPr>
      <w:r>
        <w:rPr>
          <w:lang w:val="en-US"/>
        </w:rPr>
      </w:r>
    </w:p>
    <w:p>
      <w:pPr>
        <w:pStyle w:val="Normal"/>
        <w:rPr/>
      </w:pPr>
      <w:r>
        <w:rPr>
          <w:lang w:val="en-GB"/>
        </w:rPr>
        <w:t>The CV in relation to BV/TV is shown in Figure 4. The OI data reach</w:t>
      </w:r>
      <w:ins w:id="336" w:author="Schenk, Denis Elia (ARTORG)" w:date="2021-05-25T10:59:00Z">
        <w:r>
          <w:rPr>
            <w:lang w:val="en-GB"/>
          </w:rPr>
          <w:t>ed</w:t>
        </w:r>
      </w:ins>
      <w:r>
        <w:rPr>
          <w:lang w:val="en-GB"/>
        </w:rPr>
        <w:t xml:space="preserve"> higher </w:t>
      </w:r>
      <w:del w:id="337" w:author="Schenk, Denis Elia (ARTORG)" w:date="2021-05-25T11:00:00Z">
        <w:r>
          <w:rPr>
            <w:lang w:val="en-GB"/>
          </w:rPr>
          <w:delText xml:space="preserve">values of </w:delText>
        </w:r>
      </w:del>
      <w:r>
        <w:rPr>
          <w:lang w:val="en-GB"/>
        </w:rPr>
        <w:t>CV</w:t>
      </w:r>
      <w:ins w:id="338" w:author="Schenk, Denis Elia (ARTORG)" w:date="2021-05-25T11:00:00Z">
        <w:r>
          <w:rPr>
            <w:lang w:val="en-GB"/>
          </w:rPr>
          <w:t xml:space="preserve"> values</w:t>
        </w:r>
      </w:ins>
      <w:r>
        <w:rPr>
          <w:lang w:val="en-GB"/>
        </w:rPr>
        <w:t xml:space="preserve"> and </w:t>
      </w:r>
      <w:del w:id="339" w:author="Schenk, Denis Elia (ARTORG)" w:date="2021-05-25T11:00:00Z">
        <w:r>
          <w:rPr>
            <w:lang w:val="en-GB"/>
          </w:rPr>
          <w:delText xml:space="preserve">stay at </w:delText>
        </w:r>
      </w:del>
      <w:r>
        <w:rPr>
          <w:lang w:val="en-GB"/>
        </w:rPr>
        <w:t xml:space="preserve">lower </w:t>
      </w:r>
      <w:ins w:id="340" w:author="Schenk, Denis Elia (ARTORG)" w:date="2021-05-25T11:00:00Z">
        <w:r>
          <w:rPr>
            <w:lang w:val="en-GB"/>
          </w:rPr>
          <w:t xml:space="preserve">BV/TV </w:t>
        </w:r>
      </w:ins>
      <w:r>
        <w:rPr>
          <w:lang w:val="en-GB"/>
        </w:rPr>
        <w:t xml:space="preserve">values </w:t>
      </w:r>
      <w:del w:id="341" w:author="Schenk, Denis Elia (ARTORG)" w:date="2021-05-25T11:00:00Z">
        <w:r>
          <w:rPr>
            <w:lang w:val="en-GB"/>
          </w:rPr>
          <w:delText>of BV/TV than</w:delText>
        </w:r>
      </w:del>
      <w:ins w:id="342" w:author="Schenk, Denis Elia (ARTORG)" w:date="2021-05-25T11:00:00Z">
        <w:r>
          <w:rPr>
            <w:lang w:val="en-GB"/>
          </w:rPr>
          <w:t>compared to</w:t>
        </w:r>
      </w:ins>
      <w:r>
        <w:rPr>
          <w:lang w:val="en-GB"/>
        </w:rPr>
        <w:t xml:space="preserve"> healthy data. Generally, the CV tends to increase with decreasing BV/TV. The Spearman coefficient is shown above the plot as value [95% CI]. Its value is negative and strictly different from zero. Finally, the CV threshold value used to filter the data is represented by the dashed line. It can be observed that a relatively important part of OI data will be filtered out. On the other hand, relatively </w:t>
      </w:r>
    </w:p>
    <w:p>
      <w:pPr>
        <w:pStyle w:val="Normal"/>
        <w:tabs>
          <w:tab w:val="clear" w:pos="708"/>
          <w:tab w:val="left" w:pos="492" w:leader="none"/>
          <w:tab w:val="left" w:pos="2760" w:leader="none"/>
        </w:tabs>
        <w:jc w:val="both"/>
        <w:rPr/>
      </w:pPr>
      <w:r>
        <w:rPr/>
      </w:r>
    </w:p>
    <w:tbl>
      <w:tblPr>
        <w:tblW w:w="8998" w:type="dxa"/>
        <w:jc w:val="left"/>
        <w:tblInd w:w="10" w:type="dxa"/>
        <w:tblCellMar>
          <w:top w:w="0" w:type="dxa"/>
          <w:left w:w="10" w:type="dxa"/>
          <w:bottom w:w="0" w:type="dxa"/>
          <w:right w:w="10" w:type="dxa"/>
        </w:tblCellMar>
        <w:tblLook w:val="0000" w:noHBand="0" w:noVBand="0" w:firstColumn="0" w:lastRow="0" w:lastColumn="0" w:firstRow="0"/>
      </w:tblPr>
      <w:tblGrid>
        <w:gridCol w:w="8998"/>
      </w:tblGrid>
      <w:tr>
        <w:trPr/>
        <w:tc>
          <w:tcPr>
            <w:tcW w:w="8998" w:type="dxa"/>
            <w:tcBorders>
              <w:top w:val="dashed" w:sz="4" w:space="0" w:color="000000"/>
              <w:left w:val="dashed" w:sz="6" w:space="0" w:color="000000"/>
              <w:bottom w:val="dashed" w:sz="6" w:space="0" w:color="000000"/>
              <w:right w:val="dashed" w:sz="6" w:space="0" w:color="000000"/>
            </w:tcBorders>
          </w:tcPr>
          <w:p>
            <w:pPr>
              <w:pStyle w:val="Normal"/>
              <w:rPr>
                <w:lang w:val="en-US"/>
              </w:rPr>
            </w:pPr>
            <w:r>
              <w:rPr>
                <w:b/>
                <w:sz w:val="16"/>
                <w:lang w:val="fr-CH"/>
              </w:rPr>
              <w:t>Table 3</w:t>
            </w:r>
            <w:r>
              <w:rPr>
                <w:sz w:val="16"/>
                <w:lang w:val="fr-CH"/>
              </w:rPr>
              <w:t xml:space="preserve">: Constants obtained with BV/TV and DA matched data sets. Comparison is performed between grouped (N ROIs = 166) and separated data sets (N ROIs = 83). Values are presented as value [95% CI] or mean </w:t>
            </w:r>
            <w:r>
              <w:rPr>
                <w:rFonts w:cs="Latin Modern Math" w:ascii="Latin Modern Math" w:hAnsi="Latin Modern Math"/>
                <w:sz w:val="16"/>
                <w:lang w:val="en-GB"/>
              </w:rPr>
              <w:t>±</w:t>
            </w:r>
            <w:r>
              <w:rPr>
                <w:sz w:val="16"/>
                <w:lang w:val="fr-CH"/>
              </w:rPr>
              <w:t xml:space="preserve"> standard deviation.</w:t>
            </w:r>
          </w:p>
        </w:tc>
      </w:tr>
    </w:tbl>
    <w:p>
      <w:pPr>
        <w:pStyle w:val="Normal"/>
        <w:rPr>
          <w:lang w:val="en-US"/>
        </w:rPr>
      </w:pPr>
      <w:r>
        <w:rPr>
          <w:lang w:val="en-US"/>
        </w:rPr>
      </w:r>
    </w:p>
    <w:tbl>
      <w:tblPr>
        <w:tblW w:w="8288" w:type="dxa"/>
        <w:jc w:val="left"/>
        <w:tblInd w:w="10" w:type="dxa"/>
        <w:tblCellMar>
          <w:top w:w="0" w:type="dxa"/>
          <w:left w:w="10" w:type="dxa"/>
          <w:bottom w:w="0" w:type="dxa"/>
          <w:right w:w="10" w:type="dxa"/>
        </w:tblCellMar>
        <w:tblLook w:val="0000" w:noHBand="0" w:noVBand="0" w:firstColumn="0" w:lastRow="0" w:lastColumn="0" w:firstRow="0"/>
      </w:tblPr>
      <w:tblGrid>
        <w:gridCol w:w="968"/>
        <w:gridCol w:w="1331"/>
        <w:gridCol w:w="1256"/>
        <w:gridCol w:w="1258"/>
        <w:gridCol w:w="1189"/>
        <w:gridCol w:w="1256"/>
        <w:gridCol w:w="481"/>
        <w:gridCol w:w="548"/>
      </w:tblGrid>
      <w:tr>
        <w:trPr/>
        <w:tc>
          <w:tcPr>
            <w:tcW w:w="968" w:type="dxa"/>
            <w:tcBorders>
              <w:top w:val="dashed" w:sz="4" w:space="0" w:color="000000"/>
              <w:left w:val="dashed" w:sz="6" w:space="0" w:color="000000"/>
              <w:bottom w:val="dashed" w:sz="4" w:space="0" w:color="000000"/>
              <w:right w:val="dashed" w:sz="6" w:space="0" w:color="000000"/>
            </w:tcBorders>
          </w:tcPr>
          <w:p>
            <w:pPr>
              <w:pStyle w:val="Normal"/>
              <w:jc w:val="center"/>
              <w:rPr/>
            </w:pPr>
            <w:r>
              <w:rPr>
                <w:sz w:val="16"/>
                <w:lang w:val="fr-CH"/>
              </w:rPr>
              <w:t>Data set</w:t>
            </w:r>
          </w:p>
        </w:tc>
        <w:tc>
          <w:tcPr>
            <w:tcW w:w="1331" w:type="dxa"/>
            <w:tcBorders>
              <w:top w:val="dashed" w:sz="4" w:space="0" w:color="000000"/>
              <w:left w:val="dashed" w:sz="6" w:space="0" w:color="000000"/>
              <w:bottom w:val="dashed" w:sz="4" w:space="0" w:color="000000"/>
              <w:right w:val="dashed" w:sz="6" w:space="0" w:color="000000"/>
            </w:tcBorders>
          </w:tcPr>
          <w:p>
            <w:pPr>
              <w:pStyle w:val="Normal"/>
              <w:jc w:val="center"/>
              <w:rPr/>
            </w:pPr>
            <w:r>
              <w:rPr>
                <w:rFonts w:cs="Latin Modern Math" w:ascii="Latin Modern Math" w:hAnsi="Latin Modern Math"/>
                <w:i/>
                <w:sz w:val="16"/>
                <w:lang w:val="en-GB"/>
              </w:rPr>
              <w:t>λ</w:t>
            </w:r>
            <w:r>
              <w:rPr>
                <w:rFonts w:cs="Latin Modern Math" w:ascii="Latin Modern Math" w:hAnsi="Latin Modern Math"/>
                <w:i/>
                <w:sz w:val="16"/>
                <w:vertAlign w:val="subscript"/>
                <w:lang w:val="en-GB"/>
              </w:rPr>
              <w:t>0</w:t>
            </w:r>
          </w:p>
        </w:tc>
        <w:tc>
          <w:tcPr>
            <w:tcW w:w="1256" w:type="dxa"/>
            <w:tcBorders>
              <w:top w:val="dashed" w:sz="4" w:space="0" w:color="000000"/>
              <w:left w:val="dashed" w:sz="6" w:space="0" w:color="000000"/>
              <w:bottom w:val="dashed" w:sz="4" w:space="0" w:color="000000"/>
              <w:right w:val="dashed" w:sz="6" w:space="0" w:color="000000"/>
            </w:tcBorders>
          </w:tcPr>
          <w:p>
            <w:pPr>
              <w:pStyle w:val="Normal"/>
              <w:jc w:val="center"/>
              <w:rPr/>
            </w:pPr>
            <w:r>
              <w:rPr>
                <w:rFonts w:cs="Latin Modern Math" w:ascii="Latin Modern Math" w:hAnsi="Latin Modern Math"/>
                <w:i/>
                <w:sz w:val="16"/>
                <w:lang w:val="fr-CH"/>
              </w:rPr>
              <w:t>λ</w:t>
            </w:r>
            <w:r>
              <w:rPr>
                <w:rFonts w:cs="Latin Modern Math" w:ascii="Latin Modern Math" w:hAnsi="Latin Modern Math"/>
                <w:i/>
                <w:sz w:val="16"/>
                <w:vertAlign w:val="subscript"/>
                <w:lang w:val="fr-CH"/>
              </w:rPr>
              <w:t>0</w:t>
            </w:r>
            <w:r>
              <w:rPr>
                <w:i/>
                <w:sz w:val="16"/>
                <w:lang w:val="en-GB"/>
              </w:rPr>
              <w:t>'</w:t>
            </w:r>
          </w:p>
        </w:tc>
        <w:tc>
          <w:tcPr>
            <w:tcW w:w="1258" w:type="dxa"/>
            <w:tcBorders>
              <w:top w:val="dashed" w:sz="4" w:space="0" w:color="000000"/>
              <w:left w:val="dashed" w:sz="6" w:space="0" w:color="000000"/>
              <w:bottom w:val="dashed" w:sz="4" w:space="0" w:color="000000"/>
              <w:right w:val="dashed" w:sz="6" w:space="0" w:color="000000"/>
            </w:tcBorders>
          </w:tcPr>
          <w:p>
            <w:pPr>
              <w:pStyle w:val="Normal"/>
              <w:jc w:val="center"/>
              <w:rPr/>
            </w:pPr>
            <w:r>
              <w:rPr>
                <w:rFonts w:cs="Latin Modern Math" w:ascii="Latin Modern Math" w:hAnsi="Latin Modern Math"/>
                <w:i/>
                <w:sz w:val="16"/>
                <w:lang w:val="fr-CH"/>
              </w:rPr>
              <w:t>μ</w:t>
            </w:r>
            <w:r>
              <w:rPr>
                <w:rFonts w:cs="Latin Modern Math" w:ascii="Latin Modern Math" w:hAnsi="Latin Modern Math"/>
                <w:i/>
                <w:sz w:val="16"/>
                <w:vertAlign w:val="subscript"/>
                <w:lang w:val="fr-CH"/>
              </w:rPr>
              <w:t>0</w:t>
            </w:r>
          </w:p>
        </w:tc>
        <w:tc>
          <w:tcPr>
            <w:tcW w:w="1189" w:type="dxa"/>
            <w:tcBorders>
              <w:top w:val="dashed" w:sz="4" w:space="0" w:color="000000"/>
              <w:left w:val="dashed" w:sz="6" w:space="0" w:color="000000"/>
              <w:bottom w:val="dashed" w:sz="4" w:space="0" w:color="000000"/>
              <w:right w:val="dashed" w:sz="6" w:space="0" w:color="000000"/>
            </w:tcBorders>
          </w:tcPr>
          <w:p>
            <w:pPr>
              <w:pStyle w:val="Normal"/>
              <w:jc w:val="center"/>
              <w:rPr/>
            </w:pPr>
            <w:r>
              <w:rPr>
                <w:i/>
                <w:sz w:val="16"/>
                <w:lang w:val="fr-CH"/>
              </w:rPr>
              <w:t>k</w:t>
            </w:r>
          </w:p>
        </w:tc>
        <w:tc>
          <w:tcPr>
            <w:tcW w:w="1256" w:type="dxa"/>
            <w:tcBorders>
              <w:top w:val="dashed" w:sz="4" w:space="0" w:color="000000"/>
              <w:left w:val="dashed" w:sz="6" w:space="0" w:color="000000"/>
              <w:bottom w:val="dashed" w:sz="4" w:space="0" w:color="000000"/>
              <w:right w:val="dashed" w:sz="6" w:space="0" w:color="000000"/>
            </w:tcBorders>
          </w:tcPr>
          <w:p>
            <w:pPr>
              <w:pStyle w:val="Normal"/>
              <w:jc w:val="center"/>
              <w:rPr/>
            </w:pPr>
            <w:r>
              <w:rPr>
                <w:sz w:val="16"/>
                <w:lang w:val="fr-CH"/>
              </w:rPr>
              <w:t>l</w:t>
            </w:r>
          </w:p>
        </w:tc>
        <w:tc>
          <w:tcPr>
            <w:tcW w:w="481" w:type="dxa"/>
            <w:tcBorders>
              <w:top w:val="dashed" w:sz="4" w:space="0" w:color="000000"/>
              <w:left w:val="dashed" w:sz="6" w:space="0" w:color="000000"/>
              <w:bottom w:val="dashed" w:sz="4" w:space="0" w:color="000000"/>
              <w:right w:val="dashed" w:sz="6" w:space="0" w:color="000000"/>
            </w:tcBorders>
          </w:tcPr>
          <w:p>
            <w:pPr>
              <w:pStyle w:val="Normal"/>
              <w:jc w:val="center"/>
              <w:rPr/>
            </w:pPr>
            <w:r>
              <w:rPr>
                <w:i/>
                <w:sz w:val="16"/>
                <w:lang w:val="en-GB"/>
              </w:rPr>
              <w:t>R</w:t>
            </w:r>
            <w:r>
              <w:rPr>
                <w:sz w:val="16"/>
                <w:vertAlign w:val="superscript"/>
                <w:lang w:val="en-GB"/>
              </w:rPr>
              <w:t>2</w:t>
            </w:r>
            <w:r>
              <w:rPr>
                <w:sz w:val="16"/>
                <w:vertAlign w:val="subscript"/>
                <w:lang w:val="en-GB"/>
              </w:rPr>
              <w:t>adj</w:t>
            </w:r>
          </w:p>
        </w:tc>
        <w:tc>
          <w:tcPr>
            <w:tcW w:w="548" w:type="dxa"/>
            <w:tcBorders>
              <w:top w:val="dashed" w:sz="4" w:space="0" w:color="000000"/>
              <w:left w:val="dashed" w:sz="6" w:space="0" w:color="000000"/>
              <w:bottom w:val="dashed" w:sz="4" w:space="0" w:color="000000"/>
              <w:right w:val="dashed" w:sz="6" w:space="0" w:color="000000"/>
            </w:tcBorders>
          </w:tcPr>
          <w:p>
            <w:pPr>
              <w:pStyle w:val="Normal"/>
              <w:jc w:val="center"/>
              <w:rPr/>
            </w:pPr>
            <w:r>
              <w:rPr>
                <w:i/>
                <w:sz w:val="16"/>
                <w:lang w:val="fr-CH"/>
              </w:rPr>
              <w:t>NE</w:t>
            </w:r>
          </w:p>
        </w:tc>
      </w:tr>
      <w:tr>
        <w:trPr/>
        <w:tc>
          <w:tcPr>
            <w:tcW w:w="968" w:type="dxa"/>
            <w:tcBorders>
              <w:top w:val="dashed" w:sz="4" w:space="0" w:color="000000"/>
              <w:left w:val="dashed" w:sz="6" w:space="0" w:color="000000"/>
              <w:bottom w:val="dashed" w:sz="6" w:space="0" w:color="000000"/>
              <w:right w:val="dashed" w:sz="6" w:space="0" w:color="000000"/>
            </w:tcBorders>
          </w:tcPr>
          <w:p>
            <w:pPr>
              <w:pStyle w:val="Normal"/>
              <w:jc w:val="center"/>
              <w:rPr/>
            </w:pPr>
            <w:r>
              <w:rPr>
                <w:sz w:val="16"/>
                <w:lang w:val="fr-CH"/>
              </w:rPr>
              <w:t>Grouped</w:t>
            </w:r>
          </w:p>
        </w:tc>
        <w:tc>
          <w:tcPr>
            <w:tcW w:w="1331"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4626 [3902-5485]</w:t>
            </w:r>
          </w:p>
        </w:tc>
        <w:tc>
          <w:tcPr>
            <w:tcW w:w="1256"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2692 [2473-2932]</w:t>
            </w:r>
          </w:p>
        </w:tc>
        <w:tc>
          <w:tcPr>
            <w:tcW w:w="1258"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3537 [3246-3855]</w:t>
            </w:r>
          </w:p>
        </w:tc>
        <w:tc>
          <w:tcPr>
            <w:tcW w:w="1189"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1.91 [1.86-1.95]</w:t>
            </w:r>
          </w:p>
        </w:tc>
        <w:tc>
          <w:tcPr>
            <w:tcW w:w="1256"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0.95 [0.93-0.97]</w:t>
            </w:r>
          </w:p>
        </w:tc>
        <w:tc>
          <w:tcPr>
            <w:tcW w:w="481"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0.936</w:t>
            </w:r>
          </w:p>
        </w:tc>
        <w:tc>
          <w:tcPr>
            <w:tcW w:w="548"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 xml:space="preserve">18 </w:t>
            </w:r>
            <w:r>
              <w:rPr>
                <w:rFonts w:cs="Latin Modern Math" w:ascii="Latin Modern Math" w:hAnsi="Latin Modern Math"/>
                <w:sz w:val="16"/>
                <w:lang w:val="en-GB"/>
              </w:rPr>
              <w:t>±</w:t>
            </w:r>
            <w:r>
              <w:rPr>
                <w:sz w:val="16"/>
                <w:lang w:val="en-GB"/>
              </w:rPr>
              <w:t xml:space="preserve"> 9</w:t>
            </w:r>
          </w:p>
        </w:tc>
      </w:tr>
      <w:tr>
        <w:trPr/>
        <w:tc>
          <w:tcPr>
            <w:tcW w:w="968" w:type="dxa"/>
            <w:tcBorders>
              <w:top w:val="dashed" w:sz="4" w:space="0" w:color="000000"/>
              <w:left w:val="dashed" w:sz="6" w:space="0" w:color="000000"/>
              <w:bottom w:val="dashed" w:sz="6" w:space="0" w:color="000000"/>
              <w:right w:val="dashed" w:sz="6" w:space="0" w:color="000000"/>
            </w:tcBorders>
          </w:tcPr>
          <w:p>
            <w:pPr>
              <w:pStyle w:val="Normal"/>
              <w:jc w:val="center"/>
              <w:rPr/>
            </w:pPr>
            <w:r>
              <w:rPr>
                <w:sz w:val="16"/>
                <w:lang w:val="fr-CH"/>
              </w:rPr>
              <w:t>Healthy</w:t>
            </w:r>
          </w:p>
        </w:tc>
        <w:tc>
          <w:tcPr>
            <w:tcW w:w="1331"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4322 [3855-4846]</w:t>
            </w:r>
          </w:p>
        </w:tc>
        <w:tc>
          <w:tcPr>
            <w:tcW w:w="1256"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2684 [2535-2842]</w:t>
            </w:r>
          </w:p>
        </w:tc>
        <w:tc>
          <w:tcPr>
            <w:tcW w:w="1258"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3509 [3307-3724]</w:t>
            </w:r>
          </w:p>
        </w:tc>
        <w:tc>
          <w:tcPr>
            <w:tcW w:w="1189"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1.91</w:t>
            </w:r>
          </w:p>
        </w:tc>
        <w:tc>
          <w:tcPr>
            <w:tcW w:w="1256"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0.95</w:t>
            </w:r>
          </w:p>
        </w:tc>
        <w:tc>
          <w:tcPr>
            <w:tcW w:w="481"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0.836</w:t>
            </w:r>
          </w:p>
        </w:tc>
        <w:tc>
          <w:tcPr>
            <w:tcW w:w="548" w:type="dxa"/>
            <w:tcBorders>
              <w:top w:val="dashed" w:sz="6" w:space="0" w:color="000000"/>
              <w:left w:val="dashed" w:sz="6" w:space="0" w:color="000000"/>
              <w:bottom w:val="dashed" w:sz="6" w:space="0" w:color="000000"/>
              <w:right w:val="dashed" w:sz="6" w:space="0" w:color="000000"/>
            </w:tcBorders>
          </w:tcPr>
          <w:p>
            <w:pPr>
              <w:pStyle w:val="Normal"/>
              <w:jc w:val="center"/>
              <w:rPr/>
            </w:pPr>
            <w:r>
              <w:rPr>
                <w:sz w:val="16"/>
                <w:lang w:val="fr-CH"/>
              </w:rPr>
              <w:t xml:space="preserve">21 </w:t>
            </w:r>
            <w:r>
              <w:rPr>
                <w:rFonts w:cs="Latin Modern Math" w:ascii="Latin Modern Math" w:hAnsi="Latin Modern Math"/>
                <w:sz w:val="16"/>
                <w:lang w:val="en-GB"/>
              </w:rPr>
              <w:t>±</w:t>
            </w:r>
            <w:r>
              <w:rPr>
                <w:sz w:val="16"/>
                <w:lang w:val="en-GB"/>
              </w:rPr>
              <w:t xml:space="preserve"> 10</w:t>
            </w:r>
          </w:p>
        </w:tc>
      </w:tr>
      <w:tr>
        <w:trPr/>
        <w:tc>
          <w:tcPr>
            <w:tcW w:w="968" w:type="dxa"/>
            <w:tcBorders>
              <w:top w:val="dashed" w:sz="4" w:space="0" w:color="000000"/>
              <w:left w:val="dashed" w:sz="6" w:space="0" w:color="000000"/>
              <w:bottom w:val="dashed" w:sz="4" w:space="0" w:color="000000"/>
              <w:right w:val="dashed" w:sz="6" w:space="0" w:color="000000"/>
            </w:tcBorders>
          </w:tcPr>
          <w:p>
            <w:pPr>
              <w:pStyle w:val="Normal"/>
              <w:jc w:val="center"/>
              <w:rPr/>
            </w:pPr>
            <w:r>
              <w:rPr>
                <w:sz w:val="16"/>
                <w:lang w:val="fr-CH"/>
              </w:rPr>
              <w:t>OI</w:t>
            </w:r>
          </w:p>
        </w:tc>
        <w:tc>
          <w:tcPr>
            <w:tcW w:w="1331" w:type="dxa"/>
            <w:tcBorders>
              <w:top w:val="dashed" w:sz="6" w:space="0" w:color="000000"/>
              <w:left w:val="dashed" w:sz="6" w:space="0" w:color="000000"/>
              <w:bottom w:val="dashed" w:sz="4" w:space="0" w:color="000000"/>
              <w:right w:val="dashed" w:sz="6" w:space="0" w:color="000000"/>
            </w:tcBorders>
          </w:tcPr>
          <w:p>
            <w:pPr>
              <w:pStyle w:val="Normal"/>
              <w:jc w:val="center"/>
              <w:rPr/>
            </w:pPr>
            <w:r>
              <w:rPr>
                <w:sz w:val="16"/>
                <w:lang w:val="fr-CH"/>
              </w:rPr>
              <w:t>4980 [4359-5689]</w:t>
            </w:r>
          </w:p>
        </w:tc>
        <w:tc>
          <w:tcPr>
            <w:tcW w:w="1256" w:type="dxa"/>
            <w:tcBorders>
              <w:top w:val="dashed" w:sz="6" w:space="0" w:color="000000"/>
              <w:left w:val="dashed" w:sz="6" w:space="0" w:color="000000"/>
              <w:bottom w:val="dashed" w:sz="4" w:space="0" w:color="000000"/>
              <w:right w:val="dashed" w:sz="6" w:space="0" w:color="000000"/>
            </w:tcBorders>
          </w:tcPr>
          <w:p>
            <w:pPr>
              <w:pStyle w:val="Normal"/>
              <w:jc w:val="center"/>
              <w:rPr/>
            </w:pPr>
            <w:r>
              <w:rPr>
                <w:sz w:val="16"/>
                <w:lang w:val="fr-CH"/>
              </w:rPr>
              <w:t>2722 [2547-2909]</w:t>
            </w:r>
          </w:p>
        </w:tc>
        <w:tc>
          <w:tcPr>
            <w:tcW w:w="1258" w:type="dxa"/>
            <w:tcBorders>
              <w:top w:val="dashed" w:sz="6" w:space="0" w:color="000000"/>
              <w:left w:val="dashed" w:sz="6" w:space="0" w:color="000000"/>
              <w:bottom w:val="dashed" w:sz="4" w:space="0" w:color="000000"/>
              <w:right w:val="dashed" w:sz="6" w:space="0" w:color="000000"/>
            </w:tcBorders>
          </w:tcPr>
          <w:p>
            <w:pPr>
              <w:pStyle w:val="Normal"/>
              <w:jc w:val="center"/>
              <w:rPr/>
            </w:pPr>
            <w:r>
              <w:rPr>
                <w:sz w:val="16"/>
                <w:lang w:val="fr-CH"/>
              </w:rPr>
              <w:t>3594 [3355-3849]</w:t>
            </w:r>
          </w:p>
        </w:tc>
        <w:tc>
          <w:tcPr>
            <w:tcW w:w="1189" w:type="dxa"/>
            <w:tcBorders>
              <w:top w:val="dashed" w:sz="6" w:space="0" w:color="000000"/>
              <w:left w:val="dashed" w:sz="6" w:space="0" w:color="000000"/>
              <w:bottom w:val="dashed" w:sz="4" w:space="0" w:color="000000"/>
              <w:right w:val="dashed" w:sz="6" w:space="0" w:color="000000"/>
            </w:tcBorders>
          </w:tcPr>
          <w:p>
            <w:pPr>
              <w:pStyle w:val="Normal"/>
              <w:jc w:val="center"/>
              <w:rPr/>
            </w:pPr>
            <w:r>
              <w:rPr>
                <w:sz w:val="16"/>
                <w:lang w:val="fr-CH"/>
              </w:rPr>
              <w:t>1.91</w:t>
            </w:r>
          </w:p>
        </w:tc>
        <w:tc>
          <w:tcPr>
            <w:tcW w:w="1256" w:type="dxa"/>
            <w:tcBorders>
              <w:top w:val="dashed" w:sz="6" w:space="0" w:color="000000"/>
              <w:left w:val="dashed" w:sz="6" w:space="0" w:color="000000"/>
              <w:bottom w:val="dashed" w:sz="4" w:space="0" w:color="000000"/>
              <w:right w:val="dashed" w:sz="6" w:space="0" w:color="000000"/>
            </w:tcBorders>
          </w:tcPr>
          <w:p>
            <w:pPr>
              <w:pStyle w:val="Normal"/>
              <w:jc w:val="center"/>
              <w:rPr/>
            </w:pPr>
            <w:r>
              <w:rPr>
                <w:sz w:val="16"/>
                <w:lang w:val="fr-CH"/>
              </w:rPr>
              <w:t>0.95</w:t>
            </w:r>
          </w:p>
        </w:tc>
        <w:tc>
          <w:tcPr>
            <w:tcW w:w="481" w:type="dxa"/>
            <w:tcBorders>
              <w:top w:val="dashed" w:sz="6" w:space="0" w:color="000000"/>
              <w:left w:val="dashed" w:sz="6" w:space="0" w:color="000000"/>
              <w:bottom w:val="dashed" w:sz="4" w:space="0" w:color="000000"/>
              <w:right w:val="dashed" w:sz="6" w:space="0" w:color="000000"/>
            </w:tcBorders>
          </w:tcPr>
          <w:p>
            <w:pPr>
              <w:pStyle w:val="Normal"/>
              <w:jc w:val="center"/>
              <w:rPr/>
            </w:pPr>
            <w:r>
              <w:rPr>
                <w:sz w:val="16"/>
                <w:lang w:val="fr-CH"/>
              </w:rPr>
              <w:t>0.861</w:t>
            </w:r>
          </w:p>
        </w:tc>
        <w:tc>
          <w:tcPr>
            <w:tcW w:w="548" w:type="dxa"/>
            <w:tcBorders>
              <w:top w:val="dashed" w:sz="6" w:space="0" w:color="000000"/>
              <w:left w:val="dashed" w:sz="6" w:space="0" w:color="000000"/>
              <w:bottom w:val="dashed" w:sz="4" w:space="0" w:color="000000"/>
              <w:right w:val="dashed" w:sz="6" w:space="0" w:color="000000"/>
            </w:tcBorders>
          </w:tcPr>
          <w:p>
            <w:pPr>
              <w:pStyle w:val="Normal"/>
              <w:jc w:val="center"/>
              <w:rPr/>
            </w:pPr>
            <w:r>
              <w:rPr>
                <w:sz w:val="16"/>
                <w:lang w:val="fr-CH"/>
              </w:rPr>
              <w:t xml:space="preserve">20 </w:t>
            </w:r>
            <w:r>
              <w:rPr>
                <w:rFonts w:cs="Latin Modern Math" w:ascii="Latin Modern Math" w:hAnsi="Latin Modern Math"/>
                <w:sz w:val="16"/>
                <w:lang w:val="en-GB"/>
              </w:rPr>
              <w:t>±</w:t>
            </w:r>
            <w:r>
              <w:rPr>
                <w:sz w:val="16"/>
                <w:lang w:val="en-GB"/>
              </w:rPr>
              <w:t xml:space="preserve"> 10</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pPr>
      <w:r>
        <w:rPr/>
      </w:r>
    </w:p>
    <w:p>
      <w:pPr>
        <w:pStyle w:val="Normal"/>
        <w:tabs>
          <w:tab w:val="clear" w:pos="708"/>
          <w:tab w:val="left" w:pos="492" w:leader="none"/>
          <w:tab w:val="left" w:pos="2760" w:leader="none"/>
        </w:tabs>
        <w:jc w:val="both"/>
        <w:rPr/>
      </w:pPr>
      <w:r>
        <w:rPr/>
      </w:r>
    </w:p>
    <w:p>
      <w:pPr>
        <w:pStyle w:val="Normal"/>
        <w:tabs>
          <w:tab w:val="clear" w:pos="708"/>
          <w:tab w:val="left" w:pos="492" w:leader="none"/>
          <w:tab w:val="left" w:pos="2760" w:leader="none"/>
        </w:tabs>
        <w:jc w:val="both"/>
        <w:rPr/>
      </w:pPr>
      <w:r>
        <w:rPr/>
      </w:r>
    </w:p>
    <w:p>
      <w:pPr>
        <w:pStyle w:val="Normal"/>
        <w:tabs>
          <w:tab w:val="clear" w:pos="708"/>
          <w:tab w:val="left" w:pos="492" w:leader="none"/>
          <w:tab w:val="left" w:pos="2760" w:leader="none"/>
        </w:tabs>
        <w:jc w:val="both"/>
        <w:rPr/>
      </w:pPr>
      <w:r>
        <w:rPr/>
      </w:r>
    </w:p>
    <w:p>
      <w:pPr>
        <w:pStyle w:val="Normal"/>
        <w:tabs>
          <w:tab w:val="clear" w:pos="708"/>
          <w:tab w:val="left" w:pos="492" w:leader="none"/>
          <w:tab w:val="left" w:pos="2760" w:leader="none"/>
        </w:tabs>
        <w:jc w:val="center"/>
        <w:rPr/>
      </w:pPr>
      <w:r>
        <w:rPr/>
      </w:r>
    </w:p>
    <w:p>
      <w:pPr>
        <w:pStyle w:val="Normal"/>
        <w:tabs>
          <w:tab w:val="clear" w:pos="708"/>
          <w:tab w:val="left" w:pos="492" w:leader="none"/>
          <w:tab w:val="left" w:pos="2760" w:leader="none"/>
        </w:tabs>
        <w:jc w:val="center"/>
        <w:rPr>
          <w:del w:id="343" w:author="Schenk, Denis Elia (ARTORG)" w:date="2021-05-25T11:01:00Z"/>
        </w:rPr>
      </w:pPr>
      <w:r>
        <w:rPr/>
        <w:drawing>
          <wp:inline distT="0" distB="0" distL="0" distR="0">
            <wp:extent cx="2444750" cy="2000250"/>
            <wp:effectExtent l="0" t="0" r="0" b="0"/>
            <wp:docPr id="6" nam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png" descr=""/>
                    <pic:cNvPicPr>
                      <a:picLocks noChangeAspect="1" noChangeArrowheads="1"/>
                    </pic:cNvPicPr>
                  </pic:nvPicPr>
                  <pic:blipFill>
                    <a:blip r:embed="rId7"/>
                    <a:stretch>
                      <a:fillRect/>
                    </a:stretch>
                  </pic:blipFill>
                  <pic:spPr bwMode="auto">
                    <a:xfrm>
                      <a:off x="0" y="0"/>
                      <a:ext cx="2444750" cy="2000250"/>
                    </a:xfrm>
                    <a:prstGeom prst="rect">
                      <a:avLst/>
                    </a:prstGeom>
                  </pic:spPr>
                </pic:pic>
              </a:graphicData>
            </a:graphic>
          </wp:inline>
        </w:drawing>
      </w:r>
    </w:p>
    <w:p>
      <w:pPr>
        <w:pStyle w:val="Normal"/>
        <w:tabs>
          <w:tab w:val="clear" w:pos="708"/>
          <w:tab w:val="left" w:pos="492" w:leader="none"/>
          <w:tab w:val="left" w:pos="2760" w:leader="none"/>
        </w:tabs>
        <w:spacing w:before="0" w:after="318"/>
        <w:rPr>
          <w:lang w:val="en-US"/>
        </w:rPr>
      </w:pPr>
      <w:r>
        <w:rPr>
          <w:b/>
          <w:sz w:val="16"/>
          <w:lang w:val="en-GB"/>
        </w:rPr>
        <w:t>Figure 4</w:t>
      </w:r>
      <w:r>
        <w:rPr>
          <w:sz w:val="16"/>
          <w:lang w:val="en-GB"/>
        </w:rPr>
        <w:t xml:space="preserve">: Coefficient of variation in relation to BV/TV. Spearman correlation coefficient </w:t>
      </w:r>
      <w:r>
        <w:rPr>
          <w:rFonts w:cs="Latin Modern Math" w:ascii="Latin Modern Math" w:hAnsi="Latin Modern Math"/>
          <w:i/>
          <w:sz w:val="16"/>
          <w:lang w:val="en-GB"/>
        </w:rPr>
        <w:t>ρ</w:t>
      </w:r>
      <w:r>
        <w:rPr>
          <w:sz w:val="16"/>
          <w:lang w:val="en-GB"/>
        </w:rPr>
        <w:t xml:space="preserve"> assess monotonic relation between two variable</w:t>
      </w:r>
    </w:p>
    <w:p>
      <w:pPr>
        <w:pStyle w:val="Normal"/>
        <w:pPrChange w:id="0" w:author="Schenk, Denis Elia (ARTORG)" w:date="2021-05-25T11:01:00Z">
          <w:pPr>
            <w:jc w:val="both"/>
            <w:tabs>
              <w:tab w:val="left" w:pos="492" w:leader="none"/>
              <w:tab w:val="left" w:pos="2760" w:leader="none"/>
            </w:tabs>
          </w:pPr>
        </w:pPrChange>
        <w:rPr>
          <w:lang w:val="en-US"/>
        </w:rPr>
      </w:pPr>
      <w:r>
        <w:rPr>
          <w:lang w:val="en-GB"/>
        </w:rPr>
        <w:t xml:space="preserve">few healthy data </w:t>
      </w:r>
      <w:del w:id="344" w:author="Schenk, Denis Elia (ARTORG)" w:date="2021-05-25T11:01:00Z">
        <w:r>
          <w:rPr>
            <w:lang w:val="en-GB"/>
          </w:rPr>
          <w:delText>will be</w:delText>
        </w:r>
      </w:del>
      <w:ins w:id="345" w:author="Schenk, Denis Elia (ARTORG)" w:date="2021-05-25T11:01:00Z">
        <w:r>
          <w:rPr>
            <w:lang w:val="en-GB"/>
          </w:rPr>
          <w:t>gets</w:t>
        </w:r>
      </w:ins>
      <w:r>
        <w:rPr>
          <w:lang w:val="en-GB"/>
        </w:rPr>
        <w:t xml:space="preserve"> removed</w:t>
      </w:r>
      <w:del w:id="346" w:author="Schenk, Denis Elia (ARTORG)" w:date="2021-05-25T11:01:00Z">
        <w:r>
          <w:rPr>
            <w:lang w:val="en-GB"/>
          </w:rPr>
          <w:delText xml:space="preserve"> by the filtering</w:delText>
        </w:r>
      </w:del>
      <w:r>
        <w:rPr>
          <w:lang w:val="en-GB"/>
        </w:rPr>
        <w:t xml:space="preserve">. </w:t>
      </w:r>
      <w:commentRangeStart w:id="54"/>
      <w:r>
        <w:rPr>
          <w:lang w:val="en-GB"/>
        </w:rPr>
        <w:t xml:space="preserve">Examples </w:t>
      </w:r>
      <w:r>
        <w:rPr>
          <w:lang w:val="en-GB"/>
        </w:rPr>
      </w:r>
      <w:commentRangeEnd w:id="54"/>
      <w:r>
        <w:commentReference w:id="54"/>
      </w:r>
      <w:r>
        <w:rPr>
          <w:lang w:val="en-GB"/>
        </w:rPr>
        <w:t>of extreme ROIs in terms of CV and BV/TV are shown in Appendix A2.</w:t>
      </w:r>
    </w:p>
    <w:p>
      <w:pPr>
        <w:pStyle w:val="Normal"/>
        <w:tabs>
          <w:tab w:val="clear" w:pos="708"/>
          <w:tab w:val="left" w:pos="492" w:leader="none"/>
          <w:tab w:val="left" w:pos="2760" w:leader="none"/>
        </w:tabs>
        <w:jc w:val="both"/>
        <w:rPr>
          <w:lang w:val="en-US"/>
        </w:rPr>
      </w:pPr>
      <w:r>
        <w:rPr>
          <w:lang w:val="en-US"/>
        </w:rPr>
      </w:r>
    </w:p>
    <w:p>
      <w:pPr>
        <w:pStyle w:val="Normal"/>
        <w:pPrChange w:id="0" w:author="Schenk, Denis Elia (ARTORG)" w:date="2021-05-25T11:01:00Z">
          <w:pPr>
            <w:jc w:val="both"/>
            <w:tabs>
              <w:tab w:val="left" w:pos="492" w:leader="none"/>
              <w:tab w:val="left" w:pos="2760" w:leader="none"/>
            </w:tabs>
          </w:pPr>
        </w:pPrChange>
        <w:rPr>
          <w:lang w:val="en-GB"/>
        </w:rPr>
      </w:pPr>
      <w:r>
        <w:rPr>
          <w:lang w:val="en-GB"/>
        </w:rPr>
        <w:t>The regression results of the filtered data are presented in Figure 5. After filtering, healthy group is reduced to 119 individuals and 603 ROI</w:t>
      </w:r>
      <w:ins w:id="347" w:author="Schenk, Denis Elia (ARTORG)" w:date="2021-05-25T11:02:00Z">
        <w:r>
          <w:rPr>
            <w:lang w:val="en-GB"/>
          </w:rPr>
          <w:t>s</w:t>
        </w:r>
      </w:ins>
      <w:del w:id="348" w:author="Schenk, Denis Elia (ARTORG)" w:date="2021-05-25T11:02:00Z">
        <w:r>
          <w:rPr>
            <w:lang w:val="en-GB"/>
          </w:rPr>
          <w:delText>s</w:delText>
        </w:r>
      </w:del>
      <w:ins w:id="349" w:author="Schenk, Denis Elia (ARTORG)" w:date="2021-05-25T11:02:00Z">
        <w:r>
          <w:rPr>
            <w:lang w:val="en-GB"/>
          </w:rPr>
          <w:t xml:space="preserve">, resulting in </w:t>
        </w:r>
      </w:ins>
      <w:del w:id="350" w:author="Schenk, Denis Elia (ARTORG)" w:date="2021-05-25T11:02:00Z">
        <w:r>
          <w:rPr>
            <w:lang w:val="en-GB"/>
          </w:rPr>
          <w:delText xml:space="preserve">. This leads to </w:delText>
        </w:r>
      </w:del>
      <w:r>
        <w:rPr>
          <w:lang w:val="en-GB"/>
        </w:rPr>
        <w:t xml:space="preserve">7236 </w:t>
      </w:r>
      <w:ins w:id="351" w:author="Schenk, Denis Elia (ARTORG)" w:date="2021-05-25T11:02:00Z">
        <w:r>
          <w:rPr>
            <w:lang w:val="en-GB"/>
          </w:rPr>
          <w:t>data points</w:t>
        </w:r>
      </w:ins>
      <w:del w:id="352" w:author="Schenk, Denis Elia (ARTORG)" w:date="2021-05-25T11:02:00Z">
        <w:r>
          <w:rPr>
            <w:lang w:val="en-GB"/>
          </w:rPr>
          <w:delText>points for the regression</w:delText>
        </w:r>
      </w:del>
      <w:ins w:id="353" w:author="Schenk, Denis Elia (ARTORG)" w:date="2021-05-25T11:02:00Z">
        <w:r>
          <w:rPr>
            <w:lang w:val="en-GB"/>
          </w:rPr>
          <w:t xml:space="preserve">, </w:t>
        </w:r>
      </w:ins>
      <w:del w:id="354" w:author="Schenk, Denis Elia (ARTORG)" w:date="2021-05-25T11:02:00Z">
        <w:r>
          <w:rPr>
            <w:lang w:val="en-GB"/>
          </w:rPr>
          <w:delText xml:space="preserve">. Results shown similar values as for the complete data set, namely </w:delText>
        </w:r>
      </w:del>
      <w:r>
        <w:rPr>
          <w:lang w:val="en-GB"/>
        </w:rPr>
        <w:t>a</w:t>
      </w:r>
      <w:ins w:id="355" w:author="Schenk, Denis Elia (ARTORG)" w:date="2021-05-25T11:02:00Z">
        <w:r>
          <w:rPr>
            <w:lang w:val="en-GB"/>
          </w:rPr>
          <w:t>n</w:t>
        </w:r>
      </w:ins>
      <w:r>
        <w:rPr>
          <w:lang w:val="en-GB"/>
        </w:rPr>
        <w:t xml:space="preserve"> </w:t>
      </w:r>
      <w:r>
        <w:rPr>
          <w:i/>
          <w:lang w:val="en-GB"/>
        </w:rPr>
        <w:t>R</w:t>
      </w:r>
      <w:r>
        <w:rPr>
          <w:vertAlign w:val="superscript"/>
          <w:lang w:val="en-GB"/>
        </w:rPr>
        <w:t>2</w:t>
      </w:r>
      <w:r>
        <w:rPr>
          <w:vertAlign w:val="subscript"/>
          <w:lang w:val="en-GB"/>
        </w:rPr>
        <w:t>adj</w:t>
      </w:r>
      <w:r>
        <w:rPr>
          <w:lang w:val="en-GB"/>
        </w:rPr>
        <w:t xml:space="preserve"> close to 0.95 and a NE of 16% </w:t>
      </w:r>
      <w:r>
        <w:rPr>
          <w:rFonts w:cs="Latin Modern Math" w:ascii="Latin Modern Math" w:hAnsi="Latin Modern Math"/>
          <w:lang w:val="en-GB"/>
        </w:rPr>
        <w:t>±</w:t>
      </w:r>
      <w:r>
        <w:rPr>
          <w:lang w:val="en-GB"/>
        </w:rPr>
        <w:t xml:space="preserve"> 8%</w:t>
      </w:r>
      <w:del w:id="356" w:author="Schenk, Denis Elia (ARTORG)" w:date="2021-05-25T11:03:00Z">
        <w:r>
          <w:rPr>
            <w:lang w:val="en-GB"/>
          </w:rPr>
          <w:delText>,</w:delText>
        </w:r>
      </w:del>
      <w:del w:id="357" w:author="Schenk, Denis Elia (ARTORG)" w:date="2021-05-25T11:02:00Z">
        <w:r>
          <w:rPr>
            <w:lang w:val="en-GB"/>
          </w:rPr>
          <w:delText xml:space="preserve"> see</w:delText>
        </w:r>
      </w:del>
      <w:r>
        <w:rPr>
          <w:lang w:val="en-GB"/>
        </w:rPr>
        <w:t xml:space="preserve"> </w:t>
      </w:r>
      <w:ins w:id="358" w:author="Schenk, Denis Elia (ARTORG)" w:date="2021-05-25T11:03:00Z">
        <w:r>
          <w:rPr>
            <w:lang w:val="en-GB"/>
          </w:rPr>
          <w:t>(</w:t>
        </w:r>
      </w:ins>
      <w:r>
        <w:rPr>
          <w:lang w:val="en-GB"/>
        </w:rPr>
        <w:t>Figure 5a</w:t>
      </w:r>
      <w:ins w:id="359" w:author="Schenk, Denis Elia (ARTORG)" w:date="2021-05-25T11:03:00Z">
        <w:r>
          <w:rPr>
            <w:lang w:val="en-GB"/>
          </w:rPr>
          <w:t>)</w:t>
        </w:r>
      </w:ins>
      <w:r>
        <w:rPr>
          <w:lang w:val="en-GB"/>
        </w:rPr>
        <w:t xml:space="preserve">. </w:t>
      </w:r>
      <w:ins w:id="360" w:author="Schenk, Denis Elia (ARTORG)" w:date="2021-05-25T11:03:00Z">
        <w:r>
          <w:rPr>
            <w:lang w:val="en-GB"/>
          </w:rPr>
          <w:t>In t</w:t>
        </w:r>
      </w:ins>
      <w:del w:id="361" w:author="Schenk, Denis Elia (ARTORG)" w:date="2021-05-25T11:03:00Z">
        <w:r>
          <w:rPr>
            <w:lang w:val="en-GB"/>
          </w:rPr>
          <w:delText>T</w:delText>
        </w:r>
      </w:del>
      <w:r>
        <w:rPr>
          <w:lang w:val="en-GB"/>
        </w:rPr>
        <w:t xml:space="preserve">he OI group </w:t>
      </w:r>
      <w:del w:id="362" w:author="Schenk, Denis Elia (ARTORG)" w:date="2021-05-25T11:03:00Z">
        <w:r>
          <w:rPr>
            <w:lang w:val="en-GB"/>
          </w:rPr>
          <w:delText>lost</w:delText>
        </w:r>
      </w:del>
      <w:ins w:id="363" w:author="Schenk, Denis Elia (ARTORG)" w:date="2021-05-25T11:03:00Z">
        <w:r>
          <w:rPr>
            <w:lang w:val="en-GB"/>
          </w:rPr>
          <w:t xml:space="preserve">, </w:t>
        </w:r>
      </w:ins>
      <w:del w:id="364" w:author="Schenk, Denis Elia (ARTORG)" w:date="2021-05-25T11:03:00Z">
        <w:r>
          <w:rPr>
            <w:lang w:val="en-GB"/>
          </w:rPr>
          <w:delText xml:space="preserve"> </w:delText>
        </w:r>
      </w:del>
      <w:r>
        <w:rPr>
          <w:lang w:val="en-GB"/>
        </w:rPr>
        <w:t xml:space="preserve">more individuals </w:t>
      </w:r>
      <w:ins w:id="365" w:author="Schenk, Denis Elia (ARTORG)" w:date="2021-05-25T11:03:00Z">
        <w:r>
          <w:rPr>
            <w:lang w:val="en-GB"/>
          </w:rPr>
          <w:t>were filtered,</w:t>
        </w:r>
      </w:ins>
      <w:del w:id="366" w:author="Schenk, Denis Elia (ARTORG)" w:date="2021-05-25T11:03:00Z">
        <w:r>
          <w:rPr>
            <w:lang w:val="en-GB"/>
          </w:rPr>
          <w:delText>after filtering</w:delText>
        </w:r>
      </w:del>
      <w:r>
        <w:rPr>
          <w:lang w:val="en-GB"/>
        </w:rPr>
        <w:t xml:space="preserve"> leading to 38 people</w:t>
      </w:r>
      <w:ins w:id="367" w:author="Schenk, Denis Elia (ARTORG)" w:date="2021-05-25T11:03:00Z">
        <w:r>
          <w:rPr>
            <w:lang w:val="en-GB"/>
          </w:rPr>
          <w:t xml:space="preserve">, </w:t>
        </w:r>
      </w:ins>
      <w:del w:id="368" w:author="Schenk, Denis Elia (ARTORG)" w:date="2021-05-25T11:03:00Z">
        <w:r>
          <w:rPr>
            <w:lang w:val="en-GB"/>
          </w:rPr>
          <w:delText xml:space="preserve"> and </w:delText>
        </w:r>
      </w:del>
      <w:r>
        <w:rPr>
          <w:lang w:val="en-GB"/>
        </w:rPr>
        <w:t>115 ROIs</w:t>
      </w:r>
      <w:del w:id="369" w:author="Schenk, Denis Elia (ARTORG)" w:date="2021-05-25T11:03:00Z">
        <w:r>
          <w:rPr>
            <w:lang w:val="en-GB"/>
          </w:rPr>
          <w:delText>. Regression is performed on</w:delText>
        </w:r>
      </w:del>
      <w:ins w:id="370" w:author="Schenk, Denis Elia (ARTORG)" w:date="2021-05-25T11:03:00Z">
        <w:r>
          <w:rPr>
            <w:lang w:val="en-GB"/>
          </w:rPr>
          <w:t xml:space="preserve"> and</w:t>
        </w:r>
      </w:ins>
      <w:r>
        <w:rPr>
          <w:lang w:val="en-GB"/>
        </w:rPr>
        <w:t xml:space="preserve"> 1380 </w:t>
      </w:r>
      <w:ins w:id="371" w:author="Schenk, Denis Elia (ARTORG)" w:date="2021-05-25T11:03:00Z">
        <w:r>
          <w:rPr>
            <w:lang w:val="en-GB"/>
          </w:rPr>
          <w:t xml:space="preserve">data </w:t>
        </w:r>
      </w:ins>
      <w:r>
        <w:rPr>
          <w:lang w:val="en-GB"/>
        </w:rPr>
        <w:t>points</w:t>
      </w:r>
      <w:del w:id="372" w:author="Schenk, Denis Elia (ARTORG)" w:date="2021-05-25T11:03:00Z">
        <w:r>
          <w:rPr>
            <w:lang w:val="en-GB"/>
          </w:rPr>
          <w:delText xml:space="preserve"> then</w:delText>
        </w:r>
      </w:del>
      <w:del w:id="373" w:author="Schenk, Denis Elia (ARTORG)" w:date="2021-05-25T11:04:00Z">
        <w:r>
          <w:rPr>
            <w:lang w:val="en-GB"/>
          </w:rPr>
          <w:delText>.</w:delText>
        </w:r>
      </w:del>
      <w:r>
        <w:rPr>
          <w:lang w:val="en-GB"/>
        </w:rPr>
        <w:t xml:space="preserve"> </w:t>
      </w:r>
      <w:ins w:id="374" w:author="Schenk, Denis Elia (ARTORG)" w:date="2021-05-25T11:04:00Z">
        <w:r>
          <w:rPr>
            <w:lang w:val="en-GB"/>
          </w:rPr>
          <w:t>(</w:t>
        </w:r>
      </w:ins>
      <w:r>
        <w:rPr>
          <w:lang w:val="en-GB"/>
        </w:rPr>
        <w:t>Figure 5b</w:t>
      </w:r>
      <w:ins w:id="375" w:author="Schenk, Denis Elia (ARTORG)" w:date="2021-05-25T11:04:00Z">
        <w:r>
          <w:rPr>
            <w:lang w:val="en-GB"/>
          </w:rPr>
          <w:t>).</w:t>
        </w:r>
      </w:ins>
      <w:r>
        <w:rPr>
          <w:lang w:val="en-GB"/>
        </w:rPr>
        <w:t xml:space="preserve"> </w:t>
      </w:r>
      <w:del w:id="376" w:author="Schenk, Denis Elia (ARTORG)" w:date="2021-05-25T11:04:00Z">
        <w:r>
          <w:rPr>
            <w:lang w:val="en-GB"/>
          </w:rPr>
          <w:delText>presents results with</w:delText>
        </w:r>
      </w:del>
      <w:ins w:id="377" w:author="Schenk, Denis Elia (ARTORG)" w:date="2021-05-25T11:04:00Z">
        <w:r>
          <w:rPr>
            <w:lang w:val="en-GB"/>
          </w:rPr>
          <w:t>This resulted in an</w:t>
        </w:r>
      </w:ins>
      <w:del w:id="378" w:author="Schenk, Denis Elia (ARTORG)" w:date="2021-05-25T11:04:00Z">
        <w:r>
          <w:rPr>
            <w:lang w:val="en-GB"/>
          </w:rPr>
          <w:delText xml:space="preserve"> a</w:delText>
        </w:r>
      </w:del>
      <w:r>
        <w:rPr>
          <w:lang w:val="en-GB"/>
        </w:rPr>
        <w:t xml:space="preserve"> </w:t>
      </w:r>
      <w:r>
        <w:rPr>
          <w:i/>
          <w:lang w:val="en-GB"/>
        </w:rPr>
        <w:t>R</w:t>
      </w:r>
      <w:r>
        <w:rPr>
          <w:vertAlign w:val="superscript"/>
          <w:lang w:val="en-GB"/>
        </w:rPr>
        <w:t>2</w:t>
      </w:r>
      <w:r>
        <w:rPr>
          <w:vertAlign w:val="subscript"/>
          <w:lang w:val="en-GB"/>
        </w:rPr>
        <w:t>adj</w:t>
      </w:r>
      <w:r>
        <w:rPr>
          <w:lang w:val="en-GB"/>
        </w:rPr>
        <w:t xml:space="preserve"> </w:t>
      </w:r>
      <w:del w:id="379" w:author="Schenk, Denis Elia (ARTORG)" w:date="2021-05-25T11:04:00Z">
        <w:r>
          <w:rPr>
            <w:lang w:val="en-GB"/>
          </w:rPr>
          <w:delText xml:space="preserve">rounded </w:delText>
        </w:r>
      </w:del>
      <w:ins w:id="380" w:author="Schenk, Denis Elia (ARTORG)" w:date="2021-05-25T11:04:00Z">
        <w:r>
          <w:rPr>
            <w:lang w:val="en-GB"/>
          </w:rPr>
          <w:t xml:space="preserve">close </w:t>
        </w:r>
      </w:ins>
      <w:r>
        <w:rPr>
          <w:lang w:val="en-GB"/>
        </w:rPr>
        <w:t xml:space="preserve">to 0.95 and a </w:t>
      </w:r>
      <w:r>
        <w:rPr>
          <w:i/>
          <w:lang w:val="en-GB"/>
        </w:rPr>
        <w:t>NE</w:t>
      </w:r>
      <w:r>
        <w:rPr>
          <w:lang w:val="en-GB"/>
        </w:rPr>
        <w:t xml:space="preserve"> of 17% </w:t>
      </w:r>
      <w:r>
        <w:rPr>
          <w:rFonts w:cs="Latin Modern Math" w:ascii="Latin Modern Math" w:hAnsi="Latin Modern Math"/>
          <w:lang w:val="en-GB"/>
        </w:rPr>
        <w:t>±</w:t>
      </w:r>
      <w:r>
        <w:rPr>
          <w:lang w:val="en-GB"/>
        </w:rPr>
        <w:t xml:space="preserve"> 8%.</w:t>
      </w:r>
    </w:p>
    <w:p>
      <w:pPr>
        <w:pStyle w:val="Normal"/>
        <w:tabs>
          <w:tab w:val="clear" w:pos="708"/>
          <w:tab w:val="left" w:pos="492" w:leader="none"/>
          <w:tab w:val="left" w:pos="2760" w:leader="none"/>
        </w:tabs>
        <w:jc w:val="both"/>
        <w:rPr>
          <w:lang w:val="en-US"/>
        </w:rPr>
      </w:pPr>
      <w:r>
        <w:rPr>
          <w:lang w:val="en-US"/>
        </w:rPr>
      </w:r>
    </w:p>
    <w:p>
      <w:pPr>
        <w:pStyle w:val="Normal"/>
        <w:pPrChange w:id="0" w:author="Schenk, Denis Elia (ARTORG)" w:date="2021-05-25T11:04:00Z">
          <w:pPr>
            <w:jc w:val="both"/>
            <w:tabs>
              <w:tab w:val="left" w:pos="492" w:leader="none"/>
              <w:tab w:val="left" w:pos="2760" w:leader="none"/>
            </w:tabs>
          </w:pPr>
        </w:pPrChange>
        <w:rPr>
          <w:lang w:val="en-US"/>
        </w:rPr>
      </w:pPr>
      <w:r>
        <w:rPr>
          <w:lang w:val="en-GB"/>
        </w:rPr>
        <w:t xml:space="preserve">Regression results after BV/TV &amp; DA ROI matching are shown in Table 3. The columns show </w:t>
      </w:r>
      <w:del w:id="381" w:author="Schenk, Denis Elia (ARTORG)" w:date="2021-05-25T11:05:00Z">
        <w:r>
          <w:rPr>
            <w:lang w:val="en-GB"/>
          </w:rPr>
          <w:delText xml:space="preserve">which </w:delText>
        </w:r>
      </w:del>
      <w:ins w:id="382" w:author="Schenk, Denis Elia (ARTORG)" w:date="2021-05-25T11:05:00Z">
        <w:r>
          <w:rPr>
            <w:lang w:val="en-GB"/>
          </w:rPr>
          <w:t xml:space="preserve">the used </w:t>
        </w:r>
      </w:ins>
      <w:r>
        <w:rPr>
          <w:lang w:val="en-GB"/>
        </w:rPr>
        <w:t>data set</w:t>
      </w:r>
      <w:del w:id="383" w:author="Schenk, Denis Elia (ARTORG)" w:date="2021-05-25T11:05:00Z">
        <w:r>
          <w:rPr>
            <w:lang w:val="en-GB"/>
          </w:rPr>
          <w:delText xml:space="preserve"> was used</w:delText>
        </w:r>
      </w:del>
      <w:r>
        <w:rPr>
          <w:lang w:val="en-GB"/>
        </w:rPr>
        <w:t>, the fives parameters of the Zysset-Curnier model</w:t>
      </w:r>
      <w:ins w:id="384" w:author="Schenk, Denis Elia (ARTORG)" w:date="2021-05-25T11:05:00Z">
        <w:r>
          <w:rPr>
            <w:lang w:val="en-GB"/>
          </w:rPr>
          <w:t xml:space="preserve"> (k, l, …)</w:t>
        </w:r>
      </w:ins>
      <w:r>
        <w:rPr>
          <w:lang w:val="en-GB"/>
        </w:rPr>
        <w:t xml:space="preserve"> and the assessment of fit quality</w:t>
      </w:r>
      <w:ins w:id="385" w:author="Schenk, Denis Elia (ARTORG)" w:date="2021-05-25T11:05:00Z">
        <w:r>
          <w:rPr>
            <w:lang w:val="en-GB"/>
          </w:rPr>
          <w:t xml:space="preserve"> (R²?)</w:t>
        </w:r>
      </w:ins>
      <w:r>
        <w:rPr>
          <w:lang w:val="en-GB"/>
        </w:rPr>
        <w:t xml:space="preserve">. Grouping healthy and OI data together for regression lead to a </w:t>
      </w:r>
      <w:r>
        <w:rPr>
          <w:i/>
          <w:lang w:val="en-GB"/>
        </w:rPr>
        <w:t>k</w:t>
      </w:r>
      <w:r>
        <w:rPr>
          <w:lang w:val="en-GB"/>
        </w:rPr>
        <w:t xml:space="preserve"> of 1.91 and a </w:t>
      </w:r>
      <w:r>
        <w:rPr>
          <w:i/>
          <w:lang w:val="en-GB"/>
        </w:rPr>
        <w:t>l</w:t>
      </w:r>
      <w:r>
        <w:rPr>
          <w:lang w:val="en-GB"/>
        </w:rPr>
        <w:t xml:space="preserve"> of 0.95. Regression result shows a </w:t>
      </w:r>
      <w:r>
        <w:rPr>
          <w:i/>
          <w:lang w:val="en-GB"/>
        </w:rPr>
        <w:t>R</w:t>
      </w:r>
      <w:r>
        <w:rPr>
          <w:vertAlign w:val="superscript"/>
          <w:lang w:val="en-GB"/>
        </w:rPr>
        <w:t>2</w:t>
      </w:r>
      <w:r>
        <w:rPr>
          <w:vertAlign w:val="subscript"/>
          <w:lang w:val="en-GB"/>
        </w:rPr>
        <w:t>adj</w:t>
      </w:r>
      <w:r>
        <w:rPr>
          <w:lang w:val="en-GB"/>
        </w:rPr>
        <w:t xml:space="preserve"> of 0.94 and a NE of 18% </w:t>
      </w:r>
      <w:r>
        <w:rPr>
          <w:rFonts w:cs="Latin Modern Math" w:ascii="Latin Modern Math" w:hAnsi="Latin Modern Math"/>
          <w:lang w:val="en-GB"/>
        </w:rPr>
        <w:t>±</w:t>
      </w:r>
      <w:r>
        <w:rPr>
          <w:lang w:val="en-GB"/>
        </w:rPr>
        <w:t xml:space="preserve"> 9%. </w:t>
      </w:r>
      <w:ins w:id="386" w:author="Schenk, Denis Elia (ARTORG)" w:date="2021-05-25T11:06:00Z">
        <w:r>
          <w:rPr>
            <w:lang w:val="en-GB"/>
          </w:rPr>
          <w:t>The s</w:t>
        </w:r>
      </w:ins>
      <w:del w:id="387" w:author="Schenk, Denis Elia (ARTORG)" w:date="2021-05-25T11:06:00Z">
        <w:r>
          <w:rPr>
            <w:lang w:val="en-GB"/>
          </w:rPr>
          <w:delText>S</w:delText>
        </w:r>
      </w:del>
      <w:r>
        <w:rPr>
          <w:lang w:val="en-GB"/>
        </w:rPr>
        <w:t xml:space="preserve">econd and </w:t>
      </w:r>
      <w:ins w:id="388" w:author="Schenk, Denis Elia (ARTORG)" w:date="2021-05-25T11:06:00Z">
        <w:r>
          <w:rPr>
            <w:lang w:val="en-GB"/>
          </w:rPr>
          <w:t xml:space="preserve">the </w:t>
        </w:r>
      </w:ins>
      <w:r>
        <w:rPr>
          <w:lang w:val="en-GB"/>
        </w:rPr>
        <w:t>last row</w:t>
      </w:r>
      <w:del w:id="389" w:author="Schenk, Denis Elia (ARTORG)" w:date="2021-05-25T11:06:00Z">
        <w:r>
          <w:rPr>
            <w:lang w:val="en-GB"/>
          </w:rPr>
          <w:delText>s</w:delText>
        </w:r>
      </w:del>
      <w:r>
        <w:rPr>
          <w:lang w:val="en-GB"/>
        </w:rPr>
        <w:t xml:space="preserve"> show regression results using separated data sets and </w:t>
      </w:r>
      <w:commentRangeStart w:id="55"/>
      <w:r>
        <w:rPr>
          <w:lang w:val="en-GB"/>
        </w:rPr>
        <w:t xml:space="preserve">imposing </w:t>
      </w:r>
      <w:r>
        <w:rPr>
          <w:lang w:val="en-GB"/>
        </w:rPr>
      </w:r>
      <w:commentRangeEnd w:id="55"/>
      <w:r>
        <w:commentReference w:id="55"/>
      </w:r>
      <w:r>
        <w:rPr>
          <w:lang w:val="en-GB"/>
        </w:rPr>
        <w:t xml:space="preserve">the exponents </w:t>
      </w:r>
      <w:r>
        <w:rPr>
          <w:i/>
          <w:lang w:val="en-GB"/>
        </w:rPr>
        <w:t>k</w:t>
      </w:r>
      <w:r>
        <w:rPr>
          <w:lang w:val="en-GB"/>
        </w:rPr>
        <w:t xml:space="preserve"> and </w:t>
      </w:r>
      <w:r>
        <w:rPr>
          <w:i/>
          <w:lang w:val="en-GB"/>
        </w:rPr>
        <w:t>l</w:t>
      </w:r>
      <w:r>
        <w:rPr>
          <w:lang w:val="en-GB"/>
        </w:rPr>
        <w:t xml:space="preserve">. </w:t>
      </w:r>
      <w:commentRangeStart w:id="56"/>
      <w:r>
        <w:rPr>
          <w:lang w:val="en-GB"/>
        </w:rPr>
        <w:t>OI values are higher than healthy one</w:t>
      </w:r>
      <w:r>
        <w:rPr>
          <w:lang w:val="en-GB"/>
        </w:rPr>
      </w:r>
      <w:commentRangeEnd w:id="56"/>
      <w:r>
        <w:commentReference w:id="56"/>
      </w:r>
      <w:r>
        <w:rPr>
          <w:lang w:val="en-GB"/>
        </w:rPr>
        <w:t xml:space="preserve">. The increase is of 15%, 1%, and 2% for </w:t>
      </w:r>
      <w:r>
        <w:rPr>
          <w:rFonts w:cs="Latin Modern Math" w:ascii="Latin Modern Math" w:hAnsi="Latin Modern Math"/>
          <w:i/>
          <w:lang w:val="en-GB"/>
        </w:rPr>
        <w:t>λ</w:t>
      </w:r>
      <w:r>
        <w:rPr>
          <w:rFonts w:cs="Latin Modern Math" w:ascii="Latin Modern Math" w:hAnsi="Latin Modern Math"/>
          <w:i/>
          <w:vertAlign w:val="subscript"/>
          <w:lang w:val="en-GB"/>
        </w:rPr>
        <w:t>0</w:t>
      </w:r>
      <w:r>
        <w:rPr>
          <w:lang w:val="en-GB"/>
        </w:rPr>
        <w:t xml:space="preserve">, </w:t>
      </w:r>
      <w:r>
        <w:rPr>
          <w:rFonts w:cs="Latin Modern Math" w:ascii="Latin Modern Math" w:hAnsi="Latin Modern Math"/>
          <w:i/>
          <w:lang w:val="fr-CH"/>
        </w:rPr>
        <w:t>λ</w:t>
      </w:r>
      <w:r>
        <w:rPr>
          <w:rFonts w:cs="Latin Modern Math" w:ascii="Latin Modern Math" w:hAnsi="Latin Modern Math"/>
          <w:i/>
          <w:vertAlign w:val="subscript"/>
          <w:lang w:val="fr-CH"/>
        </w:rPr>
        <w:t>0</w:t>
      </w:r>
      <w:r>
        <w:rPr>
          <w:i/>
          <w:lang w:val="en-GB"/>
        </w:rPr>
        <w:t>'</w:t>
      </w:r>
      <w:r>
        <w:rPr>
          <w:lang w:val="en-GB"/>
        </w:rPr>
        <w:t xml:space="preserve">, and </w:t>
      </w:r>
      <w:r>
        <w:rPr>
          <w:rFonts w:cs="Latin Modern Math" w:ascii="Latin Modern Math" w:hAnsi="Latin Modern Math"/>
          <w:i/>
          <w:lang w:val="fr-CH"/>
        </w:rPr>
        <w:t>μ</w:t>
      </w:r>
      <w:r>
        <w:rPr>
          <w:rFonts w:cs="Latin Modern Math" w:ascii="Latin Modern Math" w:hAnsi="Latin Modern Math"/>
          <w:i/>
          <w:vertAlign w:val="subscript"/>
          <w:lang w:val="fr-CH"/>
        </w:rPr>
        <w:t>0</w:t>
      </w:r>
      <w:r>
        <w:rPr>
          <w:lang w:val="en-GB"/>
        </w:rPr>
        <w:t>, respectively. The ANCOVA performed to quantify the group statistical significance shows a p value of 0.7.</w:t>
      </w:r>
    </w:p>
    <w:p>
      <w:pPr>
        <w:pStyle w:val="Normal"/>
        <w:pPrChange w:id="0" w:author="Schenk, Denis Elia (ARTORG)" w:date="2021-05-25T11:04:00Z">
          <w:pPr>
            <w:jc w:val="both"/>
            <w:tabs>
              <w:tab w:val="left" w:pos="492" w:leader="none"/>
              <w:tab w:val="left" w:pos="2760" w:leader="none"/>
            </w:tabs>
          </w:pPr>
        </w:pPrChange>
        <w:rPr>
          <w:lang w:val="en-US"/>
        </w:rPr>
      </w:pPr>
      <w:r>
        <w:rPr>
          <w:lang w:val="en-US"/>
        </w:rPr>
      </w:r>
    </w:p>
    <w:p>
      <w:pPr>
        <w:pStyle w:val="Normal"/>
        <w:pPrChange w:id="0" w:author="Schenk, Denis Elia (ARTORG)" w:date="2021-05-25T11:04:00Z">
          <w:pPr>
            <w:jc w:val="both"/>
            <w:tabs>
              <w:tab w:val="left" w:pos="492" w:leader="none"/>
              <w:tab w:val="left" w:pos="2760" w:leader="none"/>
            </w:tabs>
          </w:pPr>
        </w:pPrChange>
        <w:rPr>
          <w:lang w:val="en-US"/>
        </w:rPr>
      </w:pPr>
      <w:r>
        <w:rPr>
          <w:lang w:val="en-GB"/>
        </w:rPr>
        <w:t xml:space="preserve">Table 4 shows results obtained compared to literature. [Gross 2013] has the larger number of ROIs. Data sets of [Panyasantisuk 2015] show BV/TV ranges slightly higher than in the present study and the one of [Gross 2013]. On the other hand, DA is higher in the present study than for [Panyasantisuk 2015] and [Gross 2013]. Setting the exponents </w:t>
      </w:r>
      <w:r>
        <w:rPr>
          <w:i/>
          <w:lang w:val="en-GB"/>
        </w:rPr>
        <w:t>k</w:t>
      </w:r>
      <w:r>
        <w:rPr>
          <w:lang w:val="en-GB"/>
        </w:rPr>
        <w:t xml:space="preserve"> and </w:t>
      </w:r>
      <w:r>
        <w:rPr>
          <w:i/>
          <w:lang w:val="en-GB"/>
        </w:rPr>
        <w:t>l</w:t>
      </w:r>
      <w:r>
        <w:rPr>
          <w:lang w:val="en-GB"/>
        </w:rPr>
        <w:t xml:space="preserve"> to the same values lead</w:t>
      </w:r>
      <w:ins w:id="390" w:author="Schenk, Denis Elia (ARTORG)" w:date="2021-05-25T11:08:00Z">
        <w:r>
          <w:rPr>
            <w:lang w:val="en-GB"/>
          </w:rPr>
          <w:t>s</w:t>
        </w:r>
      </w:ins>
      <w:r>
        <w:rPr>
          <w:lang w:val="en-GB"/>
        </w:rPr>
        <w:t xml:space="preserve"> to lower </w:t>
      </w:r>
      <w:r>
        <w:rPr>
          <w:lang w:val="fr-CH"/>
        </w:rPr>
        <w:t xml:space="preserve">stiffness constants for the observed data set </w:t>
      </w:r>
      <w:del w:id="391" w:author="Schenk, Denis Elia (ARTORG)" w:date="2021-05-25T11:08:00Z">
        <w:r>
          <w:rPr>
            <w:lang w:val="fr-CH"/>
          </w:rPr>
          <w:delText xml:space="preserve">than </w:delText>
        </w:r>
      </w:del>
      <w:ins w:id="392" w:author="Schenk, Denis Elia (ARTORG)" w:date="2021-05-25T11:08:00Z">
        <w:r>
          <w:rPr>
            <w:lang w:val="fr-CH"/>
          </w:rPr>
          <w:t xml:space="preserve">compared </w:t>
        </w:r>
      </w:ins>
      <w:del w:id="393" w:author="Schenk, Denis Elia (ARTORG)" w:date="2021-05-25T11:08:00Z">
        <w:r>
          <w:rPr>
            <w:lang w:val="fr-CH"/>
          </w:rPr>
          <w:delText xml:space="preserve">for </w:delText>
        </w:r>
      </w:del>
      <w:ins w:id="394" w:author="Schenk, Denis Elia (ARTORG)" w:date="2021-05-25T11:08:00Z">
        <w:r>
          <w:rPr>
            <w:lang w:val="fr-CH"/>
          </w:rPr>
          <w:t xml:space="preserve">to </w:t>
        </w:r>
      </w:ins>
      <w:r>
        <w:rPr>
          <w:lang w:val="fr-CH"/>
        </w:rPr>
        <w:t>the other studies.</w:t>
      </w:r>
      <w:del w:id="395" w:author="Schenk, Denis Elia (ARTORG)" w:date="2021-05-25T11:04:00Z">
        <w:r>
          <w:rPr>
            <w:lang w:val="en-GB"/>
          </w:rPr>
          <w:delText xml:space="preserve"> </w:delText>
        </w:r>
      </w:del>
    </w:p>
    <w:p>
      <w:pPr>
        <w:pStyle w:val="Normal"/>
        <w:pPrChange w:id="0" w:author="Schenk, Denis Elia (ARTORG)" w:date="2021-05-25T11:04:00Z">
          <w:pPr>
            <w:jc w:val="both"/>
            <w:tabs>
              <w:tab w:val="left" w:pos="492" w:leader="none"/>
              <w:tab w:val="left" w:pos="2760" w:leader="none"/>
            </w:tabs>
          </w:pPr>
        </w:pPrChange>
        <w:rPr>
          <w:lang w:val="en-US"/>
        </w:rPr>
      </w:pPr>
      <w:r>
        <w:rPr>
          <w:lang w:val="en-GB"/>
        </w:rPr>
        <w:t xml:space="preserve"> </w:t>
      </w:r>
    </w:p>
    <w:p>
      <w:pPr>
        <w:pStyle w:val="Normal"/>
        <w:tabs>
          <w:tab w:val="clear" w:pos="708"/>
          <w:tab w:val="left" w:pos="492" w:leader="none"/>
          <w:tab w:val="left" w:pos="2760" w:leader="none"/>
        </w:tabs>
        <w:jc w:val="center"/>
        <w:rPr/>
      </w:pPr>
      <w:r>
        <w:rPr/>
        <w:drawing>
          <wp:inline distT="0" distB="0" distL="0" distR="0">
            <wp:extent cx="2444750" cy="2000250"/>
            <wp:effectExtent l="0" t="0" r="0" b="0"/>
            <wp:docPr id="7" nam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descr=""/>
                    <pic:cNvPicPr>
                      <a:picLocks noChangeAspect="1" noChangeArrowheads="1"/>
                    </pic:cNvPicPr>
                  </pic:nvPicPr>
                  <pic:blipFill>
                    <a:blip r:embed="rId8"/>
                    <a:stretch>
                      <a:fillRect/>
                    </a:stretch>
                  </pic:blipFill>
                  <pic:spPr bwMode="auto">
                    <a:xfrm>
                      <a:off x="0" y="0"/>
                      <a:ext cx="2444750" cy="2000250"/>
                    </a:xfrm>
                    <a:prstGeom prst="rect">
                      <a:avLst/>
                    </a:prstGeom>
                  </pic:spPr>
                </pic:pic>
              </a:graphicData>
            </a:graphic>
          </wp:inline>
        </w:drawing>
      </w:r>
    </w:p>
    <w:p>
      <w:pPr>
        <w:pStyle w:val="Normal"/>
        <w:tabs>
          <w:tab w:val="clear" w:pos="708"/>
          <w:tab w:val="left" w:pos="492" w:leader="none"/>
          <w:tab w:val="left" w:pos="2760" w:leader="none"/>
        </w:tabs>
        <w:jc w:val="center"/>
        <w:rPr/>
      </w:pPr>
      <w:r>
        <w:rPr>
          <w:sz w:val="16"/>
          <w:lang w:val="en-GB"/>
        </w:rPr>
        <w:t>(a) Healthy group</w:t>
      </w:r>
    </w:p>
    <w:p>
      <w:pPr>
        <w:pStyle w:val="Normal"/>
        <w:tabs>
          <w:tab w:val="clear" w:pos="708"/>
          <w:tab w:val="left" w:pos="492" w:leader="none"/>
          <w:tab w:val="left" w:pos="2760" w:leader="none"/>
        </w:tabs>
        <w:jc w:val="center"/>
        <w:rPr/>
      </w:pPr>
      <w:r>
        <w:rPr/>
        <w:drawing>
          <wp:inline distT="0" distB="0" distL="0" distR="0">
            <wp:extent cx="2444750" cy="2000250"/>
            <wp:effectExtent l="0" t="0" r="0" b="0"/>
            <wp:docPr id="8" nam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3.png" descr=""/>
                    <pic:cNvPicPr>
                      <a:picLocks noChangeAspect="1" noChangeArrowheads="1"/>
                    </pic:cNvPicPr>
                  </pic:nvPicPr>
                  <pic:blipFill>
                    <a:blip r:embed="rId9"/>
                    <a:stretch>
                      <a:fillRect/>
                    </a:stretch>
                  </pic:blipFill>
                  <pic:spPr bwMode="auto">
                    <a:xfrm>
                      <a:off x="0" y="0"/>
                      <a:ext cx="2444750" cy="2000250"/>
                    </a:xfrm>
                    <a:prstGeom prst="rect">
                      <a:avLst/>
                    </a:prstGeom>
                  </pic:spPr>
                </pic:pic>
              </a:graphicData>
            </a:graphic>
          </wp:inline>
        </w:drawing>
      </w:r>
    </w:p>
    <w:p>
      <w:pPr>
        <w:pStyle w:val="Normal"/>
        <w:tabs>
          <w:tab w:val="clear" w:pos="708"/>
          <w:tab w:val="left" w:pos="492" w:leader="none"/>
          <w:tab w:val="left" w:pos="2760" w:leader="none"/>
        </w:tabs>
        <w:jc w:val="center"/>
        <w:rPr>
          <w:lang w:val="en-US"/>
        </w:rPr>
      </w:pPr>
      <w:r>
        <w:rPr>
          <w:sz w:val="16"/>
          <w:lang w:val="en-GB"/>
        </w:rPr>
        <w:t>(b) OI group</w:t>
      </w:r>
    </w:p>
    <w:p>
      <w:pPr>
        <w:pStyle w:val="Normal"/>
        <w:tabs>
          <w:tab w:val="clear" w:pos="708"/>
          <w:tab w:val="left" w:pos="492" w:leader="none"/>
          <w:tab w:val="left" w:pos="2760" w:leader="none"/>
        </w:tabs>
        <w:jc w:val="center"/>
        <w:rPr>
          <w:lang w:val="en-US"/>
        </w:rPr>
      </w:pPr>
      <w:r>
        <w:rPr>
          <w:lang w:val="en-US"/>
        </w:rPr>
      </w:r>
    </w:p>
    <w:p>
      <w:pPr>
        <w:pStyle w:val="Normal"/>
        <w:tabs>
          <w:tab w:val="clear" w:pos="708"/>
          <w:tab w:val="left" w:pos="492" w:leader="none"/>
          <w:tab w:val="left" w:pos="2760" w:leader="none"/>
        </w:tabs>
        <w:spacing w:before="0" w:after="318"/>
        <w:jc w:val="both"/>
        <w:rPr>
          <w:lang w:val="en-US"/>
        </w:rPr>
      </w:pPr>
      <w:r>
        <w:rPr>
          <w:b/>
          <w:sz w:val="16"/>
          <w:lang w:val="en-GB"/>
        </w:rPr>
        <w:t>Figure 5</w:t>
      </w:r>
      <w:r>
        <w:rPr>
          <w:sz w:val="16"/>
          <w:lang w:val="en-GB"/>
        </w:rPr>
        <w:t xml:space="preserve">: Regression results using the fixed effects of the linear mixed-effect model on filtered data sets. </w:t>
      </w:r>
      <w:r>
        <w:rPr>
          <w:rFonts w:cs="Latin Modern Math" w:ascii="Latin Modern Math" w:hAnsi="Latin Modern Math"/>
          <w:i/>
          <w:sz w:val="16"/>
          <w:lang w:val="en-GB"/>
        </w:rPr>
        <w:t>λ</w:t>
      </w:r>
      <w:r>
        <w:rPr>
          <w:rFonts w:cs="Latin Modern Math" w:ascii="Latin Modern Math" w:hAnsi="Latin Modern Math"/>
          <w:i/>
          <w:sz w:val="16"/>
          <w:vertAlign w:val="subscript"/>
          <w:lang w:val="en-GB"/>
        </w:rPr>
        <w:t>ii</w:t>
      </w:r>
      <w:r>
        <w:rPr>
          <w:sz w:val="16"/>
          <w:lang w:val="en-GB"/>
        </w:rPr>
        <w:t xml:space="preserve"> stands for the diagonal terms of normal components of </w:t>
      </w:r>
      <w:r>
        <w:rPr>
          <w:rFonts w:cs="Latin Modern Math" w:ascii="Latin Modern Math" w:hAnsi="Latin Modern Math"/>
          <w:sz w:val="16"/>
          <w:lang w:val="en-GB"/>
        </w:rPr>
        <w:t>𝕊</w:t>
      </w:r>
      <w:r>
        <w:rPr>
          <w:sz w:val="16"/>
          <w:lang w:val="en-GB"/>
        </w:rPr>
        <w:t xml:space="preserve"> in Mandel notation [MANDEL 1965], </w:t>
      </w:r>
      <w:r>
        <w:rPr>
          <w:rFonts w:cs="Latin Modern Math" w:ascii="Latin Modern Math" w:hAnsi="Latin Modern Math"/>
          <w:i/>
          <w:sz w:val="16"/>
          <w:lang w:val="en-GB"/>
        </w:rPr>
        <w:t>λ</w:t>
      </w:r>
      <w:r>
        <w:rPr>
          <w:rFonts w:cs="Latin Modern Math" w:ascii="Latin Modern Math" w:hAnsi="Latin Modern Math"/>
          <w:i/>
          <w:sz w:val="16"/>
          <w:vertAlign w:val="subscript"/>
          <w:lang w:val="en-GB"/>
        </w:rPr>
        <w:t>ij</w:t>
      </w:r>
      <w:r>
        <w:rPr>
          <w:sz w:val="16"/>
          <w:lang w:val="en-GB"/>
        </w:rPr>
        <w:t xml:space="preserve"> for the off-diagonal terms of normal components, and </w:t>
      </w:r>
      <w:r>
        <w:rPr>
          <w:rFonts w:cs="Latin Modern Math" w:ascii="Latin Modern Math" w:hAnsi="Latin Modern Math"/>
          <w:i/>
          <w:sz w:val="16"/>
          <w:lang w:val="fr-CH"/>
        </w:rPr>
        <w:t>μ</w:t>
      </w:r>
      <w:r>
        <w:rPr>
          <w:rFonts w:cs="Latin Modern Math" w:ascii="Latin Modern Math" w:hAnsi="Latin Modern Math"/>
          <w:i/>
          <w:sz w:val="16"/>
          <w:vertAlign w:val="subscript"/>
          <w:lang w:val="fr-CH"/>
        </w:rPr>
        <w:t>ij</w:t>
      </w:r>
      <w:r>
        <w:rPr>
          <w:sz w:val="16"/>
          <w:lang w:val="en-GB"/>
        </w:rPr>
        <w:t xml:space="preserve"> for the shear components. The dashed line represents the fitted line.</w:t>
      </w:r>
    </w:p>
    <w:p>
      <w:pPr>
        <w:pStyle w:val="Normal"/>
        <w:tabs>
          <w:tab w:val="clear" w:pos="708"/>
          <w:tab w:val="left" w:pos="492" w:leader="none"/>
          <w:tab w:val="left" w:pos="2760" w:leader="none"/>
        </w:tabs>
        <w:jc w:val="both"/>
        <w:rPr>
          <w:lang w:val="en-US"/>
        </w:rPr>
      </w:pPr>
      <w:r>
        <w:rPr>
          <w:lang w:val="en-US"/>
        </w:rPr>
      </w:r>
    </w:p>
    <w:p>
      <w:pPr>
        <w:pStyle w:val="Normal"/>
        <w:tabs>
          <w:tab w:val="clear" w:pos="708"/>
          <w:tab w:val="left" w:pos="492" w:leader="none"/>
          <w:tab w:val="left" w:pos="2760" w:leader="none"/>
        </w:tabs>
        <w:jc w:val="both"/>
        <w:rPr>
          <w:lang w:val="en-US"/>
        </w:rPr>
      </w:pPr>
      <w:r>
        <w:rPr>
          <w:b/>
          <w:lang w:val="en-GB"/>
        </w:rPr>
        <w:t>4. Discussion</w:t>
      </w:r>
    </w:p>
    <w:p>
      <w:pPr>
        <w:pStyle w:val="Normal"/>
        <w:tabs>
          <w:tab w:val="clear" w:pos="708"/>
          <w:tab w:val="left" w:pos="492" w:leader="none"/>
          <w:tab w:val="left" w:pos="2760" w:leader="none"/>
        </w:tabs>
        <w:jc w:val="both"/>
        <w:rPr>
          <w:sz w:val="22"/>
          <w:szCs w:val="22"/>
          <w:lang w:val="en-US"/>
        </w:rPr>
      </w:pPr>
      <w:commentRangeStart w:id="57"/>
      <w:r>
        <w:rPr>
          <w:sz w:val="22"/>
          <w:szCs w:val="22"/>
          <w:lang w:val="en-GB"/>
        </w:rPr>
        <w:t>The</w:t>
      </w:r>
      <w:r>
        <w:rPr>
          <w:sz w:val="22"/>
          <w:szCs w:val="22"/>
          <w:lang w:val="en-GB"/>
        </w:rPr>
      </w:r>
      <w:commentRangeEnd w:id="57"/>
      <w:r>
        <w:commentReference w:id="57"/>
      </w:r>
      <w:r>
        <w:rPr>
          <w:sz w:val="22"/>
          <w:szCs w:val="22"/>
          <w:lang w:val="en-GB"/>
        </w:rPr>
        <w:t xml:space="preserve"> </w:t>
      </w:r>
      <w:ins w:id="396" w:author="Schenk, Denis Elia (ARTORG)" w:date="2021-05-26T15:09:00Z">
        <w:r>
          <w:rPr>
            <w:sz w:val="22"/>
            <w:szCs w:val="22"/>
            <w:lang w:val="en-GB"/>
          </w:rPr>
          <w:t xml:space="preserve">As </w:t>
        </w:r>
      </w:ins>
      <w:ins w:id="397" w:author="Schenk, Denis Elia (ARTORG)" w:date="2021-05-26T15:10:00Z">
        <w:r>
          <w:rPr>
            <w:sz w:val="22"/>
            <w:szCs w:val="22"/>
            <w:lang w:val="en-GB"/>
          </w:rPr>
          <w:t xml:space="preserve">the previous studies have the same age range as our matched groups, we can </w:t>
        </w:r>
      </w:ins>
      <w:del w:id="398" w:author="Schenk, Denis Elia (ARTORG)" w:date="2021-05-26T15:10:00Z">
        <w:r>
          <w:rPr>
            <w:sz w:val="22"/>
            <w:szCs w:val="22"/>
            <w:lang w:val="en-GB"/>
          </w:rPr>
          <w:delText xml:space="preserve">age of matched individuals lies in the spectrum of the others studies which allow to </w:delText>
        </w:r>
      </w:del>
      <w:r>
        <w:rPr>
          <w:sz w:val="22"/>
          <w:szCs w:val="22"/>
          <w:lang w:val="en-GB"/>
        </w:rPr>
        <w:t>compare</w:t>
      </w:r>
      <w:ins w:id="399" w:author="Schenk, Denis Elia (ARTORG)" w:date="2021-05-26T15:10:00Z">
        <w:r>
          <w:rPr>
            <w:sz w:val="22"/>
            <w:szCs w:val="22"/>
            <w:lang w:val="en-GB"/>
          </w:rPr>
          <w:t xml:space="preserve"> </w:t>
        </w:r>
      </w:ins>
      <w:del w:id="400" w:author="Schenk, Denis Elia (ARTORG)" w:date="2021-05-26T15:10:00Z">
        <w:r>
          <w:rPr>
            <w:sz w:val="22"/>
            <w:szCs w:val="22"/>
            <w:lang w:val="en-GB"/>
          </w:rPr>
          <w:delText xml:space="preserve"> the </w:delText>
        </w:r>
      </w:del>
      <w:r>
        <w:rPr>
          <w:sz w:val="22"/>
          <w:szCs w:val="22"/>
          <w:lang w:val="en-GB"/>
        </w:rPr>
        <w:t xml:space="preserve">morphological </w:t>
      </w:r>
      <w:del w:id="401" w:author="Schenk, Denis Elia (ARTORG)" w:date="2021-05-26T15:11:00Z">
        <w:r>
          <w:rPr>
            <w:sz w:val="22"/>
            <w:szCs w:val="22"/>
            <w:lang w:val="en-GB"/>
          </w:rPr>
          <w:delText>values</w:delText>
        </w:r>
      </w:del>
      <w:ins w:id="402" w:author="Schenk, Denis Elia (ARTORG)" w:date="2021-05-26T15:11:00Z">
        <w:r>
          <w:rPr>
            <w:sz w:val="22"/>
            <w:szCs w:val="22"/>
            <w:lang w:val="en-GB"/>
          </w:rPr>
          <w:t>parameters</w:t>
        </w:r>
      </w:ins>
      <w:r>
        <w:rPr>
          <w:sz w:val="22"/>
          <w:szCs w:val="22"/>
          <w:lang w:val="en-GB"/>
        </w:rPr>
        <w:t xml:space="preserve">. The </w:t>
      </w:r>
      <w:ins w:id="403" w:author="Schenk, Denis Elia (ARTORG)" w:date="2021-05-31T15:50:00Z">
        <w:r>
          <w:rPr>
            <w:sz w:val="22"/>
            <w:szCs w:val="22"/>
            <w:lang w:val="en-GB"/>
          </w:rPr>
          <w:t xml:space="preserve">imaging system explains </w:t>
        </w:r>
      </w:ins>
      <w:del w:id="404" w:author="Schenk, Denis Elia (ARTORG)" w:date="2021-05-31T15:50:00Z">
        <w:r>
          <w:rPr>
            <w:sz w:val="22"/>
            <w:szCs w:val="22"/>
            <w:lang w:val="en-GB"/>
          </w:rPr>
          <w:delText>main explanation for</w:delText>
        </w:r>
      </w:del>
      <w:ins w:id="405" w:author="Schenk, Denis Elia (ARTORG)" w:date="2021-05-31T15:50:00Z">
        <w:r>
          <w:rPr>
            <w:sz w:val="22"/>
            <w:szCs w:val="22"/>
            <w:lang w:val="en-GB"/>
          </w:rPr>
          <w:t>most of the</w:t>
        </w:r>
      </w:ins>
      <w:r>
        <w:rPr>
          <w:sz w:val="22"/>
          <w:szCs w:val="22"/>
          <w:lang w:val="en-GB"/>
        </w:rPr>
        <w:t xml:space="preserve"> differences between the absolute </w:t>
      </w:r>
      <w:ins w:id="406" w:author="Schenk, Denis Elia (ARTORG)" w:date="2021-05-31T15:50:00Z">
        <w:r>
          <w:rPr>
            <w:sz w:val="22"/>
            <w:szCs w:val="22"/>
            <w:lang w:val="en-GB"/>
          </w:rPr>
          <w:t xml:space="preserve">morphological </w:t>
        </w:r>
      </w:ins>
      <w:r>
        <w:rPr>
          <w:sz w:val="22"/>
          <w:szCs w:val="22"/>
          <w:lang w:val="en-GB"/>
        </w:rPr>
        <w:t>values of the present study compared to the others</w:t>
      </w:r>
      <w:del w:id="407" w:author="Schenk, Denis Elia (ARTORG)" w:date="2021-05-31T15:51:00Z">
        <w:r>
          <w:rPr>
            <w:sz w:val="22"/>
            <w:szCs w:val="22"/>
            <w:lang w:val="en-GB"/>
          </w:rPr>
          <w:delText xml:space="preserve"> lies in the imaging system</w:delText>
        </w:r>
      </w:del>
      <w:r>
        <w:rPr>
          <w:sz w:val="22"/>
          <w:szCs w:val="22"/>
          <w:lang w:val="en-GB"/>
        </w:rPr>
        <w:t xml:space="preserve">. [Folkestad 2012], [Kocijan 2015], and [Rolvien 2018] have performed </w:t>
      </w:r>
      <w:ins w:id="408" w:author="Schenk, Denis Elia (ARTORG)" w:date="2021-05-31T15:51:00Z">
        <w:r>
          <w:rPr>
            <w:sz w:val="22"/>
            <w:szCs w:val="22"/>
            <w:lang w:val="en-GB"/>
          </w:rPr>
          <w:t xml:space="preserve">their measurements on </w:t>
        </w:r>
      </w:ins>
      <w:r>
        <w:rPr>
          <w:sz w:val="22"/>
          <w:szCs w:val="22"/>
          <w:lang w:val="en-GB"/>
        </w:rPr>
        <w:t xml:space="preserve">first generation </w:t>
      </w:r>
      <w:del w:id="409" w:author="Schenk, Denis Elia (ARTORG)" w:date="2021-05-31T15:52:00Z">
        <w:r>
          <w:rPr>
            <w:sz w:val="22"/>
            <w:szCs w:val="22"/>
            <w:lang w:val="en-GB"/>
          </w:rPr>
          <w:delText xml:space="preserve">Xtreme </w:delText>
        </w:r>
      </w:del>
      <w:ins w:id="410" w:author="Schenk, Denis Elia (ARTORG)" w:date="2021-05-31T15:52:00Z">
        <w:r>
          <w:rPr>
            <w:sz w:val="22"/>
            <w:szCs w:val="22"/>
            <w:lang w:val="en-GB"/>
          </w:rPr>
          <w:t>X</w:t>
        </w:r>
      </w:ins>
      <w:r>
        <w:rPr>
          <w:sz w:val="22"/>
          <w:szCs w:val="22"/>
          <w:lang w:val="en-GB"/>
        </w:rPr>
        <w:t xml:space="preserve">CT </w:t>
      </w:r>
      <w:del w:id="411" w:author="Schenk, Denis Elia (ARTORG)" w:date="2021-05-31T15:51:00Z">
        <w:r>
          <w:rPr>
            <w:sz w:val="22"/>
            <w:szCs w:val="22"/>
            <w:lang w:val="en-GB"/>
          </w:rPr>
          <w:delText xml:space="preserve">scans </w:delText>
        </w:r>
      </w:del>
      <w:ins w:id="412" w:author="Schenk, Denis Elia (ARTORG)" w:date="2021-05-31T15:51:00Z">
        <w:r>
          <w:rPr>
            <w:sz w:val="22"/>
            <w:szCs w:val="22"/>
            <w:lang w:val="en-GB"/>
          </w:rPr>
          <w:t>scanners</w:t>
        </w:r>
      </w:ins>
      <w:ins w:id="413" w:author="Schenk, Denis Elia (ARTORG)" w:date="2021-05-31T15:52:00Z">
        <w:r>
          <w:rPr>
            <w:sz w:val="22"/>
            <w:szCs w:val="22"/>
            <w:lang w:val="en-GB"/>
          </w:rPr>
          <w:t>, while we</w:t>
        </w:r>
      </w:ins>
      <w:ins w:id="414" w:author="Schenk, Denis Elia (ARTORG)" w:date="2021-05-31T15:51:00Z">
        <w:r>
          <w:rPr>
            <w:sz w:val="22"/>
            <w:szCs w:val="22"/>
            <w:lang w:val="en-GB"/>
          </w:rPr>
          <w:t xml:space="preserve"> </w:t>
        </w:r>
      </w:ins>
      <w:del w:id="415" w:author="Schenk, Denis Elia (ARTORG)" w:date="2021-05-31T15:52:00Z">
        <w:r>
          <w:rPr>
            <w:sz w:val="22"/>
            <w:szCs w:val="22"/>
            <w:lang w:val="en-GB"/>
          </w:rPr>
          <w:delText>and the present study</w:delText>
        </w:r>
      </w:del>
      <w:ins w:id="416" w:author="Schenk, Denis Elia (ARTORG)" w:date="2021-05-31T15:52:00Z">
        <w:r>
          <w:rPr>
            <w:sz w:val="22"/>
            <w:szCs w:val="22"/>
            <w:lang w:val="en-GB"/>
          </w:rPr>
          <w:t>have used</w:t>
        </w:r>
      </w:ins>
      <w:del w:id="417" w:author="Schenk, Denis Elia (ARTORG)" w:date="2021-05-31T15:52:00Z">
        <w:r>
          <w:rPr>
            <w:sz w:val="22"/>
            <w:szCs w:val="22"/>
            <w:lang w:val="en-GB"/>
          </w:rPr>
          <w:delText xml:space="preserve"> use</w:delText>
        </w:r>
      </w:del>
      <w:r>
        <w:rPr>
          <w:sz w:val="22"/>
          <w:szCs w:val="22"/>
          <w:lang w:val="en-GB"/>
        </w:rPr>
        <w:t xml:space="preserve"> </w:t>
      </w:r>
      <w:del w:id="418" w:author="Schenk, Denis Elia (ARTORG)" w:date="2021-05-31T15:52:00Z">
        <w:r>
          <w:rPr>
            <w:sz w:val="22"/>
            <w:szCs w:val="22"/>
            <w:lang w:val="en-GB"/>
          </w:rPr>
          <w:delText>image from</w:delText>
        </w:r>
      </w:del>
      <w:ins w:id="419" w:author="Schenk, Denis Elia (ARTORG)" w:date="2021-05-31T15:52:00Z">
        <w:r>
          <w:rPr>
            <w:sz w:val="22"/>
            <w:szCs w:val="22"/>
            <w:lang w:val="en-GB"/>
          </w:rPr>
          <w:t>a second generation XCT</w:t>
        </w:r>
      </w:ins>
      <w:del w:id="420" w:author="Schenk, Denis Elia (ARTORG)" w:date="2021-05-31T15:52:00Z">
        <w:r>
          <w:rPr>
            <w:sz w:val="22"/>
            <w:szCs w:val="22"/>
            <w:lang w:val="en-GB"/>
          </w:rPr>
          <w:delText xml:space="preserve"> XCTII</w:delText>
        </w:r>
      </w:del>
      <w:r>
        <w:rPr>
          <w:sz w:val="22"/>
          <w:szCs w:val="22"/>
          <w:lang w:val="en-GB"/>
        </w:rPr>
        <w:t>. The work from [Agarwal 2016] showed that BV/TV, Tb</w:t>
      </w:r>
      <w:del w:id="421" w:author="Schenk, Denis Elia (ARTORG)" w:date="2021-05-31T15:54:00Z">
        <w:r>
          <w:rPr>
            <w:sz w:val="22"/>
            <w:szCs w:val="22"/>
            <w:lang w:val="en-GB"/>
          </w:rPr>
          <w:delText xml:space="preserve"> </w:delText>
        </w:r>
      </w:del>
      <w:r>
        <w:rPr>
          <w:sz w:val="22"/>
          <w:szCs w:val="22"/>
          <w:lang w:val="en-GB"/>
        </w:rPr>
        <w:t>Th, and Tb</w:t>
      </w:r>
      <w:del w:id="422" w:author="Schenk, Denis Elia (ARTORG)" w:date="2021-05-31T15:54:00Z">
        <w:r>
          <w:rPr>
            <w:sz w:val="22"/>
            <w:szCs w:val="22"/>
            <w:lang w:val="en-GB"/>
          </w:rPr>
          <w:delText xml:space="preserve"> </w:delText>
        </w:r>
      </w:del>
      <w:r>
        <w:rPr>
          <w:sz w:val="22"/>
          <w:szCs w:val="22"/>
          <w:lang w:val="en-GB"/>
        </w:rPr>
        <w:t xml:space="preserve">Sp </w:t>
      </w:r>
      <w:del w:id="423" w:author="Schenk, Denis Elia (ARTORG)" w:date="2021-05-31T15:52:00Z">
        <w:r>
          <w:rPr>
            <w:sz w:val="22"/>
            <w:szCs w:val="22"/>
            <w:lang w:val="en-GB"/>
          </w:rPr>
          <w:delText xml:space="preserve">is </w:delText>
        </w:r>
      </w:del>
      <w:ins w:id="424" w:author="Schenk, Denis Elia (ARTORG)" w:date="2021-05-31T15:52:00Z">
        <w:r>
          <w:rPr>
            <w:sz w:val="22"/>
            <w:szCs w:val="22"/>
            <w:lang w:val="en-GB"/>
          </w:rPr>
          <w:t xml:space="preserve">are </w:t>
        </w:r>
      </w:ins>
      <w:r>
        <w:rPr>
          <w:sz w:val="22"/>
          <w:szCs w:val="22"/>
          <w:lang w:val="en-GB"/>
        </w:rPr>
        <w:t xml:space="preserve">higher in second generation </w:t>
      </w:r>
      <w:commentRangeStart w:id="58"/>
      <w:r>
        <w:rPr>
          <w:sz w:val="22"/>
          <w:szCs w:val="22"/>
          <w:lang w:val="en-GB"/>
        </w:rPr>
        <w:t>X</w:t>
      </w:r>
      <w:del w:id="425" w:author="Schenk, Denis Elia (ARTORG)" w:date="2021-05-31T15:53:00Z">
        <w:r>
          <w:rPr>
            <w:sz w:val="22"/>
            <w:szCs w:val="22"/>
            <w:lang w:val="en-GB"/>
          </w:rPr>
          <w:delText xml:space="preserve">treme </w:delText>
        </w:r>
      </w:del>
      <w:r>
        <w:rPr>
          <w:sz w:val="22"/>
          <w:szCs w:val="22"/>
          <w:lang w:val="en-GB"/>
        </w:rPr>
        <w:t xml:space="preserve">CT </w:t>
      </w:r>
      <w:r>
        <w:rPr>
          <w:sz w:val="22"/>
          <w:szCs w:val="22"/>
          <w:lang w:val="en-GB"/>
        </w:rPr>
      </w:r>
      <w:ins w:id="426" w:author="Schenk, Denis Elia (ARTORG)" w:date="2021-05-31T15:53:00Z">
        <w:commentRangeEnd w:id="58"/>
        <w:r>
          <w:commentReference w:id="58"/>
        </w:r>
        <w:r>
          <w:rPr>
            <w:sz w:val="22"/>
            <w:szCs w:val="22"/>
            <w:lang w:val="en-GB"/>
          </w:rPr>
          <w:t xml:space="preserve">scanners </w:t>
        </w:r>
      </w:ins>
      <w:r>
        <w:rPr>
          <w:sz w:val="22"/>
          <w:szCs w:val="22"/>
          <w:lang w:val="en-GB"/>
        </w:rPr>
        <w:t>and</w:t>
      </w:r>
      <w:del w:id="427" w:author="Schenk, Denis Elia (ARTORG)" w:date="2021-05-26T15:12:00Z">
        <w:r>
          <w:rPr>
            <w:sz w:val="22"/>
            <w:szCs w:val="22"/>
            <w:lang w:val="en-GB"/>
          </w:rPr>
          <w:delText>, on the other hand,</w:delText>
        </w:r>
      </w:del>
      <w:r>
        <w:rPr>
          <w:sz w:val="22"/>
          <w:szCs w:val="22"/>
          <w:lang w:val="en-GB"/>
        </w:rPr>
        <w:t xml:space="preserve"> Tb N is </w:t>
      </w:r>
      <w:del w:id="428" w:author="Schenk, Denis Elia (ARTORG)" w:date="2021-05-26T15:13:00Z">
        <w:r>
          <w:rPr>
            <w:sz w:val="22"/>
            <w:szCs w:val="22"/>
            <w:lang w:val="en-GB"/>
          </w:rPr>
          <w:delText>higher in first generation Xtreme CT</w:delText>
        </w:r>
      </w:del>
      <w:ins w:id="429" w:author="Schenk, Denis Elia (ARTORG)" w:date="2021-05-26T15:13:00Z">
        <w:r>
          <w:rPr>
            <w:sz w:val="22"/>
            <w:szCs w:val="22"/>
            <w:lang w:val="en-GB"/>
          </w:rPr>
          <w:t>lower, compared to first generation XCT</w:t>
        </w:r>
      </w:ins>
      <w:r>
        <w:rPr>
          <w:sz w:val="22"/>
          <w:szCs w:val="22"/>
          <w:lang w:val="en-GB"/>
        </w:rPr>
        <w:t xml:space="preserve">. These results give confidence </w:t>
      </w:r>
      <w:del w:id="430" w:author="Schenk, Denis Elia (ARTORG)" w:date="2021-05-31T15:53:00Z">
        <w:r>
          <w:rPr>
            <w:sz w:val="22"/>
            <w:szCs w:val="22"/>
            <w:lang w:val="en-GB"/>
          </w:rPr>
          <w:delText xml:space="preserve">on </w:delText>
        </w:r>
      </w:del>
      <w:ins w:id="431" w:author="Schenk, Denis Elia (ARTORG)" w:date="2021-05-31T15:53:00Z">
        <w:r>
          <w:rPr>
            <w:sz w:val="22"/>
            <w:szCs w:val="22"/>
            <w:lang w:val="en-GB"/>
          </w:rPr>
          <w:t>in our</w:t>
        </w:r>
      </w:ins>
      <w:del w:id="432" w:author="Schenk, Denis Elia (ARTORG)" w:date="2021-05-31T15:53:00Z">
        <w:r>
          <w:rPr>
            <w:sz w:val="22"/>
            <w:szCs w:val="22"/>
            <w:lang w:val="en-GB"/>
          </w:rPr>
          <w:delText>the</w:delText>
        </w:r>
      </w:del>
      <w:r>
        <w:rPr>
          <w:sz w:val="22"/>
          <w:szCs w:val="22"/>
          <w:lang w:val="en-GB"/>
        </w:rPr>
        <w:t xml:space="preserve"> observed values. Another bias is introduced by the fact that the present study analyses the median values of six cubic ROIs with 5.3 mm side length. This conditions the Tb</w:t>
      </w:r>
      <w:del w:id="433" w:author="Schenk, Denis Elia (ARTORG)" w:date="2021-05-31T15:54:00Z">
        <w:r>
          <w:rPr>
            <w:sz w:val="22"/>
            <w:szCs w:val="22"/>
            <w:lang w:val="en-GB"/>
          </w:rPr>
          <w:delText xml:space="preserve"> </w:delText>
        </w:r>
      </w:del>
      <w:r>
        <w:rPr>
          <w:sz w:val="22"/>
          <w:szCs w:val="22"/>
          <w:lang w:val="en-GB"/>
        </w:rPr>
        <w:t>N and Tb</w:t>
      </w:r>
      <w:del w:id="434" w:author="Schenk, Denis Elia (ARTORG)" w:date="2021-05-31T15:54:00Z">
        <w:r>
          <w:rPr>
            <w:sz w:val="22"/>
            <w:szCs w:val="22"/>
            <w:lang w:val="en-GB"/>
          </w:rPr>
          <w:delText xml:space="preserve"> </w:delText>
        </w:r>
      </w:del>
      <w:r>
        <w:rPr>
          <w:sz w:val="22"/>
          <w:szCs w:val="22"/>
          <w:lang w:val="en-GB"/>
        </w:rPr>
        <w:t xml:space="preserve">Sp as they depend on the ROI size. Moreover, conditions imposed for </w:t>
      </w:r>
      <w:ins w:id="435" w:author="Schenk, Denis Elia (ARTORG)" w:date="2021-05-31T15:54:00Z">
        <w:r>
          <w:rPr>
            <w:sz w:val="22"/>
            <w:szCs w:val="22"/>
            <w:lang w:val="en-GB"/>
          </w:rPr>
          <w:t xml:space="preserve">random </w:t>
        </w:r>
      </w:ins>
      <w:r>
        <w:rPr>
          <w:sz w:val="22"/>
          <w:szCs w:val="22"/>
          <w:lang w:val="en-GB"/>
        </w:rPr>
        <w:t xml:space="preserve">ROI </w:t>
      </w:r>
      <w:del w:id="436" w:author="Schenk, Denis Elia (ARTORG)" w:date="2021-05-31T15:54:00Z">
        <w:r>
          <w:rPr>
            <w:sz w:val="22"/>
            <w:szCs w:val="22"/>
            <w:lang w:val="en-GB"/>
          </w:rPr>
          <w:delText xml:space="preserve">random </w:delText>
        </w:r>
      </w:del>
      <w:r>
        <w:rPr>
          <w:sz w:val="22"/>
          <w:szCs w:val="22"/>
          <w:lang w:val="en-GB"/>
        </w:rPr>
        <w:t xml:space="preserve">selection can lead to further biased values, specially of OI patient, as </w:t>
      </w:r>
      <w:ins w:id="437" w:author="Schenk, Denis Elia (ARTORG)" w:date="2021-05-31T15:54:00Z">
        <w:r>
          <w:rPr>
            <w:sz w:val="22"/>
            <w:szCs w:val="22"/>
            <w:lang w:val="en-GB"/>
          </w:rPr>
          <w:t>the ROI</w:t>
        </w:r>
      </w:ins>
      <w:del w:id="438" w:author="Schenk, Denis Elia (ARTORG)" w:date="2021-05-31T15:54:00Z">
        <w:r>
          <w:rPr>
            <w:sz w:val="22"/>
            <w:szCs w:val="22"/>
            <w:lang w:val="en-GB"/>
          </w:rPr>
          <w:delText>it</w:delText>
        </w:r>
      </w:del>
      <w:r>
        <w:rPr>
          <w:sz w:val="22"/>
          <w:szCs w:val="22"/>
          <w:lang w:val="en-GB"/>
        </w:rPr>
        <w:t xml:space="preserve"> </w:t>
      </w:r>
      <w:del w:id="439" w:author="Schenk, Denis Elia (ARTORG)" w:date="2021-05-31T15:54:00Z">
        <w:r>
          <w:rPr>
            <w:sz w:val="22"/>
            <w:szCs w:val="22"/>
            <w:lang w:val="en-GB"/>
          </w:rPr>
          <w:delText>can not be empty of</w:delText>
        </w:r>
      </w:del>
      <w:ins w:id="440" w:author="Schenk, Denis Elia (ARTORG)" w:date="2021-05-31T15:54:00Z">
        <w:r>
          <w:rPr>
            <w:sz w:val="22"/>
            <w:szCs w:val="22"/>
            <w:lang w:val="en-GB"/>
          </w:rPr>
          <w:t>mus</w:t>
        </w:r>
      </w:ins>
      <w:ins w:id="441" w:author="Schenk, Denis Elia (ARTORG)" w:date="2021-05-31T15:55:00Z">
        <w:r>
          <w:rPr>
            <w:sz w:val="22"/>
            <w:szCs w:val="22"/>
            <w:lang w:val="en-GB"/>
          </w:rPr>
          <w:t>t contain a portion of</w:t>
        </w:r>
      </w:ins>
      <w:r>
        <w:rPr>
          <w:sz w:val="22"/>
          <w:szCs w:val="22"/>
          <w:lang w:val="en-GB"/>
        </w:rPr>
        <w:t xml:space="preserve"> trabecular bone. </w:t>
      </w:r>
      <w:commentRangeStart w:id="59"/>
      <w:r>
        <w:rPr>
          <w:sz w:val="22"/>
          <w:szCs w:val="22"/>
          <w:lang w:val="en-GB"/>
        </w:rPr>
        <w:t>The CV</w:t>
      </w:r>
      <w:ins w:id="442" w:author="Schenk, Denis Elia (ARTORG)" w:date="2021-05-31T15:55:00Z">
        <w:r>
          <w:rPr>
            <w:sz w:val="22"/>
            <w:szCs w:val="22"/>
            <w:lang w:val="en-GB"/>
          </w:rPr>
          <w:t xml:space="preserve"> values</w:t>
        </w:r>
      </w:ins>
      <w:r>
        <w:rPr>
          <w:sz w:val="22"/>
          <w:szCs w:val="22"/>
          <w:lang w:val="en-GB"/>
        </w:rPr>
        <w:t xml:space="preserve"> presenting the stronger significant difference between groups even given the low sample size show that heterogeneity is a main difference in OI patient compared to healthy individuals</w:t>
      </w:r>
      <w:r>
        <w:rPr>
          <w:sz w:val="22"/>
          <w:szCs w:val="22"/>
          <w:lang w:val="en-GB"/>
        </w:rPr>
      </w:r>
      <w:commentRangeEnd w:id="59"/>
      <w:r>
        <w:commentReference w:id="59"/>
      </w:r>
      <w:r>
        <w:rPr>
          <w:sz w:val="22"/>
          <w:szCs w:val="22"/>
          <w:lang w:val="en-GB"/>
        </w:rPr>
        <w:t xml:space="preserve">. Finally, the significant differences observed in BV/TV and DA even with </w:t>
      </w:r>
      <w:ins w:id="443" w:author="Schenk, Denis Elia (ARTORG)" w:date="2021-05-31T15:56:00Z">
        <w:r>
          <w:rPr>
            <w:sz w:val="22"/>
            <w:szCs w:val="22"/>
            <w:lang w:val="en-GB"/>
          </w:rPr>
          <w:t xml:space="preserve">matched </w:t>
        </w:r>
      </w:ins>
      <w:r>
        <w:rPr>
          <w:sz w:val="22"/>
          <w:szCs w:val="22"/>
          <w:lang w:val="en-GB"/>
        </w:rPr>
        <w:t xml:space="preserve">age </w:t>
      </w:r>
      <w:ins w:id="444" w:author="Schenk, Denis Elia (ARTORG)" w:date="2021-05-31T15:56:00Z">
        <w:r>
          <w:rPr>
            <w:sz w:val="22"/>
            <w:szCs w:val="22"/>
            <w:lang w:val="en-GB"/>
          </w:rPr>
          <w:t>and</w:t>
        </w:r>
      </w:ins>
      <w:del w:id="445" w:author="Schenk, Denis Elia (ARTORG)" w:date="2021-05-31T15:56:00Z">
        <w:r>
          <w:rPr>
            <w:sz w:val="22"/>
            <w:szCs w:val="22"/>
            <w:lang w:val="en-GB"/>
          </w:rPr>
          <w:delText>&amp;</w:delText>
        </w:r>
      </w:del>
      <w:r>
        <w:rPr>
          <w:sz w:val="22"/>
          <w:szCs w:val="22"/>
          <w:lang w:val="en-GB"/>
        </w:rPr>
        <w:t xml:space="preserve"> gender </w:t>
      </w:r>
      <w:del w:id="446" w:author="Schenk, Denis Elia (ARTORG)" w:date="2021-05-31T15:56:00Z">
        <w:commentRangeStart w:id="60"/>
        <w:r>
          <w:rPr>
            <w:sz w:val="22"/>
            <w:szCs w:val="22"/>
            <w:lang w:val="en-GB"/>
          </w:rPr>
          <w:delText xml:space="preserve">matched </w:delText>
        </w:r>
      </w:del>
      <w:del w:id="447" w:author="Schenk, Denis Elia (ARTORG)" w:date="2021-05-31T15:57:00Z">
        <w:r>
          <w:rPr>
            <w:sz w:val="22"/>
            <w:szCs w:val="22"/>
            <w:lang w:val="en-GB"/>
          </w:rPr>
          <w:delText xml:space="preserve">individuals </w:delText>
        </w:r>
      </w:del>
      <w:r>
        <w:rPr>
          <w:sz w:val="22"/>
          <w:szCs w:val="22"/>
          <w:lang w:val="en-GB"/>
        </w:rPr>
        <w:t>justif</w:t>
      </w:r>
      <w:ins w:id="448" w:author="Schenk, Denis Elia (ARTORG)" w:date="2021-05-31T15:57:00Z">
        <w:r>
          <w:rPr>
            <w:sz w:val="22"/>
            <w:szCs w:val="22"/>
            <w:lang w:val="en-GB"/>
          </w:rPr>
          <w:t>ies</w:t>
        </w:r>
      </w:ins>
      <w:del w:id="449" w:author="Schenk, Denis Elia (ARTORG)" w:date="2021-05-31T15:57:00Z">
        <w:r>
          <w:rPr>
            <w:sz w:val="22"/>
            <w:szCs w:val="22"/>
            <w:lang w:val="en-GB"/>
          </w:rPr>
          <w:delText>y</w:delText>
        </w:r>
      </w:del>
      <w:r>
        <w:rPr>
          <w:sz w:val="22"/>
          <w:szCs w:val="22"/>
          <w:lang w:val="en-GB"/>
        </w:rPr>
        <w:t xml:space="preserve"> the choice of a variable matching </w:t>
      </w:r>
      <w:r>
        <w:rPr>
          <w:sz w:val="22"/>
          <w:szCs w:val="22"/>
          <w:lang w:val="en-GB"/>
        </w:rPr>
      </w:r>
      <w:commentRangeEnd w:id="60"/>
      <w:r>
        <w:commentReference w:id="60"/>
      </w:r>
      <w:r>
        <w:rPr>
          <w:sz w:val="22"/>
          <w:szCs w:val="22"/>
          <w:lang w:val="en-GB"/>
        </w:rPr>
        <w:t>for fabric-elasticity relationships analysis.</w:t>
      </w:r>
    </w:p>
    <w:p>
      <w:pPr>
        <w:pStyle w:val="Normal"/>
        <w:tabs>
          <w:tab w:val="clear" w:pos="708"/>
          <w:tab w:val="left" w:pos="492" w:leader="none"/>
          <w:tab w:val="left" w:pos="2760" w:leader="none"/>
        </w:tabs>
        <w:jc w:val="both"/>
        <w:rPr>
          <w:sz w:val="22"/>
          <w:szCs w:val="22"/>
          <w:lang w:val="en-US"/>
        </w:rPr>
      </w:pPr>
      <w:r>
        <w:rPr>
          <w:sz w:val="22"/>
          <w:szCs w:val="22"/>
          <w:lang w:val="en-US"/>
        </w:rPr>
      </w:r>
    </w:p>
    <w:p>
      <w:pPr>
        <w:pStyle w:val="Normal"/>
        <w:tabs>
          <w:tab w:val="clear" w:pos="708"/>
          <w:tab w:val="left" w:pos="492" w:leader="none"/>
          <w:tab w:val="left" w:pos="2760" w:leader="none"/>
        </w:tabs>
        <w:jc w:val="both"/>
        <w:rPr>
          <w:sz w:val="22"/>
          <w:szCs w:val="22"/>
          <w:lang w:val="en-US"/>
        </w:rPr>
      </w:pPr>
      <w:commentRangeStart w:id="61"/>
      <w:r>
        <w:rPr>
          <w:sz w:val="22"/>
          <w:szCs w:val="22"/>
          <w:lang w:val="en-GB"/>
        </w:rPr>
        <w:t xml:space="preserve">Regression </w:t>
      </w:r>
      <w:r>
        <w:rPr>
          <w:sz w:val="22"/>
          <w:szCs w:val="22"/>
          <w:lang w:val="en-GB"/>
        </w:rPr>
      </w:r>
      <w:commentRangeEnd w:id="61"/>
      <w:r>
        <w:commentReference w:id="61"/>
      </w:r>
      <w:r>
        <w:rPr>
          <w:sz w:val="22"/>
          <w:szCs w:val="22"/>
          <w:lang w:val="en-GB"/>
        </w:rPr>
        <w:t>performed on original data sets show</w:t>
      </w:r>
      <w:ins w:id="450" w:author="Schenk, Denis Elia (ARTORG)" w:date="2021-05-31T15:59:00Z">
        <w:r>
          <w:rPr>
            <w:sz w:val="22"/>
            <w:szCs w:val="22"/>
            <w:lang w:val="en-GB"/>
          </w:rPr>
          <w:t>ed</w:t>
        </w:r>
      </w:ins>
      <w:del w:id="451" w:author="Schenk, Denis Elia (ARTORG)" w:date="2021-05-31T15:59:00Z">
        <w:r>
          <w:rPr>
            <w:sz w:val="22"/>
            <w:szCs w:val="22"/>
            <w:lang w:val="en-GB"/>
          </w:rPr>
          <w:delText>s</w:delText>
        </w:r>
      </w:del>
      <w:r>
        <w:rPr>
          <w:sz w:val="22"/>
          <w:szCs w:val="22"/>
          <w:lang w:val="en-GB"/>
        </w:rPr>
        <w:t xml:space="preserve"> </w:t>
      </w:r>
      <w:r>
        <w:rPr>
          <w:i/>
          <w:sz w:val="22"/>
          <w:szCs w:val="22"/>
          <w:lang w:val="en-GB"/>
        </w:rPr>
        <w:t>R</w:t>
      </w:r>
      <w:r>
        <w:rPr>
          <w:sz w:val="22"/>
          <w:szCs w:val="22"/>
          <w:vertAlign w:val="superscript"/>
          <w:lang w:val="en-GB"/>
        </w:rPr>
        <w:t>2</w:t>
      </w:r>
      <w:r>
        <w:rPr>
          <w:sz w:val="22"/>
          <w:szCs w:val="22"/>
          <w:vertAlign w:val="subscript"/>
          <w:lang w:val="en-GB"/>
        </w:rPr>
        <w:t xml:space="preserve">adj </w:t>
      </w:r>
      <w:r>
        <w:rPr>
          <w:sz w:val="22"/>
          <w:szCs w:val="22"/>
          <w:lang w:val="en-GB"/>
        </w:rPr>
        <w:t xml:space="preserve">and </w:t>
      </w:r>
      <w:r>
        <w:rPr>
          <w:i/>
          <w:sz w:val="22"/>
          <w:szCs w:val="22"/>
          <w:lang w:val="en-GB"/>
        </w:rPr>
        <w:t>NE</w:t>
      </w:r>
      <w:r>
        <w:rPr>
          <w:sz w:val="22"/>
          <w:szCs w:val="22"/>
          <w:lang w:val="en-GB"/>
        </w:rPr>
        <w:t xml:space="preserve"> </w:t>
      </w:r>
      <w:commentRangeStart w:id="62"/>
      <w:r>
        <w:rPr>
          <w:sz w:val="22"/>
          <w:szCs w:val="22"/>
          <w:lang w:val="en-GB"/>
        </w:rPr>
        <w:t xml:space="preserve">in the expected range </w:t>
      </w:r>
      <w:r>
        <w:rPr>
          <w:sz w:val="22"/>
          <w:szCs w:val="22"/>
          <w:lang w:val="en-GB"/>
        </w:rPr>
      </w:r>
      <w:commentRangeEnd w:id="62"/>
      <w:r>
        <w:commentReference w:id="62"/>
      </w:r>
      <w:r>
        <w:rPr>
          <w:sz w:val="22"/>
          <w:szCs w:val="22"/>
          <w:lang w:val="en-GB"/>
        </w:rPr>
        <w:t xml:space="preserve">for the healthy group. Components of the stiffness tensors are distributed to both sides of the diagonal. On the other hand, </w:t>
      </w:r>
      <w:commentRangeStart w:id="63"/>
      <w:r>
        <w:rPr>
          <w:sz w:val="22"/>
          <w:szCs w:val="22"/>
          <w:lang w:val="en-GB"/>
        </w:rPr>
        <w:t xml:space="preserve">regression </w:t>
      </w:r>
      <w:r>
        <w:rPr>
          <w:sz w:val="22"/>
          <w:szCs w:val="22"/>
          <w:lang w:val="en-GB"/>
        </w:rPr>
      </w:r>
      <w:commentRangeEnd w:id="63"/>
      <w:r>
        <w:commentReference w:id="63"/>
      </w:r>
      <w:r>
        <w:rPr>
          <w:sz w:val="22"/>
          <w:szCs w:val="22"/>
          <w:lang w:val="en-GB"/>
        </w:rPr>
        <w:t xml:space="preserve">of the OI data set presents lower </w:t>
      </w:r>
      <w:r>
        <w:rPr>
          <w:i/>
          <w:sz w:val="22"/>
          <w:szCs w:val="22"/>
          <w:lang w:val="en-GB"/>
        </w:rPr>
        <w:t>R</w:t>
      </w:r>
      <w:r>
        <w:rPr>
          <w:sz w:val="22"/>
          <w:szCs w:val="22"/>
          <w:vertAlign w:val="superscript"/>
          <w:lang w:val="en-GB"/>
        </w:rPr>
        <w:t>2</w:t>
      </w:r>
      <w:r>
        <w:rPr>
          <w:sz w:val="22"/>
          <w:szCs w:val="22"/>
          <w:vertAlign w:val="subscript"/>
          <w:lang w:val="en-GB"/>
        </w:rPr>
        <w:t>adj</w:t>
      </w:r>
      <w:r>
        <w:rPr>
          <w:sz w:val="22"/>
          <w:szCs w:val="22"/>
          <w:lang w:val="en-GB"/>
        </w:rPr>
        <w:t xml:space="preserve"> than such </w:t>
      </w:r>
      <w:commentRangeStart w:id="64"/>
      <w:r>
        <w:rPr>
          <w:sz w:val="22"/>
          <w:szCs w:val="22"/>
          <w:lang w:val="en-GB"/>
        </w:rPr>
        <w:t>fit reach usually</w:t>
      </w:r>
      <w:r>
        <w:rPr>
          <w:sz w:val="22"/>
          <w:szCs w:val="22"/>
          <w:lang w:val="en-GB"/>
        </w:rPr>
      </w:r>
      <w:commentRangeEnd w:id="64"/>
      <w:r>
        <w:commentReference w:id="64"/>
      </w:r>
      <w:r>
        <w:rPr>
          <w:sz w:val="22"/>
          <w:szCs w:val="22"/>
          <w:lang w:val="en-GB"/>
        </w:rPr>
        <w:t xml:space="preserve">. The important value of NE and its standard deviation shows that the fitted stiffness can deviate significantly from the observation. These differences come from </w:t>
      </w:r>
      <w:del w:id="452" w:author="Schenk, Denis Elia (ARTORG)" w:date="2021-05-31T16:03:00Z">
        <w:r>
          <w:rPr>
            <w:sz w:val="22"/>
            <w:szCs w:val="22"/>
            <w:lang w:val="en-GB"/>
          </w:rPr>
          <w:delText xml:space="preserve">the </w:delText>
        </w:r>
      </w:del>
      <w:r>
        <w:rPr>
          <w:sz w:val="22"/>
          <w:szCs w:val="22"/>
          <w:lang w:val="en-GB"/>
        </w:rPr>
        <w:t xml:space="preserve">ROIs presenting a low stiffness. </w:t>
      </w:r>
      <w:del w:id="453" w:author="Schenk, Denis Elia (ARTORG)" w:date="2021-05-31T16:03:00Z">
        <w:r>
          <w:rPr>
            <w:sz w:val="22"/>
            <w:szCs w:val="22"/>
            <w:lang w:val="en-GB"/>
          </w:rPr>
          <w:delText>It can be seen on the</w:delText>
        </w:r>
      </w:del>
      <w:ins w:id="454" w:author="Schenk, Denis Elia (ARTORG)" w:date="2021-05-31T16:04:00Z">
        <w:r>
          <w:rPr>
            <w:sz w:val="22"/>
            <w:szCs w:val="22"/>
            <w:lang w:val="en-GB"/>
          </w:rPr>
          <w:t>The</w:t>
        </w:r>
      </w:ins>
      <w:r>
        <w:rPr>
          <w:sz w:val="22"/>
          <w:szCs w:val="22"/>
          <w:lang w:val="en-GB"/>
        </w:rPr>
        <w:t xml:space="preserve"> regression plot</w:t>
      </w:r>
      <w:ins w:id="455" w:author="Schenk, Denis Elia (ARTORG)" w:date="2021-05-31T16:04:00Z">
        <w:r>
          <w:rPr>
            <w:sz w:val="22"/>
            <w:szCs w:val="22"/>
            <w:lang w:val="en-GB"/>
          </w:rPr>
          <w:t xml:space="preserve"> (figure XY) shows,</w:t>
        </w:r>
      </w:ins>
      <w:r>
        <w:rPr>
          <w:sz w:val="22"/>
          <w:szCs w:val="22"/>
          <w:lang w:val="en-GB"/>
        </w:rPr>
        <w:t xml:space="preserve"> that when the stiffness term decrease </w:t>
      </w:r>
      <w:del w:id="456" w:author="Schenk, Denis Elia (ARTORG)" w:date="2021-05-31T16:04:00Z">
        <w:r>
          <w:rPr>
            <w:sz w:val="22"/>
            <w:szCs w:val="22"/>
            <w:lang w:val="en-GB"/>
          </w:rPr>
          <w:delText xml:space="preserve">about </w:delText>
        </w:r>
      </w:del>
      <w:ins w:id="457" w:author="Schenk, Denis Elia (ARTORG)" w:date="2021-05-31T16:04:00Z">
        <w:r>
          <w:rPr>
            <w:sz w:val="22"/>
            <w:szCs w:val="22"/>
            <w:lang w:val="en-GB"/>
          </w:rPr>
          <w:t xml:space="preserve">to </w:t>
        </w:r>
      </w:ins>
      <w:r>
        <w:rPr>
          <w:sz w:val="22"/>
          <w:szCs w:val="22"/>
          <w:lang w:val="en-GB"/>
        </w:rPr>
        <w:t>10</w:t>
      </w:r>
      <w:r>
        <w:rPr>
          <w:sz w:val="22"/>
          <w:szCs w:val="22"/>
          <w:vertAlign w:val="superscript"/>
          <w:lang w:val="en-GB"/>
        </w:rPr>
        <w:t>0</w:t>
      </w:r>
      <w:r>
        <w:rPr>
          <w:sz w:val="22"/>
          <w:szCs w:val="22"/>
          <w:lang w:val="en-GB"/>
        </w:rPr>
        <w:t xml:space="preserve"> </w:t>
      </w:r>
      <w:ins w:id="458" w:author="Schenk, Denis Elia (ARTORG)" w:date="2021-05-31T16:04:00Z">
        <w:r>
          <w:rPr>
            <w:sz w:val="22"/>
            <w:szCs w:val="22"/>
            <w:lang w:val="en-GB"/>
          </w:rPr>
          <w:t xml:space="preserve">N/mm </w:t>
        </w:r>
      </w:ins>
      <w:r>
        <w:rPr>
          <w:sz w:val="22"/>
          <w:szCs w:val="22"/>
          <w:lang w:val="en-GB"/>
        </w:rPr>
        <w:t xml:space="preserve">and </w:t>
      </w:r>
      <w:del w:id="459" w:author="Schenk, Denis Elia (ARTORG)" w:date="2021-05-31T16:04:00Z">
        <w:r>
          <w:rPr>
            <w:sz w:val="22"/>
            <w:szCs w:val="22"/>
            <w:lang w:val="en-GB"/>
          </w:rPr>
          <w:delText>under</w:delText>
        </w:r>
      </w:del>
      <w:ins w:id="460" w:author="Schenk, Denis Elia (ARTORG)" w:date="2021-05-31T16:04:00Z">
        <w:r>
          <w:rPr>
            <w:sz w:val="22"/>
            <w:szCs w:val="22"/>
            <w:lang w:val="en-GB"/>
          </w:rPr>
          <w:t>lower</w:t>
        </w:r>
      </w:ins>
      <w:r>
        <w:rPr>
          <w:sz w:val="22"/>
          <w:szCs w:val="22"/>
          <w:lang w:val="en-GB"/>
        </w:rPr>
        <w:t xml:space="preserve">, the fit tends to overestimate the stiffness. This is </w:t>
      </w:r>
      <w:del w:id="461" w:author="Schenk, Denis Elia (ARTORG)" w:date="2021-05-31T16:04:00Z">
        <w:r>
          <w:rPr>
            <w:sz w:val="22"/>
            <w:szCs w:val="22"/>
            <w:lang w:val="en-GB"/>
          </w:rPr>
          <w:delText>due to the fact that</w:delText>
        </w:r>
      </w:del>
      <w:ins w:id="462" w:author="Schenk, Denis Elia (ARTORG)" w:date="2021-05-31T16:04:00Z">
        <w:r>
          <w:rPr>
            <w:sz w:val="22"/>
            <w:szCs w:val="22"/>
            <w:lang w:val="en-GB"/>
          </w:rPr>
          <w:t>because</w:t>
        </w:r>
      </w:ins>
      <w:r>
        <w:rPr>
          <w:sz w:val="22"/>
          <w:szCs w:val="22"/>
          <w:lang w:val="en-GB"/>
        </w:rPr>
        <w:t xml:space="preserve"> ROI stiffness is highly </w:t>
      </w:r>
      <w:del w:id="463" w:author="Schenk, Denis Elia (ARTORG)" w:date="2021-05-31T16:04:00Z">
        <w:r>
          <w:rPr>
            <w:sz w:val="22"/>
            <w:szCs w:val="22"/>
            <w:lang w:val="en-GB"/>
          </w:rPr>
          <w:delText xml:space="preserve">impacted </w:delText>
        </w:r>
      </w:del>
      <w:ins w:id="464" w:author="Schenk, Denis Elia (ARTORG)" w:date="2021-05-31T16:04:00Z">
        <w:r>
          <w:rPr>
            <w:sz w:val="22"/>
            <w:szCs w:val="22"/>
            <w:lang w:val="en-GB"/>
          </w:rPr>
          <w:t xml:space="preserve">dependent </w:t>
        </w:r>
      </w:ins>
      <w:del w:id="465" w:author="Schenk, Denis Elia (ARTORG)" w:date="2021-05-31T16:05:00Z">
        <w:r>
          <w:rPr>
            <w:sz w:val="22"/>
            <w:szCs w:val="22"/>
            <w:lang w:val="en-GB"/>
          </w:rPr>
          <w:delText xml:space="preserve">by </w:delText>
        </w:r>
      </w:del>
      <w:ins w:id="466" w:author="Schenk, Denis Elia (ARTORG)" w:date="2021-05-31T16:05:00Z">
        <w:r>
          <w:rPr>
            <w:sz w:val="22"/>
            <w:szCs w:val="22"/>
            <w:lang w:val="en-GB"/>
          </w:rPr>
          <w:t xml:space="preserve">on </w:t>
        </w:r>
      </w:ins>
      <w:r>
        <w:rPr>
          <w:sz w:val="22"/>
          <w:szCs w:val="22"/>
          <w:lang w:val="en-GB"/>
        </w:rPr>
        <w:t>BV/TV</w:t>
      </w:r>
      <w:ins w:id="467" w:author="Schenk, Denis Elia (ARTORG)" w:date="2021-05-31T16:05:00Z">
        <w:r>
          <w:rPr>
            <w:sz w:val="22"/>
            <w:szCs w:val="22"/>
            <w:lang w:val="en-GB"/>
          </w:rPr>
          <w:t xml:space="preserve"> values</w:t>
        </w:r>
      </w:ins>
      <w:r>
        <w:rPr>
          <w:sz w:val="22"/>
          <w:szCs w:val="22"/>
          <w:lang w:val="en-GB"/>
        </w:rPr>
        <w:t xml:space="preserve">. Some </w:t>
      </w:r>
      <w:ins w:id="468" w:author="Schenk, Denis Elia (ARTORG)" w:date="2021-05-31T16:05:00Z">
        <w:r>
          <w:rPr>
            <w:sz w:val="22"/>
            <w:szCs w:val="22"/>
            <w:lang w:val="en-GB"/>
          </w:rPr>
          <w:t xml:space="preserve">ROIs with </w:t>
        </w:r>
      </w:ins>
      <w:r>
        <w:rPr>
          <w:sz w:val="22"/>
          <w:szCs w:val="22"/>
          <w:lang w:val="en-GB"/>
        </w:rPr>
        <w:t xml:space="preserve">low BV/TV </w:t>
      </w:r>
      <w:del w:id="469" w:author="Schenk, Denis Elia (ARTORG)" w:date="2021-05-31T16:05:00Z">
        <w:r>
          <w:rPr>
            <w:sz w:val="22"/>
            <w:szCs w:val="22"/>
            <w:lang w:val="en-GB"/>
          </w:rPr>
          <w:delText xml:space="preserve">ROIs </w:delText>
        </w:r>
      </w:del>
      <w:r>
        <w:rPr>
          <w:sz w:val="22"/>
          <w:szCs w:val="22"/>
          <w:lang w:val="en-GB"/>
        </w:rPr>
        <w:t>do</w:t>
      </w:r>
      <w:del w:id="470" w:author="Schenk, Denis Elia (ARTORG)" w:date="2021-05-31T16:05:00Z">
        <w:r>
          <w:rPr>
            <w:sz w:val="22"/>
            <w:szCs w:val="22"/>
            <w:lang w:val="en-GB"/>
          </w:rPr>
          <w:delText xml:space="preserve"> not</w:delText>
        </w:r>
      </w:del>
      <w:ins w:id="471" w:author="Schenk, Denis Elia (ARTORG)" w:date="2021-05-31T16:05:00Z">
        <w:r>
          <w:rPr>
            <w:sz w:val="22"/>
            <w:szCs w:val="22"/>
            <w:lang w:val="en-GB"/>
          </w:rPr>
          <w:t>n’t</w:t>
        </w:r>
      </w:ins>
      <w:r>
        <w:rPr>
          <w:sz w:val="22"/>
          <w:szCs w:val="22"/>
          <w:lang w:val="en-GB"/>
        </w:rPr>
        <w:t xml:space="preserve"> have every side of the cube connected by bone</w:t>
      </w:r>
      <w:ins w:id="472" w:author="Schenk, Denis Elia (ARTORG)" w:date="2021-05-31T16:05:00Z">
        <w:r>
          <w:rPr>
            <w:sz w:val="22"/>
            <w:szCs w:val="22"/>
            <w:lang w:val="en-GB"/>
          </w:rPr>
          <w:t>,</w:t>
        </w:r>
      </w:ins>
      <w:r>
        <w:rPr>
          <w:sz w:val="22"/>
          <w:szCs w:val="22"/>
          <w:lang w:val="en-GB"/>
        </w:rPr>
        <w:t xml:space="preserve"> leading to extremely low terms in the stiffness tensor, see Appendix A2. Trying to homogenize such ROI</w:t>
      </w:r>
      <w:ins w:id="473" w:author="Schenk, Denis Elia (ARTORG)" w:date="2021-05-31T16:06:00Z">
        <w:r>
          <w:rPr>
            <w:sz w:val="22"/>
            <w:szCs w:val="22"/>
            <w:lang w:val="en-GB"/>
          </w:rPr>
          <w:t>s</w:t>
        </w:r>
      </w:ins>
      <w:r>
        <w:rPr>
          <w:sz w:val="22"/>
          <w:szCs w:val="22"/>
          <w:lang w:val="en-GB"/>
        </w:rPr>
        <w:t xml:space="preserve"> can lead to error</w:t>
      </w:r>
      <w:ins w:id="474" w:author="Schenk, Denis Elia (ARTORG)" w:date="2021-05-31T16:06:00Z">
        <w:r>
          <w:rPr>
            <w:sz w:val="22"/>
            <w:szCs w:val="22"/>
            <w:lang w:val="en-GB"/>
          </w:rPr>
          <w:t>s</w:t>
        </w:r>
      </w:ins>
      <w:r>
        <w:rPr>
          <w:sz w:val="22"/>
          <w:szCs w:val="22"/>
          <w:lang w:val="en-GB"/>
        </w:rPr>
        <w:t xml:space="preserve"> of multiple order of magnitude</w:t>
      </w:r>
      <w:ins w:id="475" w:author="Schenk, Denis Elia (ARTORG)" w:date="2021-05-31T16:06:00Z">
        <w:r>
          <w:rPr>
            <w:sz w:val="22"/>
            <w:szCs w:val="22"/>
            <w:lang w:val="en-GB"/>
          </w:rPr>
          <w:t>s</w:t>
        </w:r>
      </w:ins>
      <w:r>
        <w:rPr>
          <w:sz w:val="22"/>
          <w:szCs w:val="22"/>
          <w:lang w:val="en-GB"/>
        </w:rPr>
        <w:t xml:space="preserve">, as observed on the </w:t>
      </w:r>
      <w:commentRangeStart w:id="65"/>
      <w:r>
        <w:rPr>
          <w:sz w:val="22"/>
          <w:szCs w:val="22"/>
          <w:lang w:val="en-GB"/>
        </w:rPr>
        <w:t>plot</w:t>
      </w:r>
      <w:r>
        <w:rPr>
          <w:sz w:val="22"/>
          <w:szCs w:val="22"/>
          <w:lang w:val="en-GB"/>
        </w:rPr>
      </w:r>
      <w:commentRangeEnd w:id="65"/>
      <w:r>
        <w:commentReference w:id="65"/>
      </w:r>
      <w:r>
        <w:rPr>
          <w:sz w:val="22"/>
          <w:szCs w:val="22"/>
          <w:lang w:val="en-GB"/>
        </w:rPr>
        <w:t xml:space="preserve">. Therefore, a filtering is indispensable to assess and compare fabric-elasticity relationships, as done by [Panyasantisuk 2015]. An alternative </w:t>
      </w:r>
      <w:del w:id="476" w:author="Schenk, Denis Elia (ARTORG)" w:date="2021-05-31T16:07:00Z">
        <w:r>
          <w:rPr>
            <w:sz w:val="22"/>
            <w:szCs w:val="22"/>
            <w:lang w:val="en-GB"/>
          </w:rPr>
          <w:delText xml:space="preserve">of </w:delText>
        </w:r>
      </w:del>
      <w:ins w:id="477" w:author="Schenk, Denis Elia (ARTORG)" w:date="2021-05-31T16:07:00Z">
        <w:r>
          <w:rPr>
            <w:sz w:val="22"/>
            <w:szCs w:val="22"/>
            <w:lang w:val="en-GB"/>
          </w:rPr>
          <w:t xml:space="preserve">to </w:t>
        </w:r>
      </w:ins>
      <w:r>
        <w:rPr>
          <w:sz w:val="22"/>
          <w:szCs w:val="22"/>
          <w:lang w:val="en-GB"/>
        </w:rPr>
        <w:t xml:space="preserve">CV filtering </w:t>
      </w:r>
      <w:ins w:id="478" w:author="Schenk, Denis Elia (ARTORG)" w:date="2021-05-31T16:08:00Z">
        <w:r>
          <w:rPr>
            <w:sz w:val="22"/>
            <w:szCs w:val="22"/>
            <w:lang w:val="en-GB"/>
          </w:rPr>
          <w:t xml:space="preserve">for assessing the ROI heterogeneity </w:t>
        </w:r>
      </w:ins>
      <w:r>
        <w:rPr>
          <w:sz w:val="22"/>
          <w:szCs w:val="22"/>
          <w:lang w:val="en-GB"/>
        </w:rPr>
        <w:t xml:space="preserve">could be to compute the </w:t>
      </w:r>
      <w:ins w:id="479" w:author="Schenk, Denis Elia (ARTORG)" w:date="2021-05-31T16:07:00Z">
        <w:r>
          <w:rPr>
            <w:sz w:val="22"/>
            <w:szCs w:val="22"/>
            <w:lang w:val="en-GB"/>
          </w:rPr>
          <w:t xml:space="preserve">proportion of the </w:t>
        </w:r>
      </w:ins>
      <w:r>
        <w:rPr>
          <w:sz w:val="22"/>
          <w:szCs w:val="22"/>
          <w:lang w:val="en-GB"/>
        </w:rPr>
        <w:t xml:space="preserve">area </w:t>
      </w:r>
      <w:del w:id="480" w:author="Schenk, Denis Elia (ARTORG)" w:date="2021-05-31T16:07:00Z">
        <w:r>
          <w:rPr>
            <w:sz w:val="22"/>
            <w:szCs w:val="22"/>
            <w:lang w:val="en-GB"/>
          </w:rPr>
          <w:delText xml:space="preserve">ratio </w:delText>
        </w:r>
      </w:del>
      <w:r>
        <w:rPr>
          <w:sz w:val="22"/>
          <w:szCs w:val="22"/>
          <w:lang w:val="en-GB"/>
        </w:rPr>
        <w:t>filled by bone on each of the six faces of the ROI</w:t>
      </w:r>
      <w:del w:id="481" w:author="Schenk, Denis Elia (ARTORG)" w:date="2021-05-31T16:08:00Z">
        <w:r>
          <w:rPr>
            <w:sz w:val="22"/>
            <w:szCs w:val="22"/>
            <w:lang w:val="en-GB"/>
          </w:rPr>
          <w:delText xml:space="preserve"> to assess the ROI heterogeneity</w:delText>
        </w:r>
      </w:del>
      <w:r>
        <w:rPr>
          <w:sz w:val="22"/>
          <w:szCs w:val="22"/>
          <w:lang w:val="en-GB"/>
        </w:rPr>
        <w:t>.</w:t>
      </w:r>
    </w:p>
    <w:p>
      <w:pPr>
        <w:pStyle w:val="Normal"/>
        <w:tabs>
          <w:tab w:val="clear" w:pos="708"/>
          <w:tab w:val="left" w:pos="492" w:leader="none"/>
          <w:tab w:val="left" w:pos="2760" w:leader="none"/>
        </w:tabs>
        <w:jc w:val="both"/>
        <w:rPr>
          <w:sz w:val="22"/>
          <w:szCs w:val="22"/>
          <w:lang w:val="en-US"/>
        </w:rPr>
      </w:pPr>
      <w:r>
        <w:rPr>
          <w:sz w:val="22"/>
          <w:szCs w:val="22"/>
          <w:lang w:val="en-US"/>
        </w:rPr>
      </w:r>
    </w:p>
    <w:p>
      <w:pPr>
        <w:pStyle w:val="Normal"/>
        <w:tabs>
          <w:tab w:val="clear" w:pos="708"/>
          <w:tab w:val="left" w:pos="492" w:leader="none"/>
          <w:tab w:val="left" w:pos="2760" w:leader="none"/>
        </w:tabs>
        <w:jc w:val="both"/>
        <w:rPr>
          <w:sz w:val="22"/>
          <w:szCs w:val="22"/>
          <w:lang w:val="en-US"/>
        </w:rPr>
      </w:pPr>
      <w:r>
        <w:rPr>
          <w:sz w:val="22"/>
          <w:szCs w:val="22"/>
          <w:lang w:val="en-GB"/>
        </w:rPr>
        <w:t xml:space="preserve">Figure 4 </w:t>
      </w:r>
      <w:del w:id="482" w:author="Schenk, Denis Elia (ARTORG)" w:date="2021-05-31T16:08:00Z">
        <w:r>
          <w:rPr>
            <w:sz w:val="22"/>
            <w:szCs w:val="22"/>
            <w:lang w:val="en-GB"/>
          </w:rPr>
          <w:delText xml:space="preserve">presenting </w:delText>
        </w:r>
      </w:del>
      <w:ins w:id="483" w:author="Schenk, Denis Elia (ARTORG)" w:date="2021-05-31T16:08:00Z">
        <w:r>
          <w:rPr>
            <w:sz w:val="22"/>
            <w:szCs w:val="22"/>
            <w:lang w:val="en-GB"/>
          </w:rPr>
          <w:t xml:space="preserve">presents </w:t>
        </w:r>
      </w:ins>
      <w:r>
        <w:rPr>
          <w:sz w:val="22"/>
          <w:szCs w:val="22"/>
          <w:lang w:val="en-GB"/>
        </w:rPr>
        <w:t>the CV in relation to BV/TV</w:t>
      </w:r>
      <w:ins w:id="484" w:author="Schenk, Denis Elia (ARTORG)" w:date="2021-05-31T16:08:00Z">
        <w:r>
          <w:rPr>
            <w:sz w:val="22"/>
            <w:szCs w:val="22"/>
            <w:lang w:val="en-GB"/>
          </w:rPr>
          <w:t>. It</w:t>
        </w:r>
      </w:ins>
      <w:r>
        <w:rPr>
          <w:sz w:val="22"/>
          <w:szCs w:val="22"/>
          <w:lang w:val="en-GB"/>
        </w:rPr>
        <w:t xml:space="preserve"> shows </w:t>
      </w:r>
      <w:del w:id="485" w:author="Schenk, Denis Elia (ARTORG)" w:date="2021-05-31T16:08:00Z">
        <w:r>
          <w:rPr>
            <w:sz w:val="22"/>
            <w:szCs w:val="22"/>
            <w:lang w:val="en-GB"/>
          </w:rPr>
          <w:delText xml:space="preserve">that there is </w:delText>
        </w:r>
      </w:del>
      <w:r>
        <w:rPr>
          <w:sz w:val="22"/>
          <w:szCs w:val="22"/>
          <w:lang w:val="en-GB"/>
        </w:rPr>
        <w:t xml:space="preserve">a tendency of CV </w:t>
      </w:r>
      <w:ins w:id="486" w:author="Schenk, Denis Elia (ARTORG)" w:date="2021-05-31T16:08:00Z">
        <w:r>
          <w:rPr>
            <w:sz w:val="22"/>
            <w:szCs w:val="22"/>
            <w:lang w:val="en-GB"/>
          </w:rPr>
          <w:t xml:space="preserve">values </w:t>
        </w:r>
      </w:ins>
      <w:r>
        <w:rPr>
          <w:sz w:val="22"/>
          <w:szCs w:val="22"/>
          <w:lang w:val="en-GB"/>
        </w:rPr>
        <w:t>to increase with</w:t>
      </w:r>
      <w:del w:id="487" w:author="Schenk, Denis Elia (ARTORG)" w:date="2021-05-31T16:09:00Z">
        <w:r>
          <w:rPr>
            <w:sz w:val="22"/>
            <w:szCs w:val="22"/>
            <w:lang w:val="en-GB"/>
          </w:rPr>
          <w:delText xml:space="preserve"> a</w:delText>
        </w:r>
      </w:del>
      <w:r>
        <w:rPr>
          <w:sz w:val="22"/>
          <w:szCs w:val="22"/>
          <w:lang w:val="en-GB"/>
        </w:rPr>
        <w:t xml:space="preserve"> decreasing BV/TV</w:t>
      </w:r>
      <w:ins w:id="488" w:author="Schenk, Denis Elia (ARTORG)" w:date="2021-05-31T16:09:00Z">
        <w:r>
          <w:rPr>
            <w:sz w:val="22"/>
            <w:szCs w:val="22"/>
            <w:lang w:val="en-GB"/>
          </w:rPr>
          <w:t xml:space="preserve"> values</w:t>
        </w:r>
      </w:ins>
      <w:r>
        <w:rPr>
          <w:sz w:val="22"/>
          <w:szCs w:val="22"/>
          <w:lang w:val="en-GB"/>
        </w:rPr>
        <w:t>. Effectively, if the quantity of material inside the ROI decreases, the distribution homogeneity of this mass is more sensitive and therefore can quickly become</w:t>
      </w:r>
      <w:del w:id="489" w:author="Schenk, Denis Elia (ARTORG)" w:date="2021-05-31T16:09:00Z">
        <w:r>
          <w:rPr>
            <w:sz w:val="22"/>
            <w:szCs w:val="22"/>
            <w:lang w:val="en-GB"/>
          </w:rPr>
          <w:delText>s</w:delText>
        </w:r>
      </w:del>
      <w:r>
        <w:rPr>
          <w:sz w:val="22"/>
          <w:szCs w:val="22"/>
          <w:lang w:val="en-GB"/>
        </w:rPr>
        <w:t xml:space="preserve"> highly heterogeneous. A simple assumption about this relation is that it could be monotonic. Pearson's correlation coefficient being strictly negative confirms a negative monotonic relation. As some </w:t>
      </w:r>
      <w:ins w:id="490" w:author="Schenk, Denis Elia (ARTORG)" w:date="2021-05-31T16:09:00Z">
        <w:r>
          <w:rPr>
            <w:sz w:val="22"/>
            <w:szCs w:val="22"/>
            <w:lang w:val="en-GB"/>
          </w:rPr>
          <w:t xml:space="preserve">ROIs with </w:t>
        </w:r>
      </w:ins>
      <w:r>
        <w:rPr>
          <w:sz w:val="22"/>
          <w:szCs w:val="22"/>
          <w:lang w:val="en-GB"/>
        </w:rPr>
        <w:t>higher BV/TV</w:t>
      </w:r>
      <w:del w:id="491" w:author="Schenk, Denis Elia (ARTORG)" w:date="2021-05-31T16:10:00Z">
        <w:r>
          <w:rPr>
            <w:sz w:val="22"/>
            <w:szCs w:val="22"/>
            <w:lang w:val="en-GB"/>
          </w:rPr>
          <w:delText xml:space="preserve"> ROIs</w:delText>
        </w:r>
      </w:del>
      <w:r>
        <w:rPr>
          <w:sz w:val="22"/>
          <w:szCs w:val="22"/>
          <w:lang w:val="en-GB"/>
        </w:rPr>
        <w:t xml:space="preserve"> still present high CV</w:t>
      </w:r>
      <w:ins w:id="492" w:author="Schenk, Denis Elia (ARTORG)" w:date="2021-05-31T16:10:00Z">
        <w:r>
          <w:rPr>
            <w:sz w:val="22"/>
            <w:szCs w:val="22"/>
            <w:lang w:val="en-GB"/>
          </w:rPr>
          <w:t xml:space="preserve"> values</w:t>
        </w:r>
      </w:ins>
      <w:r>
        <w:rPr>
          <w:sz w:val="22"/>
          <w:szCs w:val="22"/>
          <w:lang w:val="en-GB"/>
        </w:rPr>
        <w:t xml:space="preserve">, imposing a fixed threshold </w:t>
      </w:r>
      <w:del w:id="493" w:author="Schenk, Denis Elia (ARTORG)" w:date="2021-05-31T16:10:00Z">
        <w:r>
          <w:rPr>
            <w:sz w:val="22"/>
            <w:szCs w:val="22"/>
            <w:lang w:val="en-GB"/>
          </w:rPr>
          <w:delText xml:space="preserve">make sense </w:delText>
        </w:r>
      </w:del>
      <w:r>
        <w:rPr>
          <w:sz w:val="22"/>
          <w:szCs w:val="22"/>
          <w:lang w:val="en-GB"/>
        </w:rPr>
        <w:t>for subsequent homogenization</w:t>
      </w:r>
      <w:ins w:id="494" w:author="Schenk, Denis Elia (ARTORG)" w:date="2021-05-31T16:10:00Z">
        <w:r>
          <w:rPr>
            <w:sz w:val="22"/>
            <w:szCs w:val="22"/>
            <w:lang w:val="en-GB"/>
          </w:rPr>
          <w:t xml:space="preserve"> seems feasable</w:t>
        </w:r>
      </w:ins>
      <w:r>
        <w:rPr>
          <w:sz w:val="22"/>
          <w:szCs w:val="22"/>
          <w:lang w:val="en-GB"/>
        </w:rPr>
        <w:t>.</w:t>
      </w:r>
    </w:p>
    <w:p>
      <w:pPr>
        <w:pStyle w:val="Normal"/>
        <w:tabs>
          <w:tab w:val="clear" w:pos="708"/>
          <w:tab w:val="left" w:pos="492" w:leader="none"/>
          <w:tab w:val="left" w:pos="2760" w:leader="none"/>
        </w:tabs>
        <w:jc w:val="both"/>
        <w:rPr>
          <w:sz w:val="22"/>
          <w:szCs w:val="22"/>
          <w:lang w:val="en-US"/>
        </w:rPr>
      </w:pPr>
      <w:r>
        <w:rPr>
          <w:sz w:val="22"/>
          <w:szCs w:val="22"/>
          <w:lang w:val="en-US"/>
        </w:rPr>
      </w:r>
    </w:p>
    <w:p>
      <w:pPr>
        <w:pStyle w:val="Normal"/>
        <w:tabs>
          <w:tab w:val="clear" w:pos="708"/>
          <w:tab w:val="left" w:pos="492" w:leader="none"/>
          <w:tab w:val="left" w:pos="2760" w:leader="none"/>
        </w:tabs>
        <w:jc w:val="both"/>
        <w:rPr>
          <w:sz w:val="22"/>
          <w:szCs w:val="22"/>
          <w:lang w:val="en-US"/>
        </w:rPr>
      </w:pPr>
      <w:r>
        <w:rPr>
          <w:sz w:val="22"/>
          <w:szCs w:val="22"/>
          <w:lang w:val="en-GB"/>
        </w:rPr>
        <w:t xml:space="preserve">The </w:t>
      </w:r>
      <w:commentRangeStart w:id="66"/>
      <w:r>
        <w:rPr>
          <w:sz w:val="22"/>
          <w:szCs w:val="22"/>
          <w:lang w:val="en-GB"/>
        </w:rPr>
        <w:t xml:space="preserve">fits </w:t>
      </w:r>
      <w:r>
        <w:rPr>
          <w:sz w:val="22"/>
          <w:szCs w:val="22"/>
          <w:lang w:val="en-GB"/>
        </w:rPr>
      </w:r>
      <w:commentRangeEnd w:id="66"/>
      <w:r>
        <w:commentReference w:id="66"/>
      </w:r>
      <w:r>
        <w:rPr>
          <w:sz w:val="22"/>
          <w:szCs w:val="22"/>
          <w:lang w:val="en-GB"/>
        </w:rPr>
        <w:t xml:space="preserve">performed on filtered data sets </w:t>
      </w:r>
      <w:commentRangeStart w:id="67"/>
      <w:r>
        <w:rPr>
          <w:sz w:val="22"/>
          <w:szCs w:val="22"/>
          <w:lang w:val="en-GB"/>
        </w:rPr>
        <w:t>present direct effect of filtering</w:t>
      </w:r>
      <w:r>
        <w:rPr>
          <w:sz w:val="22"/>
          <w:szCs w:val="22"/>
          <w:lang w:val="en-GB"/>
        </w:rPr>
      </w:r>
      <w:commentRangeEnd w:id="67"/>
      <w:r>
        <w:commentReference w:id="67"/>
      </w:r>
      <w:r>
        <w:rPr>
          <w:sz w:val="22"/>
          <w:szCs w:val="22"/>
          <w:lang w:val="en-GB"/>
        </w:rPr>
        <w:t xml:space="preserve">. For the healthy group (N=603), the relatively </w:t>
      </w:r>
      <w:commentRangeStart w:id="68"/>
      <w:r>
        <w:rPr>
          <w:sz w:val="22"/>
          <w:szCs w:val="22"/>
          <w:lang w:val="en-GB"/>
        </w:rPr>
        <w:t xml:space="preserve">small decrease </w:t>
      </w:r>
      <w:r>
        <w:rPr>
          <w:sz w:val="22"/>
          <w:szCs w:val="22"/>
          <w:lang w:val="en-GB"/>
        </w:rPr>
      </w:r>
      <w:commentRangeEnd w:id="68"/>
      <w:r>
        <w:commentReference w:id="68"/>
      </w:r>
      <w:r>
        <w:rPr>
          <w:sz w:val="22"/>
          <w:szCs w:val="22"/>
          <w:lang w:val="en-GB"/>
        </w:rPr>
        <w:t xml:space="preserve">of </w:t>
      </w:r>
      <w:r>
        <w:rPr>
          <w:i/>
          <w:sz w:val="22"/>
          <w:szCs w:val="22"/>
          <w:lang w:val="en-GB"/>
        </w:rPr>
        <w:t>R</w:t>
      </w:r>
      <w:r>
        <w:rPr>
          <w:sz w:val="22"/>
          <w:szCs w:val="22"/>
          <w:vertAlign w:val="superscript"/>
          <w:lang w:val="en-GB"/>
        </w:rPr>
        <w:t>2</w:t>
      </w:r>
      <w:r>
        <w:rPr>
          <w:sz w:val="22"/>
          <w:szCs w:val="22"/>
          <w:vertAlign w:val="subscript"/>
          <w:lang w:val="en-GB"/>
        </w:rPr>
        <w:t>adj</w:t>
      </w:r>
      <w:r>
        <w:rPr>
          <w:sz w:val="22"/>
          <w:szCs w:val="22"/>
          <w:lang w:val="en-GB"/>
        </w:rPr>
        <w:t xml:space="preserve"> (5</w:t>
      </w:r>
      <w:r>
        <w:rPr>
          <w:rFonts w:cs="Latin Modern Mono" w:ascii="Latin Modern Mono" w:hAnsi="Latin Modern Mono"/>
          <w:sz w:val="22"/>
          <w:szCs w:val="22"/>
          <w:lang w:val="en-GB"/>
        </w:rPr>
        <w:t>‰</w:t>
      </w:r>
      <w:r>
        <w:rPr>
          <w:sz w:val="22"/>
          <w:szCs w:val="22"/>
          <w:lang w:val="en-GB"/>
        </w:rPr>
        <w:t xml:space="preserve">) is negligible. On the other hand, </w:t>
      </w:r>
      <w:r>
        <w:rPr>
          <w:i/>
          <w:sz w:val="22"/>
          <w:szCs w:val="22"/>
          <w:lang w:val="en-GB"/>
        </w:rPr>
        <w:t>NE</w:t>
      </w:r>
      <w:r>
        <w:rPr>
          <w:sz w:val="22"/>
          <w:szCs w:val="22"/>
          <w:lang w:val="en-GB"/>
        </w:rPr>
        <w:t xml:space="preserve"> </w:t>
      </w:r>
      <w:del w:id="495" w:author="Schenk, Denis Elia (ARTORG)" w:date="2021-05-31T16:13:00Z">
        <w:r>
          <w:rPr>
            <w:sz w:val="22"/>
            <w:szCs w:val="22"/>
            <w:lang w:val="en-GB"/>
          </w:rPr>
          <w:delText>presents an improved value</w:delText>
        </w:r>
      </w:del>
      <w:ins w:id="496" w:author="Schenk, Denis Elia (ARTORG)" w:date="2021-05-31T16:13:00Z">
        <w:r>
          <w:rPr>
            <w:sz w:val="22"/>
            <w:szCs w:val="22"/>
            <w:lang w:val="en-GB"/>
          </w:rPr>
          <w:t>values are</w:t>
        </w:r>
      </w:ins>
      <w:r>
        <w:rPr>
          <w:sz w:val="22"/>
          <w:szCs w:val="22"/>
          <w:lang w:val="en-GB"/>
        </w:rPr>
        <w:t xml:space="preserve"> </w:t>
      </w:r>
      <w:del w:id="497" w:author="Schenk, Denis Elia (ARTORG)" w:date="2021-05-31T16:13:00Z">
        <w:r>
          <w:rPr>
            <w:sz w:val="22"/>
            <w:szCs w:val="22"/>
            <w:lang w:val="en-GB"/>
          </w:rPr>
          <w:delText xml:space="preserve">decreasing </w:delText>
        </w:r>
      </w:del>
      <w:ins w:id="498" w:author="Schenk, Denis Elia (ARTORG)" w:date="2021-05-31T16:13:00Z">
        <w:r>
          <w:rPr>
            <w:sz w:val="22"/>
            <w:szCs w:val="22"/>
            <w:lang w:val="en-GB"/>
          </w:rPr>
          <w:t xml:space="preserve">decreased </w:t>
        </w:r>
      </w:ins>
      <w:r>
        <w:rPr>
          <w:sz w:val="22"/>
          <w:szCs w:val="22"/>
          <w:lang w:val="en-GB"/>
        </w:rPr>
        <w:t>by 2%</w:t>
      </w:r>
      <w:ins w:id="499" w:author="Schenk, Denis Elia (ARTORG)" w:date="2021-05-31T16:13:00Z">
        <w:r>
          <w:rPr>
            <w:sz w:val="22"/>
            <w:szCs w:val="22"/>
            <w:lang w:val="en-GB"/>
          </w:rPr>
          <w:t xml:space="preserve"> and therefore improved</w:t>
        </w:r>
      </w:ins>
      <w:r>
        <w:rPr>
          <w:sz w:val="22"/>
          <w:szCs w:val="22"/>
          <w:lang w:val="en-GB"/>
        </w:rPr>
        <w:t xml:space="preserve">. </w:t>
      </w:r>
      <w:commentRangeStart w:id="69"/>
      <w:r>
        <w:rPr>
          <w:sz w:val="22"/>
          <w:szCs w:val="22"/>
          <w:lang w:val="en-GB"/>
        </w:rPr>
        <w:t xml:space="preserve">These results are due to the filtering of </w:t>
      </w:r>
      <w:ins w:id="500" w:author="Schenk, Denis Elia (ARTORG)" w:date="2021-05-31T16:13:00Z">
        <w:r>
          <w:rPr>
            <w:sz w:val="22"/>
            <w:szCs w:val="22"/>
            <w:lang w:val="en-GB"/>
          </w:rPr>
          <w:t xml:space="preserve">data </w:t>
        </w:r>
      </w:ins>
      <w:r>
        <w:rPr>
          <w:sz w:val="22"/>
          <w:szCs w:val="22"/>
          <w:lang w:val="en-GB"/>
        </w:rPr>
        <w:t xml:space="preserve">point further away from the diagonal (better </w:t>
      </w:r>
      <w:r>
        <w:rPr>
          <w:i/>
          <w:sz w:val="22"/>
          <w:szCs w:val="22"/>
          <w:lang w:val="en-GB"/>
        </w:rPr>
        <w:t>NE</w:t>
      </w:r>
      <w:r>
        <w:rPr>
          <w:sz w:val="22"/>
          <w:szCs w:val="22"/>
          <w:lang w:val="en-GB"/>
        </w:rPr>
        <w:t>) and some points close to the diagonal</w:t>
      </w:r>
      <w:r>
        <w:rPr>
          <w:sz w:val="22"/>
          <w:szCs w:val="22"/>
          <w:lang w:val="en-GB"/>
        </w:rPr>
      </w:r>
      <w:ins w:id="501" w:author="Schenk, Denis Elia (ARTORG)" w:date="2021-05-31T16:14:00Z">
        <w:commentRangeEnd w:id="69"/>
        <w:r>
          <w:commentReference w:id="69"/>
        </w:r>
        <w:r>
          <w:rPr>
            <w:sz w:val="22"/>
            <w:szCs w:val="22"/>
            <w:lang w:val="en-GB"/>
          </w:rPr>
          <w:t>,</w:t>
        </w:r>
      </w:ins>
      <w:r>
        <w:rPr>
          <w:sz w:val="22"/>
          <w:szCs w:val="22"/>
          <w:lang w:val="en-GB"/>
        </w:rPr>
        <w:t xml:space="preserve"> leading to a smaller number of points (</w:t>
      </w:r>
      <w:commentRangeStart w:id="70"/>
      <w:r>
        <w:rPr>
          <w:i/>
          <w:sz w:val="22"/>
          <w:szCs w:val="22"/>
          <w:lang w:val="en-GB"/>
        </w:rPr>
        <w:t>R</w:t>
      </w:r>
      <w:r>
        <w:rPr>
          <w:sz w:val="22"/>
          <w:szCs w:val="22"/>
          <w:vertAlign w:val="superscript"/>
          <w:lang w:val="en-GB"/>
        </w:rPr>
        <w:t>2</w:t>
      </w:r>
      <w:r>
        <w:rPr>
          <w:sz w:val="22"/>
          <w:szCs w:val="22"/>
          <w:vertAlign w:val="subscript"/>
          <w:lang w:val="en-GB"/>
        </w:rPr>
        <w:t>adj</w:t>
      </w:r>
      <w:r>
        <w:rPr>
          <w:sz w:val="22"/>
          <w:szCs w:val="22"/>
          <w:vertAlign w:val="subscript"/>
          <w:lang w:val="en-GB"/>
        </w:rPr>
      </w:r>
      <w:commentRangeEnd w:id="70"/>
      <w:r>
        <w:commentReference w:id="70"/>
      </w:r>
      <w:r>
        <w:rPr>
          <w:sz w:val="22"/>
          <w:szCs w:val="22"/>
          <w:lang w:val="en-GB"/>
        </w:rPr>
        <w:t>). For the OI group, filtering leads to a</w:t>
      </w:r>
      <w:ins w:id="502" w:author="Schenk, Denis Elia (ARTORG)" w:date="2021-05-31T16:16:00Z">
        <w:r>
          <w:rPr>
            <w:sz w:val="22"/>
            <w:szCs w:val="22"/>
            <w:lang w:val="en-GB"/>
          </w:rPr>
          <w:t>n</w:t>
        </w:r>
      </w:ins>
      <w:r>
        <w:rPr>
          <w:sz w:val="22"/>
          <w:szCs w:val="22"/>
          <w:lang w:val="en-GB"/>
        </w:rPr>
        <w:t xml:space="preserve"> important improvement of the </w:t>
      </w:r>
      <w:commentRangeStart w:id="71"/>
      <w:r>
        <w:rPr>
          <w:sz w:val="22"/>
          <w:szCs w:val="22"/>
          <w:lang w:val="en-GB"/>
        </w:rPr>
        <w:t>fit</w:t>
      </w:r>
      <w:r>
        <w:rPr>
          <w:sz w:val="22"/>
          <w:szCs w:val="22"/>
          <w:lang w:val="en-GB"/>
        </w:rPr>
      </w:r>
      <w:commentRangeEnd w:id="71"/>
      <w:r>
        <w:commentReference w:id="71"/>
      </w:r>
      <w:r>
        <w:rPr>
          <w:sz w:val="22"/>
          <w:szCs w:val="22"/>
          <w:lang w:val="en-GB"/>
        </w:rPr>
        <w:t xml:space="preserve">. </w:t>
      </w:r>
      <w:del w:id="503" w:author="Schenk, Denis Elia (ARTORG)" w:date="2021-05-31T16:17:00Z">
        <w:r>
          <w:rPr>
            <w:sz w:val="22"/>
            <w:szCs w:val="22"/>
            <w:lang w:val="en-GB"/>
          </w:rPr>
          <w:delText xml:space="preserve">Results become similar to the healthy group in terms of </w:delText>
        </w:r>
      </w:del>
      <w:r>
        <w:rPr>
          <w:i/>
          <w:sz w:val="22"/>
          <w:szCs w:val="22"/>
          <w:lang w:val="en-GB"/>
        </w:rPr>
        <w:t>R</w:t>
      </w:r>
      <w:r>
        <w:rPr>
          <w:sz w:val="22"/>
          <w:szCs w:val="22"/>
          <w:vertAlign w:val="superscript"/>
          <w:lang w:val="en-GB"/>
        </w:rPr>
        <w:t>2</w:t>
      </w:r>
      <w:r>
        <w:rPr>
          <w:sz w:val="22"/>
          <w:szCs w:val="22"/>
          <w:vertAlign w:val="subscript"/>
          <w:lang w:val="en-GB"/>
        </w:rPr>
        <w:t>adj</w:t>
      </w:r>
      <w:r>
        <w:rPr>
          <w:sz w:val="22"/>
          <w:szCs w:val="22"/>
          <w:lang w:val="en-GB"/>
        </w:rPr>
        <w:t xml:space="preserve">, </w:t>
      </w:r>
      <w:r>
        <w:rPr>
          <w:i/>
          <w:sz w:val="22"/>
          <w:szCs w:val="22"/>
          <w:lang w:val="en-GB"/>
        </w:rPr>
        <w:t>NE</w:t>
      </w:r>
      <w:r>
        <w:rPr>
          <w:sz w:val="22"/>
          <w:szCs w:val="22"/>
          <w:lang w:val="en-GB"/>
        </w:rPr>
        <w:t>, and the range of stiffness values</w:t>
      </w:r>
      <w:ins w:id="504" w:author="Schenk, Denis Elia (ARTORG)" w:date="2021-05-31T16:17:00Z">
        <w:r>
          <w:rPr>
            <w:sz w:val="22"/>
            <w:szCs w:val="22"/>
            <w:lang w:val="en-GB"/>
          </w:rPr>
          <w:t xml:space="preserve"> </w:t>
        </w:r>
      </w:ins>
      <w:ins w:id="505" w:author="Schenk, Denis Elia (ARTORG)" w:date="2021-05-31T16:18:00Z">
        <w:r>
          <w:rPr>
            <w:sz w:val="22"/>
            <w:szCs w:val="22"/>
            <w:lang w:val="en-GB"/>
          </w:rPr>
          <w:t>are almost at the level of</w:t>
        </w:r>
      </w:ins>
      <w:ins w:id="506" w:author="Schenk, Denis Elia (ARTORG)" w:date="2021-05-31T16:17:00Z">
        <w:r>
          <w:rPr>
            <w:sz w:val="22"/>
            <w:szCs w:val="22"/>
            <w:lang w:val="en-GB"/>
          </w:rPr>
          <w:t xml:space="preserve"> the healthy group</w:t>
        </w:r>
      </w:ins>
      <w:r>
        <w:rPr>
          <w:sz w:val="22"/>
          <w:szCs w:val="22"/>
          <w:lang w:val="en-GB"/>
        </w:rPr>
        <w:t xml:space="preserve">. These results give confidence to the filtering procedure and are a first step </w:t>
      </w:r>
      <w:ins w:id="507" w:author="Schenk, Denis Elia (ARTORG)" w:date="2021-05-31T16:18:00Z">
        <w:r>
          <w:rPr>
            <w:sz w:val="22"/>
            <w:szCs w:val="22"/>
            <w:lang w:val="en-GB"/>
          </w:rPr>
          <w:t xml:space="preserve">in accepting </w:t>
        </w:r>
      </w:ins>
      <w:del w:id="508" w:author="Schenk, Denis Elia (ARTORG)" w:date="2021-05-31T16:18:00Z">
        <w:r>
          <w:rPr>
            <w:sz w:val="22"/>
            <w:szCs w:val="22"/>
            <w:lang w:val="en-GB"/>
          </w:rPr>
          <w:delText xml:space="preserve">to </w:delText>
        </w:r>
      </w:del>
      <w:r>
        <w:rPr>
          <w:sz w:val="22"/>
          <w:szCs w:val="22"/>
          <w:lang w:val="en-GB"/>
        </w:rPr>
        <w:t xml:space="preserve">the hypothesis of </w:t>
      </w:r>
      <w:ins w:id="509" w:author="Schenk, Denis Elia (ARTORG)" w:date="2021-05-31T16:19:00Z">
        <w:r>
          <w:rPr>
            <w:sz w:val="22"/>
            <w:szCs w:val="22"/>
            <w:lang w:val="en-GB"/>
          </w:rPr>
          <w:t xml:space="preserve">healthy and OI trabecular bone </w:t>
        </w:r>
      </w:ins>
      <w:del w:id="510" w:author="Schenk, Denis Elia (ARTORG)" w:date="2021-05-31T16:19:00Z">
        <w:r>
          <w:rPr>
            <w:sz w:val="22"/>
            <w:szCs w:val="22"/>
            <w:lang w:val="en-GB"/>
          </w:rPr>
          <w:delText>no different</w:delText>
        </w:r>
      </w:del>
      <w:ins w:id="511" w:author="Schenk, Denis Elia (ARTORG)" w:date="2021-05-31T16:19:00Z">
        <w:r>
          <w:rPr>
            <w:sz w:val="22"/>
            <w:szCs w:val="22"/>
            <w:lang w:val="en-GB"/>
          </w:rPr>
          <w:t>having the same</w:t>
        </w:r>
      </w:ins>
      <w:r>
        <w:rPr>
          <w:sz w:val="22"/>
          <w:szCs w:val="22"/>
          <w:lang w:val="en-GB"/>
        </w:rPr>
        <w:t xml:space="preserve"> fabric-elasticity relationships</w:t>
      </w:r>
      <w:del w:id="512" w:author="Schenk, Denis Elia (ARTORG)" w:date="2021-05-31T16:19:00Z">
        <w:r>
          <w:rPr>
            <w:sz w:val="22"/>
            <w:szCs w:val="22"/>
            <w:lang w:val="en-GB"/>
          </w:rPr>
          <w:delText xml:space="preserve"> between</w:delText>
        </w:r>
      </w:del>
      <w:del w:id="513" w:author="Schenk, Denis Elia (ARTORG)" w:date="2021-05-31T16:18:00Z">
        <w:r>
          <w:rPr>
            <w:sz w:val="22"/>
            <w:szCs w:val="22"/>
            <w:lang w:val="en-GB"/>
          </w:rPr>
          <w:delText xml:space="preserve"> healthy and OI trabecular bone</w:delText>
        </w:r>
      </w:del>
      <w:r>
        <w:rPr>
          <w:sz w:val="22"/>
          <w:szCs w:val="22"/>
          <w:lang w:val="en-GB"/>
        </w:rPr>
        <w:t>.</w:t>
      </w:r>
    </w:p>
    <w:p>
      <w:pPr>
        <w:pStyle w:val="Normal"/>
        <w:tabs>
          <w:tab w:val="clear" w:pos="708"/>
          <w:tab w:val="left" w:pos="492" w:leader="none"/>
          <w:tab w:val="left" w:pos="2760" w:leader="none"/>
        </w:tabs>
        <w:jc w:val="both"/>
        <w:rPr>
          <w:sz w:val="22"/>
          <w:szCs w:val="22"/>
          <w:lang w:val="en-US"/>
        </w:rPr>
      </w:pPr>
      <w:r>
        <w:rPr>
          <w:sz w:val="22"/>
          <w:szCs w:val="22"/>
          <w:lang w:val="en-US"/>
        </w:rPr>
      </w:r>
    </w:p>
    <w:p>
      <w:pPr>
        <w:pStyle w:val="Normal"/>
        <w:tabs>
          <w:tab w:val="clear" w:pos="708"/>
          <w:tab w:val="left" w:pos="492" w:leader="none"/>
          <w:tab w:val="left" w:pos="2760" w:leader="none"/>
        </w:tabs>
        <w:jc w:val="both"/>
        <w:rPr>
          <w:sz w:val="22"/>
          <w:szCs w:val="22"/>
          <w:lang w:val="en-US"/>
        </w:rPr>
      </w:pPr>
      <w:r>
        <w:rPr>
          <w:sz w:val="22"/>
          <w:szCs w:val="22"/>
          <w:lang w:val="en-GB"/>
        </w:rPr>
        <w:t>After BV/TV and DA matching, grouping the data sets together lead</w:t>
      </w:r>
      <w:ins w:id="514" w:author="Schenk, Denis Elia (ARTORG)" w:date="2021-05-31T16:20:00Z">
        <w:r>
          <w:rPr>
            <w:sz w:val="22"/>
            <w:szCs w:val="22"/>
            <w:lang w:val="en-GB"/>
          </w:rPr>
          <w:t>s</w:t>
        </w:r>
      </w:ins>
      <w:r>
        <w:rPr>
          <w:sz w:val="22"/>
          <w:szCs w:val="22"/>
          <w:lang w:val="en-GB"/>
        </w:rPr>
        <w:t xml:space="preserve"> to similar </w:t>
      </w:r>
      <w:r>
        <w:rPr>
          <w:i/>
          <w:sz w:val="22"/>
          <w:szCs w:val="22"/>
          <w:lang w:val="en-GB"/>
        </w:rPr>
        <w:t>R</w:t>
      </w:r>
      <w:r>
        <w:rPr>
          <w:sz w:val="22"/>
          <w:szCs w:val="22"/>
          <w:vertAlign w:val="superscript"/>
          <w:lang w:val="en-GB"/>
        </w:rPr>
        <w:t>2</w:t>
      </w:r>
      <w:r>
        <w:rPr>
          <w:sz w:val="22"/>
          <w:szCs w:val="22"/>
          <w:vertAlign w:val="subscript"/>
          <w:lang w:val="en-GB"/>
        </w:rPr>
        <w:t>adj</w:t>
      </w:r>
      <w:r>
        <w:rPr>
          <w:sz w:val="22"/>
          <w:szCs w:val="22"/>
          <w:lang w:val="en-GB"/>
        </w:rPr>
        <w:t xml:space="preserve"> and NE as for </w:t>
      </w:r>
      <w:ins w:id="515" w:author="Schenk, Denis Elia (ARTORG)" w:date="2021-05-31T16:20:00Z">
        <w:r>
          <w:rPr>
            <w:sz w:val="22"/>
            <w:szCs w:val="22"/>
            <w:lang w:val="en-GB"/>
          </w:rPr>
          <w:t xml:space="preserve">the </w:t>
        </w:r>
      </w:ins>
      <w:r>
        <w:rPr>
          <w:sz w:val="22"/>
          <w:szCs w:val="22"/>
          <w:lang w:val="en-GB"/>
        </w:rPr>
        <w:t>individual filtered data set</w:t>
      </w:r>
      <w:ins w:id="516" w:author="Schenk, Denis Elia (ARTORG)" w:date="2021-05-31T16:20:00Z">
        <w:r>
          <w:rPr>
            <w:sz w:val="22"/>
            <w:szCs w:val="22"/>
            <w:lang w:val="en-GB"/>
          </w:rPr>
          <w:t>s</w:t>
        </w:r>
      </w:ins>
      <w:r>
        <w:rPr>
          <w:sz w:val="22"/>
          <w:szCs w:val="22"/>
          <w:lang w:val="en-GB"/>
        </w:rPr>
        <w:t xml:space="preserve">. This allows to </w:t>
      </w:r>
      <w:del w:id="517" w:author="Schenk, Denis Elia (ARTORG)" w:date="2021-05-31T16:20:00Z">
        <w:r>
          <w:rPr>
            <w:sz w:val="22"/>
            <w:szCs w:val="22"/>
            <w:lang w:val="en-GB"/>
          </w:rPr>
          <w:delText xml:space="preserve">give </w:delText>
        </w:r>
      </w:del>
      <w:ins w:id="518" w:author="Schenk, Denis Elia (ARTORG)" w:date="2021-05-31T16:20:00Z">
        <w:r>
          <w:rPr>
            <w:sz w:val="22"/>
            <w:szCs w:val="22"/>
            <w:lang w:val="en-GB"/>
          </w:rPr>
          <w:t xml:space="preserve">determine </w:t>
        </w:r>
      </w:ins>
      <w:r>
        <w:rPr>
          <w:sz w:val="22"/>
          <w:szCs w:val="22"/>
          <w:lang w:val="en-GB"/>
        </w:rPr>
        <w:t xml:space="preserve">values for </w:t>
      </w:r>
      <w:r>
        <w:rPr>
          <w:i/>
          <w:sz w:val="22"/>
          <w:szCs w:val="22"/>
          <w:lang w:val="en-GB"/>
        </w:rPr>
        <w:t>k</w:t>
      </w:r>
      <w:r>
        <w:rPr>
          <w:sz w:val="22"/>
          <w:szCs w:val="22"/>
          <w:lang w:val="en-GB"/>
        </w:rPr>
        <w:t xml:space="preserve"> and </w:t>
      </w:r>
      <w:r>
        <w:rPr>
          <w:i/>
          <w:sz w:val="22"/>
          <w:szCs w:val="22"/>
          <w:lang w:val="en-GB"/>
        </w:rPr>
        <w:t>l</w:t>
      </w:r>
      <w:r>
        <w:rPr>
          <w:sz w:val="22"/>
          <w:szCs w:val="22"/>
          <w:lang w:val="en-GB"/>
        </w:rPr>
        <w:t xml:space="preserve"> for the tibia at a spatial resolution of 61</w:t>
      </w:r>
      <w:del w:id="519" w:author="Schenk, Denis Elia (ARTORG)" w:date="2021-05-31T16:20:00Z">
        <w:r>
          <w:rPr>
            <w:sz w:val="22"/>
            <w:szCs w:val="22"/>
            <w:lang w:val="en-GB"/>
          </w:rPr>
          <w:delText xml:space="preserve"> </w:delText>
        </w:r>
      </w:del>
      <w:r>
        <w:rPr>
          <w:rFonts w:cs="Latin Modern Math" w:ascii="Latin Modern Math" w:hAnsi="Latin Modern Math"/>
          <w:sz w:val="22"/>
          <w:szCs w:val="22"/>
          <w:lang w:val="en-GB"/>
        </w:rPr>
        <w:t>µ</w:t>
      </w:r>
      <w:r>
        <w:rPr>
          <w:sz w:val="22"/>
          <w:szCs w:val="22"/>
          <w:lang w:val="en-GB"/>
        </w:rPr>
        <w:t xml:space="preserve">m. Imposing these values to perform the </w:t>
      </w:r>
      <w:commentRangeStart w:id="72"/>
      <w:r>
        <w:rPr>
          <w:sz w:val="22"/>
          <w:szCs w:val="22"/>
          <w:lang w:val="en-GB"/>
        </w:rPr>
        <w:t xml:space="preserve">fit </w:t>
      </w:r>
      <w:r>
        <w:rPr>
          <w:sz w:val="22"/>
          <w:szCs w:val="22"/>
          <w:lang w:val="en-GB"/>
        </w:rPr>
      </w:r>
      <w:commentRangeEnd w:id="72"/>
      <w:r>
        <w:commentReference w:id="72"/>
      </w:r>
      <w:r>
        <w:rPr>
          <w:sz w:val="22"/>
          <w:szCs w:val="22"/>
          <w:lang w:val="en-GB"/>
        </w:rPr>
        <w:t xml:space="preserve">on </w:t>
      </w:r>
      <w:commentRangeStart w:id="73"/>
      <w:r>
        <w:rPr>
          <w:sz w:val="22"/>
          <w:szCs w:val="22"/>
          <w:lang w:val="en-GB"/>
        </w:rPr>
        <w:t>individual</w:t>
      </w:r>
      <w:ins w:id="520" w:author="Schenk, Denis Elia (ARTORG)" w:date="2021-05-31T16:21:00Z">
        <w:r>
          <w:rPr>
            <w:sz w:val="22"/>
            <w:szCs w:val="22"/>
            <w:lang w:val="en-GB"/>
          </w:rPr>
          <w:t>ly</w:t>
        </w:r>
      </w:ins>
      <w:r>
        <w:rPr>
          <w:sz w:val="22"/>
          <w:szCs w:val="22"/>
          <w:lang w:val="en-GB"/>
        </w:rPr>
        <w:t xml:space="preserve"> match</w:t>
      </w:r>
      <w:ins w:id="521" w:author="Schenk, Denis Elia (ARTORG)" w:date="2021-05-31T16:21:00Z">
        <w:r>
          <w:rPr>
            <w:sz w:val="22"/>
            <w:szCs w:val="22"/>
            <w:lang w:val="en-GB"/>
          </w:rPr>
          <w:t>ed</w:t>
        </w:r>
      </w:ins>
      <w:r>
        <w:rPr>
          <w:sz w:val="22"/>
          <w:szCs w:val="22"/>
          <w:lang w:val="en-GB"/>
        </w:rPr>
        <w:t xml:space="preserve"> data set</w:t>
      </w:r>
      <w:ins w:id="522" w:author="Schenk, Denis Elia (ARTORG)" w:date="2021-05-31T16:21:00Z">
        <w:r>
          <w:rPr>
            <w:sz w:val="22"/>
            <w:szCs w:val="22"/>
            <w:lang w:val="en-GB"/>
          </w:rPr>
          <w:t>s</w:t>
        </w:r>
      </w:ins>
      <w:r>
        <w:rPr>
          <w:sz w:val="22"/>
          <w:szCs w:val="22"/>
          <w:lang w:val="en-GB"/>
        </w:rPr>
        <w:t xml:space="preserve"> </w:t>
      </w:r>
      <w:r>
        <w:rPr>
          <w:sz w:val="22"/>
          <w:szCs w:val="22"/>
          <w:lang w:val="en-GB"/>
        </w:rPr>
      </w:r>
      <w:commentRangeEnd w:id="73"/>
      <w:r>
        <w:commentReference w:id="73"/>
      </w:r>
      <w:r>
        <w:rPr>
          <w:sz w:val="22"/>
          <w:szCs w:val="22"/>
          <w:lang w:val="en-GB"/>
        </w:rPr>
        <w:t>allow</w:t>
      </w:r>
      <w:ins w:id="523" w:author="Schenk, Denis Elia (ARTORG)" w:date="2021-05-31T16:21:00Z">
        <w:r>
          <w:rPr>
            <w:sz w:val="22"/>
            <w:szCs w:val="22"/>
            <w:lang w:val="en-GB"/>
          </w:rPr>
          <w:t>s</w:t>
        </w:r>
      </w:ins>
      <w:r>
        <w:rPr>
          <w:sz w:val="22"/>
          <w:szCs w:val="22"/>
          <w:lang w:val="en-GB"/>
        </w:rPr>
        <w:t xml:space="preserve"> to highlight differences, if any, between healthy and OI trabecular bone. The relatively low differences for </w:t>
      </w:r>
      <w:r>
        <w:rPr>
          <w:rFonts w:cs="Latin Modern Math" w:ascii="Latin Modern Math" w:hAnsi="Latin Modern Math"/>
          <w:i/>
          <w:sz w:val="22"/>
          <w:szCs w:val="22"/>
          <w:lang w:val="fr-CH"/>
        </w:rPr>
        <w:t>λ</w:t>
      </w:r>
      <w:r>
        <w:rPr>
          <w:rFonts w:cs="Latin Modern Math" w:ascii="Latin Modern Math" w:hAnsi="Latin Modern Math"/>
          <w:i/>
          <w:sz w:val="22"/>
          <w:szCs w:val="22"/>
          <w:vertAlign w:val="subscript"/>
          <w:lang w:val="fr-CH"/>
        </w:rPr>
        <w:t>0</w:t>
      </w:r>
      <w:r>
        <w:rPr>
          <w:i/>
          <w:sz w:val="22"/>
          <w:szCs w:val="22"/>
          <w:lang w:val="en-GB"/>
        </w:rPr>
        <w:t>'</w:t>
      </w:r>
      <w:r>
        <w:rPr>
          <w:sz w:val="22"/>
          <w:szCs w:val="22"/>
          <w:lang w:val="en-GB"/>
        </w:rPr>
        <w:t xml:space="preserve"> and </w:t>
      </w:r>
      <w:r>
        <w:rPr>
          <w:rFonts w:cs="Latin Modern Math" w:ascii="Latin Modern Math" w:hAnsi="Latin Modern Math"/>
          <w:i/>
          <w:sz w:val="22"/>
          <w:szCs w:val="22"/>
          <w:lang w:val="fr-CH"/>
        </w:rPr>
        <w:t>μ</w:t>
      </w:r>
      <w:r>
        <w:rPr>
          <w:rFonts w:cs="Latin Modern Math" w:ascii="Latin Modern Math" w:hAnsi="Latin Modern Math"/>
          <w:i/>
          <w:sz w:val="22"/>
          <w:szCs w:val="22"/>
          <w:vertAlign w:val="subscript"/>
          <w:lang w:val="fr-CH"/>
        </w:rPr>
        <w:t>0</w:t>
      </w:r>
      <w:r>
        <w:rPr>
          <w:sz w:val="22"/>
          <w:szCs w:val="22"/>
          <w:lang w:val="en-GB"/>
        </w:rPr>
        <w:t xml:space="preserve"> once again </w:t>
      </w:r>
      <w:del w:id="524" w:author="Schenk, Denis Elia (ARTORG)" w:date="2021-05-31T16:23:00Z">
        <w:r>
          <w:rPr>
            <w:sz w:val="22"/>
            <w:szCs w:val="22"/>
            <w:lang w:val="en-GB"/>
          </w:rPr>
          <w:delText xml:space="preserve">provide </w:delText>
        </w:r>
      </w:del>
      <w:ins w:id="525" w:author="Schenk, Denis Elia (ARTORG)" w:date="2021-05-31T16:23:00Z">
        <w:r>
          <w:rPr>
            <w:sz w:val="22"/>
            <w:szCs w:val="22"/>
            <w:lang w:val="en-GB"/>
          </w:rPr>
          <w:t xml:space="preserve">supports the </w:t>
        </w:r>
      </w:ins>
      <w:del w:id="526" w:author="Schenk, Denis Elia (ARTORG)" w:date="2021-05-31T16:23:00Z">
        <w:r>
          <w:rPr>
            <w:sz w:val="22"/>
            <w:szCs w:val="22"/>
            <w:lang w:val="en-GB"/>
          </w:rPr>
          <w:delText xml:space="preserve">arguments </w:delText>
        </w:r>
      </w:del>
      <w:ins w:id="527" w:author="Schenk, Denis Elia (ARTORG)" w:date="2021-05-31T16:23:00Z">
        <w:r>
          <w:rPr>
            <w:sz w:val="22"/>
            <w:szCs w:val="22"/>
            <w:lang w:val="en-GB"/>
          </w:rPr>
          <w:t xml:space="preserve">hypothesis </w:t>
        </w:r>
      </w:ins>
      <w:r>
        <w:rPr>
          <w:sz w:val="22"/>
          <w:szCs w:val="22"/>
          <w:lang w:val="en-GB"/>
        </w:rPr>
        <w:t xml:space="preserve">for similar </w:t>
      </w:r>
      <w:ins w:id="528" w:author="Schenk, Denis Elia (ARTORG)" w:date="2021-05-31T16:23:00Z">
        <w:r>
          <w:rPr>
            <w:sz w:val="22"/>
            <w:szCs w:val="22"/>
            <w:lang w:val="en-GB"/>
          </w:rPr>
          <w:t xml:space="preserve">fabric-elasticity </w:t>
        </w:r>
      </w:ins>
      <w:r>
        <w:rPr>
          <w:sz w:val="22"/>
          <w:szCs w:val="22"/>
          <w:lang w:val="en-GB"/>
        </w:rPr>
        <w:t xml:space="preserve">relationships between the two </w:t>
      </w:r>
      <w:commentRangeStart w:id="74"/>
      <w:r>
        <w:rPr>
          <w:sz w:val="22"/>
          <w:szCs w:val="22"/>
          <w:lang w:val="en-GB"/>
        </w:rPr>
        <w:t>groups</w:t>
      </w:r>
      <w:r>
        <w:rPr>
          <w:sz w:val="22"/>
          <w:szCs w:val="22"/>
          <w:lang w:val="en-GB"/>
        </w:rPr>
      </w:r>
      <w:commentRangeEnd w:id="74"/>
      <w:r>
        <w:commentReference w:id="74"/>
      </w:r>
      <w:r>
        <w:rPr>
          <w:sz w:val="22"/>
          <w:szCs w:val="22"/>
          <w:lang w:val="en-GB"/>
        </w:rPr>
        <w:t xml:space="preserve">. For </w:t>
      </w:r>
      <w:r>
        <w:rPr>
          <w:rFonts w:cs="Latin Modern Math" w:ascii="Latin Modern Math" w:hAnsi="Latin Modern Math"/>
          <w:i/>
          <w:sz w:val="22"/>
          <w:szCs w:val="22"/>
          <w:lang w:val="en-GB"/>
        </w:rPr>
        <w:t>λ</w:t>
      </w:r>
      <w:r>
        <w:rPr>
          <w:rFonts w:cs="Latin Modern Math" w:ascii="Latin Modern Math" w:hAnsi="Latin Modern Math"/>
          <w:i/>
          <w:sz w:val="22"/>
          <w:szCs w:val="22"/>
          <w:vertAlign w:val="subscript"/>
          <w:lang w:val="en-GB"/>
        </w:rPr>
        <w:t>0</w:t>
      </w:r>
      <w:r>
        <w:rPr>
          <w:sz w:val="22"/>
          <w:szCs w:val="22"/>
          <w:lang w:val="en-GB"/>
        </w:rPr>
        <w:t xml:space="preserve">, this relative difference being higher could rise some doubts about this </w:t>
      </w:r>
      <w:del w:id="529" w:author="Schenk, Denis Elia (ARTORG)" w:date="2021-05-31T16:24:00Z">
        <w:r>
          <w:rPr>
            <w:sz w:val="22"/>
            <w:szCs w:val="22"/>
            <w:lang w:val="en-GB"/>
          </w:rPr>
          <w:delText>similarity</w:delText>
        </w:r>
      </w:del>
      <w:ins w:id="530" w:author="Schenk, Denis Elia (ARTORG)" w:date="2021-05-31T16:24:00Z">
        <w:r>
          <w:rPr>
            <w:sz w:val="22"/>
            <w:szCs w:val="22"/>
            <w:lang w:val="en-GB"/>
          </w:rPr>
          <w:t>similarity,</w:t>
        </w:r>
      </w:ins>
      <w:r>
        <w:rPr>
          <w:sz w:val="22"/>
          <w:szCs w:val="22"/>
          <w:lang w:val="en-GB"/>
        </w:rPr>
        <w:t xml:space="preserve"> but</w:t>
      </w:r>
      <w:ins w:id="531" w:author="Schenk, Denis Elia (ARTORG)" w:date="2021-05-31T16:24:00Z">
        <w:r>
          <w:rPr>
            <w:sz w:val="22"/>
            <w:szCs w:val="22"/>
            <w:lang w:val="en-GB"/>
          </w:rPr>
          <w:t xml:space="preserve"> the</w:t>
        </w:r>
      </w:ins>
      <w:r>
        <w:rPr>
          <w:sz w:val="22"/>
          <w:szCs w:val="22"/>
          <w:lang w:val="en-GB"/>
        </w:rPr>
        <w:t xml:space="preserve"> 95% CI intervals still show a </w:t>
      </w:r>
      <w:commentRangeStart w:id="75"/>
      <w:r>
        <w:rPr>
          <w:sz w:val="22"/>
          <w:szCs w:val="22"/>
          <w:lang w:val="en-GB"/>
        </w:rPr>
        <w:t>common range</w:t>
      </w:r>
      <w:r>
        <w:rPr>
          <w:sz w:val="22"/>
          <w:szCs w:val="22"/>
          <w:lang w:val="en-GB"/>
        </w:rPr>
      </w:r>
      <w:commentRangeEnd w:id="75"/>
      <w:r>
        <w:commentReference w:id="75"/>
      </w:r>
      <w:r>
        <w:rPr>
          <w:sz w:val="22"/>
          <w:szCs w:val="22"/>
          <w:lang w:val="en-GB"/>
        </w:rPr>
        <w:t>. Moreover, ANCOVA performed comparing the original formulation and the one with addition of a regressor for the group show</w:t>
      </w:r>
      <w:ins w:id="532" w:author="Schenk, Denis Elia (ARTORG)" w:date="2021-05-31T16:25:00Z">
        <w:r>
          <w:rPr>
            <w:sz w:val="22"/>
            <w:szCs w:val="22"/>
            <w:lang w:val="en-GB"/>
          </w:rPr>
          <w:t>ed</w:t>
        </w:r>
      </w:ins>
      <w:del w:id="533" w:author="Schenk, Denis Elia (ARTORG)" w:date="2021-05-31T16:25:00Z">
        <w:r>
          <w:rPr>
            <w:sz w:val="22"/>
            <w:szCs w:val="22"/>
            <w:lang w:val="en-GB"/>
          </w:rPr>
          <w:delText>n</w:delText>
        </w:r>
      </w:del>
      <w:r>
        <w:rPr>
          <w:sz w:val="22"/>
          <w:szCs w:val="22"/>
          <w:lang w:val="en-GB"/>
        </w:rPr>
        <w:t xml:space="preserve"> a p</w:t>
      </w:r>
      <w:ins w:id="534" w:author="Schenk, Denis Elia (ARTORG)" w:date="2021-05-31T16:25:00Z">
        <w:r>
          <w:rPr>
            <w:sz w:val="22"/>
            <w:szCs w:val="22"/>
            <w:lang w:val="en-GB"/>
          </w:rPr>
          <w:t>-</w:t>
        </w:r>
      </w:ins>
      <w:del w:id="535" w:author="Schenk, Denis Elia (ARTORG)" w:date="2021-05-31T16:25:00Z">
        <w:r>
          <w:rPr>
            <w:sz w:val="22"/>
            <w:szCs w:val="22"/>
            <w:lang w:val="en-GB"/>
          </w:rPr>
          <w:delText xml:space="preserve"> </w:delText>
        </w:r>
      </w:del>
      <w:r>
        <w:rPr>
          <w:sz w:val="22"/>
          <w:szCs w:val="22"/>
          <w:lang w:val="en-GB"/>
        </w:rPr>
        <w:t>value far above the 5% significance level. With this statistical non-significance of the group</w:t>
      </w:r>
      <w:ins w:id="536" w:author="Schenk, Denis Elia (ARTORG)" w:date="2021-05-31T16:26:00Z">
        <w:r>
          <w:rPr>
            <w:sz w:val="22"/>
            <w:szCs w:val="22"/>
            <w:lang w:val="en-GB"/>
          </w:rPr>
          <w:t>s</w:t>
        </w:r>
      </w:ins>
      <w:r>
        <w:rPr>
          <w:sz w:val="22"/>
          <w:szCs w:val="22"/>
          <w:lang w:val="en-GB"/>
        </w:rPr>
        <w:t xml:space="preserve"> and </w:t>
      </w:r>
      <w:ins w:id="537" w:author="Schenk, Denis Elia (ARTORG)" w:date="2021-05-31T16:26:00Z">
        <w:r>
          <w:rPr>
            <w:sz w:val="22"/>
            <w:szCs w:val="22"/>
            <w:lang w:val="en-GB"/>
          </w:rPr>
          <w:t xml:space="preserve">their </w:t>
        </w:r>
      </w:ins>
      <w:r>
        <w:rPr>
          <w:sz w:val="22"/>
          <w:szCs w:val="22"/>
          <w:lang w:val="en-GB"/>
        </w:rPr>
        <w:t xml:space="preserve">low relative differences in the computed stiffness constants, it can be stated that: if trabecular bone is homogeneous enough, there is no reason to </w:t>
      </w:r>
      <w:del w:id="538" w:author="Schenk, Denis Elia (ARTORG)" w:date="2021-05-31T16:26:00Z">
        <w:r>
          <w:rPr>
            <w:sz w:val="22"/>
            <w:szCs w:val="22"/>
            <w:lang w:val="en-GB"/>
          </w:rPr>
          <w:delText xml:space="preserve">suppose </w:delText>
        </w:r>
      </w:del>
      <w:ins w:id="539" w:author="Schenk, Denis Elia (ARTORG)" w:date="2021-05-31T16:26:00Z">
        <w:r>
          <w:rPr>
            <w:sz w:val="22"/>
            <w:szCs w:val="22"/>
            <w:lang w:val="en-GB"/>
          </w:rPr>
          <w:t xml:space="preserve">assume </w:t>
        </w:r>
      </w:ins>
      <w:r>
        <w:rPr>
          <w:sz w:val="22"/>
          <w:szCs w:val="22"/>
          <w:lang w:val="en-GB"/>
        </w:rPr>
        <w:t xml:space="preserve">differences in fabric-elasticity relationships between healthy and OI trabecular bone. </w:t>
      </w:r>
      <w:commentRangeStart w:id="76"/>
      <w:r>
        <w:rPr>
          <w:sz w:val="22"/>
          <w:szCs w:val="22"/>
          <w:lang w:val="en-GB"/>
        </w:rPr>
        <w:t xml:space="preserve">In FEA simulations, it is not possible to exclude part of the mesh because of high heterogeneity. Nevertheless, the error created by such ROIs </w:t>
      </w:r>
      <w:del w:id="540" w:author="Schenk, Denis Elia (ARTORG)" w:date="2021-05-31T16:27:00Z">
        <w:r>
          <w:rPr>
            <w:sz w:val="22"/>
            <w:szCs w:val="22"/>
            <w:lang w:val="en-GB"/>
          </w:rPr>
          <w:delText xml:space="preserve">are </w:delText>
        </w:r>
      </w:del>
      <w:ins w:id="541" w:author="Schenk, Denis Elia (ARTORG)" w:date="2021-05-31T16:27:00Z">
        <w:r>
          <w:rPr>
            <w:sz w:val="22"/>
            <w:szCs w:val="22"/>
            <w:lang w:val="en-GB"/>
          </w:rPr>
          <w:t xml:space="preserve">is </w:t>
        </w:r>
      </w:ins>
      <w:r>
        <w:rPr>
          <w:sz w:val="22"/>
          <w:szCs w:val="22"/>
          <w:lang w:val="en-GB"/>
        </w:rPr>
        <w:t>negligible as this concerns ROIs with extremely low stiffness leading to a minor impact on the full model.</w:t>
      </w:r>
      <w:commentRangeEnd w:id="76"/>
      <w:r>
        <w:commentReference w:id="76"/>
      </w:r>
      <w:r>
        <w:rPr>
          <w:sz w:val="22"/>
          <w:szCs w:val="22"/>
          <w:lang w:val="en-GB"/>
        </w:rPr>
      </w:r>
    </w:p>
    <w:p>
      <w:pPr>
        <w:pStyle w:val="Normal"/>
        <w:tabs>
          <w:tab w:val="clear" w:pos="708"/>
          <w:tab w:val="left" w:pos="492" w:leader="none"/>
          <w:tab w:val="left" w:pos="2760" w:leader="none"/>
        </w:tabs>
        <w:jc w:val="both"/>
        <w:rPr>
          <w:sz w:val="22"/>
          <w:szCs w:val="22"/>
          <w:lang w:val="en-US"/>
        </w:rPr>
      </w:pPr>
      <w:r>
        <w:rPr>
          <w:sz w:val="22"/>
          <w:szCs w:val="22"/>
          <w:lang w:val="en-US"/>
        </w:rPr>
      </w:r>
    </w:p>
    <w:p>
      <w:pPr>
        <w:pStyle w:val="Normal"/>
        <w:tabs>
          <w:tab w:val="clear" w:pos="708"/>
          <w:tab w:val="left" w:pos="492" w:leader="none"/>
          <w:tab w:val="left" w:pos="2760" w:leader="none"/>
        </w:tabs>
        <w:jc w:val="both"/>
        <w:rPr>
          <w:sz w:val="22"/>
          <w:szCs w:val="22"/>
          <w:lang w:val="en-US"/>
        </w:rPr>
      </w:pPr>
      <w:r>
        <w:rPr>
          <w:sz w:val="22"/>
          <w:szCs w:val="22"/>
          <w:lang w:val="en-GB"/>
        </w:rPr>
        <w:t xml:space="preserve">Imposing </w:t>
      </w:r>
      <w:r>
        <w:rPr>
          <w:i/>
          <w:sz w:val="22"/>
          <w:szCs w:val="22"/>
          <w:lang w:val="en-GB"/>
        </w:rPr>
        <w:t>k</w:t>
      </w:r>
      <w:r>
        <w:rPr>
          <w:sz w:val="22"/>
          <w:szCs w:val="22"/>
          <w:lang w:val="en-GB"/>
        </w:rPr>
        <w:t xml:space="preserve"> and </w:t>
      </w:r>
      <w:r>
        <w:rPr>
          <w:i/>
          <w:sz w:val="22"/>
          <w:szCs w:val="22"/>
          <w:lang w:val="en-GB"/>
        </w:rPr>
        <w:t>l</w:t>
      </w:r>
      <w:r>
        <w:rPr>
          <w:sz w:val="22"/>
          <w:szCs w:val="22"/>
          <w:lang w:val="en-GB"/>
        </w:rPr>
        <w:t xml:space="preserve"> allows to estimate the effect of different image resolutions.</w:t>
      </w:r>
      <w:del w:id="542" w:author="Schenk, Denis Elia (ARTORG)" w:date="2021-05-31T16:27:00Z">
        <w:r>
          <w:rPr>
            <w:sz w:val="22"/>
            <w:szCs w:val="22"/>
            <w:lang w:val="en-GB"/>
          </w:rPr>
          <w:delText xml:space="preserve"> </w:delText>
        </w:r>
      </w:del>
      <w:r>
        <w:rPr>
          <w:sz w:val="22"/>
          <w:szCs w:val="22"/>
          <w:lang w:val="en-GB"/>
        </w:rPr>
        <w:t xml:space="preserve"> [Panyasantisuk 2015] and [Gross 2013] both used femur scans with 18 </w:t>
      </w:r>
      <w:r>
        <w:rPr>
          <w:rFonts w:cs="Latin Modern Math" w:ascii="Latin Modern Math" w:hAnsi="Latin Modern Math"/>
          <w:sz w:val="22"/>
          <w:szCs w:val="22"/>
          <w:lang w:val="fr-CH"/>
        </w:rPr>
        <w:t>µ</w:t>
      </w:r>
      <w:r>
        <w:rPr>
          <w:sz w:val="22"/>
          <w:szCs w:val="22"/>
          <w:lang w:val="en-GB"/>
        </w:rPr>
        <w:t xml:space="preserve">m spatial resolution and coarsened </w:t>
      </w:r>
      <w:ins w:id="543" w:author="Schenk, Denis Elia (ARTORG)" w:date="2021-05-31T16:28:00Z">
        <w:r>
          <w:rPr>
            <w:sz w:val="22"/>
            <w:szCs w:val="22"/>
            <w:lang w:val="en-GB"/>
          </w:rPr>
          <w:t>them</w:t>
        </w:r>
      </w:ins>
      <w:del w:id="544" w:author="Schenk, Denis Elia (ARTORG)" w:date="2021-05-31T16:28:00Z">
        <w:r>
          <w:rPr>
            <w:sz w:val="22"/>
            <w:szCs w:val="22"/>
            <w:lang w:val="en-GB"/>
          </w:rPr>
          <w:delText>it</w:delText>
        </w:r>
      </w:del>
      <w:r>
        <w:rPr>
          <w:sz w:val="22"/>
          <w:szCs w:val="22"/>
          <w:lang w:val="en-GB"/>
        </w:rPr>
        <w:t xml:space="preserve"> to 36 </w:t>
      </w:r>
      <w:r>
        <w:rPr>
          <w:rFonts w:cs="Latin Modern Math" w:ascii="Latin Modern Math" w:hAnsi="Latin Modern Math"/>
          <w:sz w:val="22"/>
          <w:szCs w:val="22"/>
          <w:lang w:val="fr-CH"/>
        </w:rPr>
        <w:t>µ</w:t>
      </w:r>
      <w:r>
        <w:rPr>
          <w:sz w:val="22"/>
          <w:szCs w:val="22"/>
          <w:lang w:val="en-GB"/>
        </w:rPr>
        <w:t>m. [Gross 2013] show</w:t>
      </w:r>
      <w:ins w:id="545" w:author="Schenk, Denis Elia (ARTORG)" w:date="2021-05-31T16:28:00Z">
        <w:r>
          <w:rPr>
            <w:sz w:val="22"/>
            <w:szCs w:val="22"/>
            <w:lang w:val="en-GB"/>
          </w:rPr>
          <w:t>ed</w:t>
        </w:r>
      </w:ins>
      <w:del w:id="546" w:author="Schenk, Denis Elia (ARTORG)" w:date="2021-05-31T16:28:00Z">
        <w:r>
          <w:rPr>
            <w:sz w:val="22"/>
            <w:szCs w:val="22"/>
            <w:lang w:val="en-GB"/>
          </w:rPr>
          <w:delText>n</w:delText>
        </w:r>
      </w:del>
      <w:r>
        <w:rPr>
          <w:sz w:val="22"/>
          <w:szCs w:val="22"/>
          <w:lang w:val="en-GB"/>
        </w:rPr>
        <w:t xml:space="preserve"> that different anatomical locations lead to only slight differences. Comparing regression of </w:t>
      </w:r>
      <w:ins w:id="547" w:author="Schenk, Denis Elia (ARTORG)" w:date="2021-05-31T16:28:00Z">
        <w:r>
          <w:rPr>
            <w:sz w:val="22"/>
            <w:szCs w:val="22"/>
            <w:lang w:val="en-GB"/>
          </w:rPr>
          <w:t xml:space="preserve">the </w:t>
        </w:r>
      </w:ins>
      <w:r>
        <w:rPr>
          <w:sz w:val="22"/>
          <w:szCs w:val="22"/>
          <w:lang w:val="en-GB"/>
        </w:rPr>
        <w:t xml:space="preserve">filtered data set of [Panyasantisuk 2015] with the present study, the lower stiffness constants observed can be explained partially by the higher DA range and by the coarser resolution. Differences of </w:t>
      </w:r>
      <w:r>
        <w:rPr>
          <w:i/>
          <w:sz w:val="22"/>
          <w:szCs w:val="22"/>
          <w:lang w:val="en-GB"/>
        </w:rPr>
        <w:t>R</w:t>
      </w:r>
      <w:r>
        <w:rPr>
          <w:sz w:val="22"/>
          <w:szCs w:val="22"/>
          <w:vertAlign w:val="superscript"/>
          <w:lang w:val="en-GB"/>
        </w:rPr>
        <w:t>2</w:t>
      </w:r>
      <w:r>
        <w:rPr>
          <w:sz w:val="22"/>
          <w:szCs w:val="22"/>
          <w:vertAlign w:val="subscript"/>
          <w:lang w:val="en-GB"/>
        </w:rPr>
        <w:t>adj</w:t>
      </w:r>
      <w:r>
        <w:rPr>
          <w:sz w:val="22"/>
          <w:szCs w:val="22"/>
          <w:lang w:val="en-GB"/>
        </w:rPr>
        <w:t xml:space="preserve"> and </w:t>
      </w:r>
      <w:r>
        <w:rPr>
          <w:i/>
          <w:sz w:val="22"/>
          <w:szCs w:val="22"/>
          <w:lang w:val="en-GB"/>
        </w:rPr>
        <w:t>NE</w:t>
      </w:r>
      <w:r>
        <w:rPr>
          <w:sz w:val="22"/>
          <w:szCs w:val="22"/>
          <w:lang w:val="en-GB"/>
        </w:rPr>
        <w:t xml:space="preserve"> come from the imposition of </w:t>
      </w:r>
      <w:r>
        <w:rPr>
          <w:i/>
          <w:sz w:val="22"/>
          <w:szCs w:val="22"/>
          <w:lang w:val="en-GB"/>
        </w:rPr>
        <w:t>k</w:t>
      </w:r>
      <w:r>
        <w:rPr>
          <w:sz w:val="22"/>
          <w:szCs w:val="22"/>
          <w:lang w:val="en-GB"/>
        </w:rPr>
        <w:t xml:space="preserve"> and </w:t>
      </w:r>
      <w:r>
        <w:rPr>
          <w:i/>
          <w:sz w:val="22"/>
          <w:szCs w:val="22"/>
          <w:lang w:val="en-GB"/>
        </w:rPr>
        <w:t>l</w:t>
      </w:r>
      <w:r>
        <w:rPr>
          <w:sz w:val="22"/>
          <w:szCs w:val="22"/>
          <w:lang w:val="en-GB"/>
        </w:rPr>
        <w:t xml:space="preserve"> to a different value than the optimal ones. Then, comparing regression results of [Panyasantisuk 2015], [Gross 2013], and the present study, BV/TV ranges </w:t>
      </w:r>
      <w:del w:id="548" w:author="Schenk, Denis Elia (ARTORG)" w:date="2021-05-31T16:29:00Z">
        <w:r>
          <w:rPr>
            <w:sz w:val="22"/>
            <w:szCs w:val="22"/>
            <w:lang w:val="en-GB"/>
          </w:rPr>
          <w:delText>stay</w:delText>
        </w:r>
      </w:del>
      <w:r>
        <w:rPr>
          <w:sz w:val="22"/>
          <w:szCs w:val="22"/>
          <w:lang w:val="en-GB"/>
        </w:rPr>
        <w:t xml:space="preserve"> overlap</w:t>
      </w:r>
      <w:del w:id="549" w:author="Schenk, Denis Elia (ARTORG)" w:date="2021-05-31T16:29:00Z">
        <w:r>
          <w:rPr>
            <w:sz w:val="22"/>
            <w:szCs w:val="22"/>
            <w:lang w:val="en-GB"/>
          </w:rPr>
          <w:delText>ped</w:delText>
        </w:r>
      </w:del>
      <w:r>
        <w:rPr>
          <w:sz w:val="22"/>
          <w:szCs w:val="22"/>
          <w:lang w:val="en-GB"/>
        </w:rPr>
        <w:t>. As for</w:t>
      </w:r>
      <w:ins w:id="550" w:author="Schenk, Denis Elia (ARTORG)" w:date="2021-05-31T16:29:00Z">
        <w:r>
          <w:rPr>
            <w:sz w:val="22"/>
            <w:szCs w:val="22"/>
            <w:lang w:val="en-GB"/>
          </w:rPr>
          <w:t xml:space="preserve"> the</w:t>
        </w:r>
      </w:ins>
      <w:r>
        <w:rPr>
          <w:sz w:val="22"/>
          <w:szCs w:val="22"/>
          <w:lang w:val="en-GB"/>
        </w:rPr>
        <w:t xml:space="preserve"> filtered data sets, DA is higher in the present study and the stiffness constants remain lower than for the two other studies. Here, differences in DA can mainly be explained by the different anatomical location and differences in stiffness constants </w:t>
      </w:r>
      <w:ins w:id="551" w:author="Schenk, Denis Elia (ARTORG)" w:date="2021-05-31T16:30:00Z">
        <w:r>
          <w:rPr>
            <w:sz w:val="22"/>
            <w:szCs w:val="22"/>
            <w:lang w:val="en-GB"/>
          </w:rPr>
          <w:t xml:space="preserve">as a result of the different image </w:t>
        </w:r>
      </w:ins>
      <w:del w:id="552" w:author="Schenk, Denis Elia (ARTORG)" w:date="2021-05-31T16:30:00Z">
        <w:r>
          <w:rPr>
            <w:sz w:val="22"/>
            <w:szCs w:val="22"/>
            <w:lang w:val="en-GB"/>
          </w:rPr>
          <w:delText xml:space="preserve">by </w:delText>
        </w:r>
      </w:del>
      <w:r>
        <w:rPr>
          <w:sz w:val="22"/>
          <w:szCs w:val="22"/>
          <w:lang w:val="en-GB"/>
        </w:rPr>
        <w:t>resolution</w:t>
      </w:r>
      <w:ins w:id="553" w:author="Schenk, Denis Elia (ARTORG)" w:date="2021-05-31T16:30:00Z">
        <w:r>
          <w:rPr>
            <w:sz w:val="22"/>
            <w:szCs w:val="22"/>
            <w:lang w:val="en-GB"/>
          </w:rPr>
          <w:t>s</w:t>
        </w:r>
      </w:ins>
      <w:r>
        <w:rPr>
          <w:sz w:val="22"/>
          <w:szCs w:val="22"/>
          <w:lang w:val="en-GB"/>
        </w:rPr>
        <w:t xml:space="preserve">. </w:t>
      </w:r>
      <w:commentRangeStart w:id="77"/>
      <w:r>
        <w:rPr>
          <w:sz w:val="22"/>
          <w:szCs w:val="22"/>
          <w:lang w:val="en-GB"/>
        </w:rPr>
        <w:t>The distal tibia, unlike the proximal femur, is mainly loaded in one direction which explain</w:t>
      </w:r>
      <w:ins w:id="554" w:author="Schenk, Denis Elia (ARTORG)" w:date="2021-05-31T16:30:00Z">
        <w:r>
          <w:rPr>
            <w:sz w:val="22"/>
            <w:szCs w:val="22"/>
            <w:lang w:val="en-GB"/>
          </w:rPr>
          <w:t>s</w:t>
        </w:r>
      </w:ins>
      <w:r>
        <w:rPr>
          <w:sz w:val="22"/>
          <w:szCs w:val="22"/>
          <w:lang w:val="en-GB"/>
        </w:rPr>
        <w:t xml:space="preserve"> this increase of DA</w:t>
      </w:r>
      <w:r>
        <w:rPr>
          <w:sz w:val="22"/>
          <w:szCs w:val="22"/>
          <w:lang w:val="en-GB"/>
        </w:rPr>
      </w:r>
      <w:commentRangeEnd w:id="77"/>
      <w:r>
        <w:commentReference w:id="77"/>
      </w:r>
      <w:r>
        <w:rPr>
          <w:sz w:val="22"/>
          <w:szCs w:val="22"/>
          <w:lang w:val="en-GB"/>
        </w:rPr>
        <w:t xml:space="preserve">. </w:t>
      </w:r>
      <w:commentRangeStart w:id="78"/>
      <w:r>
        <w:rPr>
          <w:sz w:val="22"/>
          <w:szCs w:val="22"/>
          <w:lang w:val="en-GB"/>
        </w:rPr>
        <w:t>Lower stiffness constants are obtained because the coarser structure resulting from XCTII can</w:t>
      </w:r>
      <w:ins w:id="555" w:author="Schenk, Denis Elia (ARTORG)" w:date="2021-05-31T16:30:00Z">
        <w:r>
          <w:rPr>
            <w:sz w:val="22"/>
            <w:szCs w:val="22"/>
            <w:lang w:val="en-GB"/>
          </w:rPr>
          <w:t>’t</w:t>
        </w:r>
      </w:ins>
      <w:del w:id="556" w:author="Schenk, Denis Elia (ARTORG)" w:date="2021-05-31T16:30:00Z">
        <w:r>
          <w:rPr>
            <w:sz w:val="22"/>
            <w:szCs w:val="22"/>
            <w:lang w:val="en-GB"/>
          </w:rPr>
          <w:delText xml:space="preserve"> not</w:delText>
        </w:r>
      </w:del>
      <w:r>
        <w:rPr>
          <w:sz w:val="22"/>
          <w:szCs w:val="22"/>
          <w:lang w:val="en-GB"/>
        </w:rPr>
        <w:t xml:space="preserve"> be as optimized as the fine detailed structure obtained by </w:t>
      </w:r>
      <w:r>
        <w:rPr>
          <w:rFonts w:cs="Latin Modern Math" w:ascii="Latin Modern Math" w:hAnsi="Latin Modern Math"/>
          <w:sz w:val="22"/>
          <w:szCs w:val="22"/>
          <w:lang w:val="fr-CH"/>
        </w:rPr>
        <w:t>µ</w:t>
      </w:r>
      <w:r>
        <w:rPr>
          <w:sz w:val="22"/>
          <w:szCs w:val="22"/>
          <w:lang w:val="en-GB"/>
        </w:rPr>
        <w:t>CT</w:t>
      </w:r>
      <w:r>
        <w:rPr>
          <w:sz w:val="22"/>
          <w:szCs w:val="22"/>
          <w:lang w:val="en-GB"/>
        </w:rPr>
      </w:r>
      <w:commentRangeEnd w:id="78"/>
      <w:r>
        <w:commentReference w:id="78"/>
      </w:r>
      <w:r>
        <w:rPr>
          <w:sz w:val="22"/>
          <w:szCs w:val="22"/>
          <w:lang w:val="en-GB"/>
        </w:rPr>
        <w:t xml:space="preserve">. Effectively, the architecture resulting from </w:t>
      </w:r>
      <w:r>
        <w:rPr>
          <w:rFonts w:cs="Latin Modern Math" w:ascii="Latin Modern Math" w:hAnsi="Latin Modern Math"/>
          <w:sz w:val="22"/>
          <w:szCs w:val="22"/>
          <w:lang w:val="fr-CH"/>
        </w:rPr>
        <w:t>µ</w:t>
      </w:r>
      <w:r>
        <w:rPr>
          <w:sz w:val="22"/>
          <w:szCs w:val="22"/>
          <w:lang w:val="en-GB"/>
        </w:rPr>
        <w:t xml:space="preserve">CT scans can reproduce the optimized morphology of trabecular bone with a high fidelity. By decreasing the scan spatial resolution, the scanned structure becomes </w:t>
      </w:r>
      <w:del w:id="557" w:author="Schenk, Denis Elia (ARTORG)" w:date="2021-05-31T16:31:00Z">
        <w:r>
          <w:rPr>
            <w:sz w:val="22"/>
            <w:szCs w:val="22"/>
            <w:lang w:val="en-GB"/>
          </w:rPr>
          <w:delText>more bulky</w:delText>
        </w:r>
      </w:del>
      <w:ins w:id="558" w:author="Schenk, Denis Elia (ARTORG)" w:date="2021-05-31T16:31:00Z">
        <w:r>
          <w:rPr>
            <w:sz w:val="22"/>
            <w:szCs w:val="22"/>
            <w:lang w:val="en-GB"/>
          </w:rPr>
          <w:t>bulkier</w:t>
        </w:r>
      </w:ins>
      <w:r>
        <w:rPr>
          <w:sz w:val="22"/>
          <w:szCs w:val="22"/>
          <w:lang w:val="en-GB"/>
        </w:rPr>
        <w:t xml:space="preserve">. Performing a </w:t>
      </w:r>
      <w:commentRangeStart w:id="79"/>
      <w:r>
        <w:rPr>
          <w:sz w:val="22"/>
          <w:szCs w:val="22"/>
          <w:lang w:val="en-GB"/>
        </w:rPr>
        <w:t xml:space="preserve">fit </w:t>
      </w:r>
      <w:r>
        <w:rPr>
          <w:sz w:val="22"/>
          <w:szCs w:val="22"/>
          <w:lang w:val="en-GB"/>
        </w:rPr>
      </w:r>
      <w:commentRangeEnd w:id="79"/>
      <w:r>
        <w:commentReference w:id="79"/>
      </w:r>
      <w:r>
        <w:rPr>
          <w:sz w:val="22"/>
          <w:szCs w:val="22"/>
          <w:lang w:val="en-GB"/>
        </w:rPr>
        <w:t>on this less optimized structure lead</w:t>
      </w:r>
      <w:ins w:id="559" w:author="Schenk, Denis Elia (ARTORG)" w:date="2021-05-31T16:31:00Z">
        <w:r>
          <w:rPr>
            <w:sz w:val="22"/>
            <w:szCs w:val="22"/>
            <w:lang w:val="en-GB"/>
          </w:rPr>
          <w:t>s</w:t>
        </w:r>
      </w:ins>
      <w:r>
        <w:rPr>
          <w:sz w:val="22"/>
          <w:szCs w:val="22"/>
          <w:lang w:val="en-GB"/>
        </w:rPr>
        <w:t xml:space="preserve"> to the observed lower stiffness constants. Finally, the comparison between </w:t>
      </w:r>
      <w:r>
        <w:rPr>
          <w:i/>
          <w:sz w:val="22"/>
          <w:szCs w:val="22"/>
          <w:lang w:val="en-GB"/>
        </w:rPr>
        <w:t>R</w:t>
      </w:r>
      <w:r>
        <w:rPr>
          <w:sz w:val="22"/>
          <w:szCs w:val="22"/>
          <w:vertAlign w:val="superscript"/>
          <w:lang w:val="en-GB"/>
        </w:rPr>
        <w:t>2</w:t>
      </w:r>
      <w:r>
        <w:rPr>
          <w:sz w:val="22"/>
          <w:szCs w:val="22"/>
          <w:vertAlign w:val="subscript"/>
          <w:lang w:val="en-GB"/>
        </w:rPr>
        <w:t>adj</w:t>
      </w:r>
      <w:r>
        <w:rPr>
          <w:sz w:val="22"/>
          <w:szCs w:val="22"/>
          <w:lang w:val="en-GB"/>
        </w:rPr>
        <w:t xml:space="preserve"> and NE of current study without imposing </w:t>
      </w:r>
      <w:r>
        <w:rPr>
          <w:i/>
          <w:sz w:val="22"/>
          <w:szCs w:val="22"/>
          <w:lang w:val="en-GB"/>
        </w:rPr>
        <w:t>k</w:t>
      </w:r>
      <w:r>
        <w:rPr>
          <w:sz w:val="22"/>
          <w:szCs w:val="22"/>
          <w:lang w:val="en-GB"/>
        </w:rPr>
        <w:t xml:space="preserve"> and </w:t>
      </w:r>
      <w:r>
        <w:rPr>
          <w:i/>
          <w:sz w:val="22"/>
          <w:szCs w:val="22"/>
          <w:lang w:val="en-GB"/>
        </w:rPr>
        <w:t>l</w:t>
      </w:r>
      <w:r>
        <w:rPr>
          <w:sz w:val="22"/>
          <w:szCs w:val="22"/>
          <w:lang w:val="en-GB"/>
        </w:rPr>
        <w:t xml:space="preserve"> and the ones of [Panyasantisuk 2015] and </w:t>
      </w:r>
      <w:del w:id="560" w:author="Schenk, Denis Elia (ARTORG)" w:date="2021-05-31T16:32:00Z">
        <w:r>
          <w:rPr>
            <w:sz w:val="22"/>
            <w:szCs w:val="22"/>
            <w:lang w:val="en-GB"/>
          </w:rPr>
          <w:delText xml:space="preserve"> </w:delText>
        </w:r>
      </w:del>
      <w:r>
        <w:rPr>
          <w:sz w:val="22"/>
          <w:szCs w:val="22"/>
          <w:lang w:val="en-GB"/>
        </w:rPr>
        <w:t>[Gross 2013] show</w:t>
      </w:r>
      <w:ins w:id="561" w:author="Schenk, Denis Elia (ARTORG)" w:date="2021-05-31T16:32:00Z">
        <w:r>
          <w:rPr>
            <w:sz w:val="22"/>
            <w:szCs w:val="22"/>
            <w:lang w:val="en-GB"/>
          </w:rPr>
          <w:t>s</w:t>
        </w:r>
      </w:ins>
      <w:r>
        <w:rPr>
          <w:sz w:val="22"/>
          <w:szCs w:val="22"/>
          <w:lang w:val="en-GB"/>
        </w:rPr>
        <w:t xml:space="preserve"> that lower spatial resolution lead</w:t>
      </w:r>
      <w:ins w:id="562" w:author="Schenk, Denis Elia (ARTORG)" w:date="2021-05-31T16:32:00Z">
        <w:r>
          <w:rPr>
            <w:sz w:val="22"/>
            <w:szCs w:val="22"/>
            <w:lang w:val="en-GB"/>
          </w:rPr>
          <w:t>s</w:t>
        </w:r>
      </w:ins>
      <w:r>
        <w:rPr>
          <w:sz w:val="22"/>
          <w:szCs w:val="22"/>
          <w:lang w:val="en-GB"/>
        </w:rPr>
        <w:t xml:space="preserve"> to lower fit quality. Nevertheless, </w:t>
      </w:r>
      <w:r>
        <w:rPr>
          <w:i/>
          <w:sz w:val="22"/>
          <w:szCs w:val="22"/>
          <w:lang w:val="en-GB"/>
        </w:rPr>
        <w:t>l</w:t>
      </w:r>
      <w:r>
        <w:rPr>
          <w:sz w:val="22"/>
          <w:szCs w:val="22"/>
          <w:lang w:val="en-GB"/>
        </w:rPr>
        <w:t xml:space="preserve"> </w:t>
      </w:r>
      <w:del w:id="563" w:author="Schenk, Denis Elia (ARTORG)" w:date="2021-05-31T16:32:00Z">
        <w:r>
          <w:rPr>
            <w:sz w:val="22"/>
            <w:szCs w:val="22"/>
            <w:lang w:val="en-GB"/>
          </w:rPr>
          <w:delText xml:space="preserve">stands </w:delText>
        </w:r>
      </w:del>
      <w:ins w:id="564" w:author="Schenk, Denis Elia (ARTORG)" w:date="2021-05-31T16:32:00Z">
        <w:r>
          <w:rPr>
            <w:sz w:val="22"/>
            <w:szCs w:val="22"/>
            <w:lang w:val="en-GB"/>
          </w:rPr>
          <w:t xml:space="preserve">stays </w:t>
        </w:r>
      </w:ins>
      <w:r>
        <w:rPr>
          <w:sz w:val="22"/>
          <w:szCs w:val="22"/>
          <w:lang w:val="en-GB"/>
        </w:rPr>
        <w:t>in the same range as for the two other studies</w:t>
      </w:r>
      <w:ins w:id="565" w:author="Schenk, Denis Elia (ARTORG)" w:date="2021-05-31T16:32:00Z">
        <w:r>
          <w:rPr>
            <w:sz w:val="22"/>
            <w:szCs w:val="22"/>
            <w:lang w:val="en-GB"/>
          </w:rPr>
          <w:t>,</w:t>
        </w:r>
      </w:ins>
      <w:r>
        <w:rPr>
          <w:sz w:val="22"/>
          <w:szCs w:val="22"/>
          <w:lang w:val="en-GB"/>
        </w:rPr>
        <w:t xml:space="preserve"> meaning the relative weight of DA remains constant. On the other hand, the higher </w:t>
      </w:r>
      <w:r>
        <w:rPr>
          <w:i/>
          <w:sz w:val="22"/>
          <w:szCs w:val="22"/>
          <w:lang w:val="en-GB"/>
        </w:rPr>
        <w:t>k</w:t>
      </w:r>
      <w:r>
        <w:rPr>
          <w:sz w:val="22"/>
          <w:szCs w:val="22"/>
          <w:lang w:val="en-GB"/>
        </w:rPr>
        <w:t xml:space="preserve"> </w:t>
      </w:r>
      <w:del w:id="566" w:author="Schenk, Denis Elia (ARTORG)" w:date="2021-05-31T16:32:00Z">
        <w:r>
          <w:rPr>
            <w:sz w:val="22"/>
            <w:szCs w:val="22"/>
            <w:lang w:val="en-GB"/>
          </w:rPr>
          <w:delText>highlight</w:delText>
        </w:r>
      </w:del>
      <w:ins w:id="567" w:author="Schenk, Denis Elia (ARTORG)" w:date="2021-05-31T16:32:00Z">
        <w:r>
          <w:rPr>
            <w:sz w:val="22"/>
            <w:szCs w:val="22"/>
            <w:lang w:val="en-GB"/>
          </w:rPr>
          <w:t>highlights</w:t>
        </w:r>
      </w:ins>
      <w:r>
        <w:rPr>
          <w:sz w:val="22"/>
          <w:szCs w:val="22"/>
          <w:lang w:val="en-GB"/>
        </w:rPr>
        <w:t xml:space="preserve"> an increased relative weight of BV/TV.</w:t>
      </w:r>
    </w:p>
    <w:p>
      <w:pPr>
        <w:pStyle w:val="Normal"/>
        <w:tabs>
          <w:tab w:val="clear" w:pos="708"/>
          <w:tab w:val="left" w:pos="492" w:leader="none"/>
          <w:tab w:val="left" w:pos="2760" w:leader="none"/>
        </w:tabs>
        <w:jc w:val="both"/>
        <w:rPr>
          <w:sz w:val="22"/>
          <w:szCs w:val="22"/>
          <w:lang w:val="en-US"/>
        </w:rPr>
      </w:pPr>
      <w:r>
        <w:rPr>
          <w:sz w:val="22"/>
          <w:szCs w:val="22"/>
          <w:lang w:val="en-US"/>
        </w:rPr>
      </w:r>
    </w:p>
    <w:p>
      <w:pPr>
        <w:pStyle w:val="Normal"/>
        <w:tabs>
          <w:tab w:val="clear" w:pos="708"/>
          <w:tab w:val="left" w:pos="492" w:leader="none"/>
          <w:tab w:val="left" w:pos="2760" w:leader="none"/>
        </w:tabs>
        <w:jc w:val="both"/>
        <w:rPr>
          <w:sz w:val="22"/>
          <w:szCs w:val="22"/>
          <w:lang w:val="en-US"/>
        </w:rPr>
      </w:pPr>
      <w:r>
        <w:rPr>
          <w:sz w:val="22"/>
          <w:szCs w:val="22"/>
          <w:lang w:val="en-GB"/>
        </w:rPr>
        <w:t>The main limitations of this study are the definition of "homogeneous enough" and the fact that it is limited to tibiae XCTII scans. The ROI homogeneity has an important impact on the analysis quality. As proposed earlier, ROI homogeneity could be assessed in another way to be able to propose a more precise ROI filtering for fitting. More investigations could be performed to improve the model for highly heterogeneous ROIs</w:t>
      </w:r>
      <w:ins w:id="568" w:author="Schenk, Denis Elia (ARTORG)" w:date="2021-05-31T16:33:00Z">
        <w:r>
          <w:rPr>
            <w:sz w:val="22"/>
            <w:szCs w:val="22"/>
            <w:lang w:val="en-GB"/>
          </w:rPr>
          <w:t>,</w:t>
        </w:r>
      </w:ins>
      <w:r>
        <w:rPr>
          <w:sz w:val="22"/>
          <w:szCs w:val="22"/>
          <w:lang w:val="en-GB"/>
        </w:rPr>
        <w:t xml:space="preserve"> but as it concerns mainly ROI with low stiffness the impact on FEA models </w:t>
      </w:r>
      <w:commentRangeStart w:id="80"/>
      <w:r>
        <w:rPr>
          <w:sz w:val="22"/>
          <w:szCs w:val="22"/>
          <w:lang w:val="en-GB"/>
        </w:rPr>
        <w:t xml:space="preserve">can be </w:t>
      </w:r>
      <w:r>
        <w:rPr>
          <w:sz w:val="22"/>
          <w:szCs w:val="22"/>
          <w:lang w:val="en-GB"/>
        </w:rPr>
      </w:r>
      <w:commentRangeEnd w:id="80"/>
      <w:r>
        <w:commentReference w:id="80"/>
      </w:r>
      <w:r>
        <w:rPr>
          <w:sz w:val="22"/>
          <w:szCs w:val="22"/>
          <w:lang w:val="en-GB"/>
        </w:rPr>
        <w:t xml:space="preserve">negligible. </w:t>
      </w:r>
      <w:ins w:id="569" w:author="Schenk, Denis Elia (ARTORG)" w:date="2021-05-31T16:35:00Z">
        <w:r>
          <w:rPr>
            <w:sz w:val="22"/>
            <w:szCs w:val="22"/>
            <w:lang w:val="en-GB"/>
          </w:rPr>
          <w:t>A s</w:t>
        </w:r>
      </w:ins>
      <w:del w:id="570" w:author="Schenk, Denis Elia (ARTORG)" w:date="2021-05-31T16:35:00Z">
        <w:r>
          <w:rPr>
            <w:sz w:val="22"/>
            <w:szCs w:val="22"/>
            <w:lang w:val="en-GB"/>
          </w:rPr>
          <w:delText>S</w:delText>
        </w:r>
      </w:del>
      <w:r>
        <w:rPr>
          <w:sz w:val="22"/>
          <w:szCs w:val="22"/>
          <w:lang w:val="en-GB"/>
        </w:rPr>
        <w:t xml:space="preserve">imilar study could be performed </w:t>
      </w:r>
      <w:del w:id="571" w:author="Schenk, Denis Elia (ARTORG)" w:date="2021-05-31T16:35:00Z">
        <w:r>
          <w:rPr>
            <w:sz w:val="22"/>
            <w:szCs w:val="22"/>
            <w:lang w:val="en-GB"/>
          </w:rPr>
          <w:delText xml:space="preserve">using </w:delText>
        </w:r>
      </w:del>
      <w:ins w:id="572" w:author="Schenk, Denis Elia (ARTORG)" w:date="2021-05-31T16:35:00Z">
        <w:r>
          <w:rPr>
            <w:sz w:val="22"/>
            <w:szCs w:val="22"/>
            <w:lang w:val="en-GB"/>
          </w:rPr>
          <w:t xml:space="preserve">on </w:t>
        </w:r>
      </w:ins>
      <w:r>
        <w:rPr>
          <w:sz w:val="22"/>
          <w:szCs w:val="22"/>
          <w:lang w:val="en-GB"/>
        </w:rPr>
        <w:t>XCTII radii scans to confirm the low differences between anatomical locations for coarser resolution.</w:t>
      </w:r>
    </w:p>
    <w:p>
      <w:pPr>
        <w:pStyle w:val="Normal"/>
        <w:tabs>
          <w:tab w:val="clear" w:pos="708"/>
          <w:tab w:val="left" w:pos="492" w:leader="none"/>
          <w:tab w:val="left" w:pos="2760" w:leader="none"/>
        </w:tabs>
        <w:jc w:val="both"/>
        <w:rPr>
          <w:sz w:val="22"/>
          <w:szCs w:val="22"/>
          <w:lang w:val="en-US"/>
        </w:rPr>
      </w:pPr>
      <w:r>
        <w:rPr>
          <w:sz w:val="22"/>
          <w:szCs w:val="22"/>
          <w:lang w:val="en-US"/>
        </w:rPr>
      </w:r>
    </w:p>
    <w:p>
      <w:pPr>
        <w:pStyle w:val="Normal"/>
        <w:tabs>
          <w:tab w:val="clear" w:pos="708"/>
          <w:tab w:val="left" w:pos="492" w:leader="none"/>
          <w:tab w:val="left" w:pos="2760" w:leader="none"/>
        </w:tabs>
        <w:jc w:val="both"/>
        <w:rPr>
          <w:sz w:val="22"/>
          <w:szCs w:val="22"/>
          <w:lang w:val="en-US"/>
        </w:rPr>
      </w:pPr>
      <w:r>
        <w:rPr>
          <w:sz w:val="22"/>
          <w:szCs w:val="22"/>
          <w:lang w:val="en-GB"/>
        </w:rPr>
        <w:t>In conclusions, the sample</w:t>
      </w:r>
      <w:ins w:id="573" w:author="Schenk, Denis Elia (ARTORG)" w:date="2021-05-31T16:36:00Z">
        <w:r>
          <w:rPr>
            <w:sz w:val="22"/>
            <w:szCs w:val="22"/>
            <w:lang w:val="en-GB"/>
          </w:rPr>
          <w:t>s</w:t>
        </w:r>
      </w:ins>
      <w:r>
        <w:rPr>
          <w:sz w:val="22"/>
          <w:szCs w:val="22"/>
          <w:lang w:val="en-GB"/>
        </w:rPr>
        <w:t xml:space="preserve"> </w:t>
      </w:r>
      <w:del w:id="574" w:author="Schenk, Denis Elia (ARTORG)" w:date="2021-05-31T16:36:00Z">
        <w:r>
          <w:rPr>
            <w:sz w:val="22"/>
            <w:szCs w:val="22"/>
            <w:lang w:val="en-GB"/>
          </w:rPr>
          <w:delText>analyzed</w:delText>
        </w:r>
      </w:del>
      <w:ins w:id="575" w:author="Schenk, Denis Elia (ARTORG)" w:date="2021-05-31T16:36:00Z">
        <w:r>
          <w:rPr>
            <w:sz w:val="22"/>
            <w:szCs w:val="22"/>
            <w:lang w:val="en-GB"/>
          </w:rPr>
          <w:t>analysed</w:t>
        </w:r>
      </w:ins>
      <w:r>
        <w:rPr>
          <w:sz w:val="22"/>
          <w:szCs w:val="22"/>
          <w:lang w:val="en-GB"/>
        </w:rPr>
        <w:t xml:space="preserve"> in the </w:t>
      </w:r>
      <w:del w:id="576" w:author="Schenk, Denis Elia (ARTORG)" w:date="2021-05-31T16:36:00Z">
        <w:r>
          <w:rPr>
            <w:sz w:val="22"/>
            <w:szCs w:val="22"/>
            <w:lang w:val="en-GB"/>
          </w:rPr>
          <w:delText xml:space="preserve">this </w:delText>
        </w:r>
      </w:del>
      <w:ins w:id="577" w:author="Schenk, Denis Elia (ARTORG)" w:date="2021-05-31T16:36:00Z">
        <w:r>
          <w:rPr>
            <w:sz w:val="22"/>
            <w:szCs w:val="22"/>
            <w:lang w:val="en-GB"/>
          </w:rPr>
          <w:t xml:space="preserve">present </w:t>
        </w:r>
      </w:ins>
      <w:r>
        <w:rPr>
          <w:sz w:val="22"/>
          <w:szCs w:val="22"/>
          <w:lang w:val="en-GB"/>
        </w:rPr>
        <w:t xml:space="preserve">study </w:t>
      </w:r>
      <w:del w:id="578" w:author="Schenk, Denis Elia (ARTORG)" w:date="2021-05-31T16:36:00Z">
        <w:r>
          <w:rPr>
            <w:sz w:val="22"/>
            <w:szCs w:val="22"/>
            <w:lang w:val="en-GB"/>
          </w:rPr>
          <w:delText xml:space="preserve">have </w:delText>
        </w:r>
      </w:del>
      <w:ins w:id="579" w:author="Schenk, Denis Elia (ARTORG)" w:date="2021-05-31T16:36:00Z">
        <w:r>
          <w:rPr>
            <w:sz w:val="22"/>
            <w:szCs w:val="22"/>
            <w:lang w:val="en-GB"/>
          </w:rPr>
          <w:t xml:space="preserve">had </w:t>
        </w:r>
      </w:ins>
      <w:r>
        <w:rPr>
          <w:sz w:val="22"/>
          <w:szCs w:val="22"/>
          <w:lang w:val="en-GB"/>
        </w:rPr>
        <w:t xml:space="preserve">similar morphology </w:t>
      </w:r>
      <w:del w:id="580" w:author="Schenk, Denis Elia (ARTORG)" w:date="2021-05-31T16:36:00Z">
        <w:r>
          <w:rPr>
            <w:sz w:val="22"/>
            <w:szCs w:val="22"/>
            <w:lang w:val="en-GB"/>
          </w:rPr>
          <w:delText xml:space="preserve">that </w:delText>
        </w:r>
      </w:del>
      <w:ins w:id="581" w:author="Schenk, Denis Elia (ARTORG)" w:date="2021-05-31T16:36:00Z">
        <w:r>
          <w:rPr>
            <w:sz w:val="22"/>
            <w:szCs w:val="22"/>
            <w:lang w:val="en-GB"/>
          </w:rPr>
          <w:t xml:space="preserve">compared to </w:t>
        </w:r>
      </w:ins>
      <w:r>
        <w:rPr>
          <w:sz w:val="22"/>
          <w:szCs w:val="22"/>
          <w:lang w:val="en-GB"/>
        </w:rPr>
        <w:t xml:space="preserve">data reported in the literature. We </w:t>
      </w:r>
      <w:del w:id="582" w:author="Schenk, Denis Elia (ARTORG)" w:date="2021-05-31T16:36:00Z">
        <w:r>
          <w:rPr>
            <w:sz w:val="22"/>
            <w:szCs w:val="22"/>
            <w:lang w:val="en-GB"/>
          </w:rPr>
          <w:delText xml:space="preserve">find </w:delText>
        </w:r>
      </w:del>
      <w:ins w:id="583" w:author="Schenk, Denis Elia (ARTORG)" w:date="2021-05-31T16:36:00Z">
        <w:r>
          <w:rPr>
            <w:sz w:val="22"/>
            <w:szCs w:val="22"/>
            <w:lang w:val="en-GB"/>
          </w:rPr>
          <w:t xml:space="preserve">couln’t find </w:t>
        </w:r>
      </w:ins>
      <w:del w:id="584" w:author="Schenk, Denis Elia (ARTORG)" w:date="2021-05-31T16:36:00Z">
        <w:r>
          <w:rPr>
            <w:sz w:val="22"/>
            <w:szCs w:val="22"/>
            <w:lang w:val="en-GB"/>
          </w:rPr>
          <w:delText xml:space="preserve">no </w:delText>
        </w:r>
      </w:del>
      <w:r>
        <w:rPr>
          <w:sz w:val="22"/>
          <w:szCs w:val="22"/>
          <w:lang w:val="en-GB"/>
        </w:rPr>
        <w:t>differences in fabric-elasticity relationships between healthy and OI trabecular bone</w:t>
      </w:r>
      <w:ins w:id="585" w:author="Schenk, Denis Elia (ARTORG)" w:date="2021-05-31T16:36:00Z">
        <w:r>
          <w:rPr>
            <w:sz w:val="22"/>
            <w:szCs w:val="22"/>
            <w:lang w:val="en-GB"/>
          </w:rPr>
          <w:t>,</w:t>
        </w:r>
      </w:ins>
      <w:r>
        <w:rPr>
          <w:sz w:val="22"/>
          <w:szCs w:val="22"/>
          <w:lang w:val="en-GB"/>
        </w:rPr>
        <w:t xml:space="preserve"> </w:t>
      </w:r>
      <w:del w:id="586" w:author="Schenk, Denis Elia (ARTORG)" w:date="2021-05-31T16:36:00Z">
        <w:r>
          <w:rPr>
            <w:sz w:val="22"/>
            <w:szCs w:val="22"/>
            <w:lang w:val="en-GB"/>
          </w:rPr>
          <w:delText xml:space="preserve">if </w:delText>
        </w:r>
      </w:del>
      <w:ins w:id="587" w:author="Schenk, Denis Elia (ARTORG)" w:date="2021-05-31T16:36:00Z">
        <w:r>
          <w:rPr>
            <w:sz w:val="22"/>
            <w:szCs w:val="22"/>
            <w:lang w:val="en-GB"/>
          </w:rPr>
          <w:t xml:space="preserve">when </w:t>
        </w:r>
      </w:ins>
      <w:r>
        <w:rPr>
          <w:sz w:val="22"/>
          <w:szCs w:val="22"/>
          <w:lang w:val="en-GB"/>
        </w:rPr>
        <w:t>the ROI</w:t>
      </w:r>
      <w:ins w:id="588" w:author="Schenk, Denis Elia (ARTORG)" w:date="2021-05-31T16:36:00Z">
        <w:r>
          <w:rPr>
            <w:sz w:val="22"/>
            <w:szCs w:val="22"/>
            <w:lang w:val="en-GB"/>
          </w:rPr>
          <w:t>s</w:t>
        </w:r>
      </w:ins>
      <w:r>
        <w:rPr>
          <w:sz w:val="22"/>
          <w:szCs w:val="22"/>
          <w:lang w:val="en-GB"/>
        </w:rPr>
        <w:t xml:space="preserve"> </w:t>
      </w:r>
      <w:del w:id="589" w:author="Schenk, Denis Elia (ARTORG)" w:date="2021-05-31T16:36:00Z">
        <w:r>
          <w:rPr>
            <w:sz w:val="22"/>
            <w:szCs w:val="22"/>
            <w:lang w:val="en-GB"/>
          </w:rPr>
          <w:delText xml:space="preserve">is </w:delText>
        </w:r>
      </w:del>
      <w:ins w:id="590" w:author="Schenk, Denis Elia (ARTORG)" w:date="2021-05-31T16:36:00Z">
        <w:r>
          <w:rPr>
            <w:sz w:val="22"/>
            <w:szCs w:val="22"/>
            <w:lang w:val="en-GB"/>
          </w:rPr>
          <w:t xml:space="preserve">were </w:t>
        </w:r>
      </w:ins>
      <w:commentRangeStart w:id="81"/>
      <w:r>
        <w:rPr>
          <w:sz w:val="22"/>
          <w:szCs w:val="22"/>
          <w:lang w:val="en-GB"/>
        </w:rPr>
        <w:t>homogeneous enough</w:t>
      </w:r>
      <w:r>
        <w:rPr>
          <w:sz w:val="22"/>
          <w:szCs w:val="22"/>
          <w:lang w:val="en-GB"/>
        </w:rPr>
      </w:r>
      <w:commentRangeEnd w:id="81"/>
      <w:r>
        <w:commentReference w:id="81"/>
      </w:r>
      <w:r>
        <w:rPr>
          <w:sz w:val="22"/>
          <w:szCs w:val="22"/>
          <w:lang w:val="en-GB"/>
        </w:rPr>
        <w:t xml:space="preserve">. [Indermaur 2021] </w:t>
      </w:r>
      <w:del w:id="591" w:author="Schenk, Denis Elia (ARTORG)" w:date="2021-05-31T16:39:00Z">
        <w:r>
          <w:rPr>
            <w:sz w:val="22"/>
            <w:szCs w:val="22"/>
            <w:lang w:val="en-GB"/>
          </w:rPr>
          <w:delText xml:space="preserve">shown </w:delText>
        </w:r>
      </w:del>
      <w:ins w:id="592" w:author="Schenk, Denis Elia (ARTORG)" w:date="2021-05-31T16:39:00Z">
        <w:r>
          <w:rPr>
            <w:sz w:val="22"/>
            <w:szCs w:val="22"/>
            <w:lang w:val="en-GB"/>
          </w:rPr>
          <w:t xml:space="preserve">could show </w:t>
        </w:r>
      </w:ins>
      <w:r>
        <w:rPr>
          <w:sz w:val="22"/>
          <w:szCs w:val="22"/>
          <w:lang w:val="en-GB"/>
        </w:rPr>
        <w:t xml:space="preserve">that </w:t>
      </w:r>
      <w:ins w:id="593" w:author="Schenk, Denis Elia (ARTORG)" w:date="2021-05-31T16:39:00Z">
        <w:r>
          <w:rPr>
            <w:sz w:val="22"/>
            <w:szCs w:val="22"/>
            <w:lang w:val="en-GB"/>
          </w:rPr>
          <w:t xml:space="preserve">the </w:t>
        </w:r>
      </w:ins>
      <w:r>
        <w:rPr>
          <w:sz w:val="22"/>
          <w:szCs w:val="22"/>
          <w:lang w:val="en-GB"/>
        </w:rPr>
        <w:t xml:space="preserve">compressive </w:t>
      </w:r>
      <w:del w:id="594" w:author="Schenk, Denis Elia (ARTORG)" w:date="2021-05-31T16:39:00Z">
        <w:r>
          <w:rPr>
            <w:sz w:val="22"/>
            <w:szCs w:val="22"/>
            <w:lang w:val="en-GB"/>
          </w:rPr>
          <w:delText>behavior</w:delText>
        </w:r>
      </w:del>
      <w:ins w:id="595" w:author="Schenk, Denis Elia (ARTORG)" w:date="2021-05-31T16:39:00Z">
        <w:r>
          <w:rPr>
            <w:sz w:val="22"/>
            <w:szCs w:val="22"/>
            <w:lang w:val="en-GB"/>
          </w:rPr>
          <w:t>behaviour</w:t>
        </w:r>
      </w:ins>
      <w:r>
        <w:rPr>
          <w:sz w:val="22"/>
          <w:szCs w:val="22"/>
          <w:lang w:val="en-GB"/>
        </w:rPr>
        <w:t xml:space="preserve"> of OI bone tissue is similar to </w:t>
      </w:r>
      <w:ins w:id="596" w:author="Schenk, Denis Elia (ARTORG)" w:date="2021-05-31T16:39:00Z">
        <w:r>
          <w:rPr>
            <w:sz w:val="22"/>
            <w:szCs w:val="22"/>
            <w:lang w:val="en-GB"/>
          </w:rPr>
          <w:t>the one o</w:t>
        </w:r>
      </w:ins>
      <w:ins w:id="597" w:author="Schenk, Denis Elia (ARTORG)" w:date="2021-05-31T16:40:00Z">
        <w:r>
          <w:rPr>
            <w:sz w:val="22"/>
            <w:szCs w:val="22"/>
            <w:lang w:val="en-GB"/>
          </w:rPr>
          <w:t xml:space="preserve">f </w:t>
        </w:r>
      </w:ins>
      <w:commentRangeStart w:id="82"/>
      <w:r>
        <w:rPr>
          <w:sz w:val="22"/>
          <w:szCs w:val="22"/>
          <w:lang w:val="en-GB"/>
        </w:rPr>
        <w:t xml:space="preserve">healthy control. </w:t>
      </w:r>
      <w:r>
        <w:rPr>
          <w:sz w:val="22"/>
          <w:szCs w:val="22"/>
          <w:lang w:val="en-GB"/>
        </w:rPr>
      </w:r>
      <w:commentRangeEnd w:id="82"/>
      <w:r>
        <w:commentReference w:id="82"/>
      </w:r>
      <w:r>
        <w:rPr>
          <w:sz w:val="22"/>
          <w:szCs w:val="22"/>
          <w:lang w:val="en-GB"/>
        </w:rPr>
        <w:t xml:space="preserve">If </w:t>
      </w:r>
      <w:ins w:id="598" w:author="Schenk, Denis Elia (ARTORG)" w:date="2021-05-31T16:40:00Z">
        <w:r>
          <w:rPr>
            <w:sz w:val="22"/>
            <w:szCs w:val="22"/>
            <w:lang w:val="en-GB"/>
          </w:rPr>
          <w:t xml:space="preserve">the </w:t>
        </w:r>
      </w:ins>
      <w:r>
        <w:rPr>
          <w:sz w:val="22"/>
          <w:szCs w:val="22"/>
          <w:lang w:val="en-GB"/>
        </w:rPr>
        <w:t xml:space="preserve">tensile and shearing </w:t>
      </w:r>
      <w:del w:id="599" w:author="Schenk, Denis Elia (ARTORG)" w:date="2021-05-31T16:40:00Z">
        <w:r>
          <w:rPr>
            <w:sz w:val="22"/>
            <w:szCs w:val="22"/>
            <w:lang w:val="en-GB"/>
          </w:rPr>
          <w:delText>behaviors</w:delText>
        </w:r>
      </w:del>
      <w:ins w:id="600" w:author="Schenk, Denis Elia (ARTORG)" w:date="2021-05-31T16:40:00Z">
        <w:r>
          <w:rPr>
            <w:sz w:val="22"/>
            <w:szCs w:val="22"/>
            <w:lang w:val="en-GB"/>
          </w:rPr>
          <w:t>behaviour</w:t>
        </w:r>
      </w:ins>
      <w:r>
        <w:rPr>
          <w:sz w:val="22"/>
          <w:szCs w:val="22"/>
          <w:lang w:val="en-GB"/>
        </w:rPr>
        <w:t xml:space="preserve"> </w:t>
      </w:r>
      <w:del w:id="601" w:author="Schenk, Denis Elia (ARTORG)" w:date="2021-05-31T16:40:00Z">
        <w:r>
          <w:rPr>
            <w:sz w:val="22"/>
            <w:szCs w:val="22"/>
            <w:lang w:val="en-GB"/>
          </w:rPr>
          <w:delText>agree</w:delText>
        </w:r>
      </w:del>
      <w:ins w:id="602" w:author="Schenk, Denis Elia (ARTORG)" w:date="2021-05-31T16:40:00Z">
        <w:r>
          <w:rPr>
            <w:sz w:val="22"/>
            <w:szCs w:val="22"/>
            <w:lang w:val="en-GB"/>
          </w:rPr>
          <w:t>is similar as well</w:t>
        </w:r>
      </w:ins>
      <w:r>
        <w:rPr>
          <w:sz w:val="22"/>
          <w:szCs w:val="22"/>
          <w:lang w:val="en-GB"/>
        </w:rPr>
        <w:t xml:space="preserve">, fabric-strength relationships will hold too. Therefore, OI bone fragility might mostly result from the decrease in BV/TV and </w:t>
      </w:r>
      <w:ins w:id="603" w:author="Schenk, Denis Elia (ARTORG)" w:date="2021-05-31T16:39:00Z">
        <w:r>
          <w:rPr>
            <w:sz w:val="22"/>
            <w:szCs w:val="22"/>
            <w:lang w:val="en-GB"/>
          </w:rPr>
          <w:t xml:space="preserve">the </w:t>
        </w:r>
      </w:ins>
      <w:r>
        <w:rPr>
          <w:sz w:val="22"/>
          <w:szCs w:val="22"/>
          <w:lang w:val="en-GB"/>
        </w:rPr>
        <w:t>loss of homogeneity in its organization.</w:t>
      </w:r>
    </w:p>
    <w:p>
      <w:pPr>
        <w:pStyle w:val="Normal"/>
        <w:tabs>
          <w:tab w:val="clear" w:pos="708"/>
          <w:tab w:val="left" w:pos="492" w:leader="none"/>
          <w:tab w:val="left" w:pos="2760" w:leader="none"/>
        </w:tabs>
        <w:jc w:val="both"/>
        <w:rPr>
          <w:lang w:val="en-US"/>
        </w:rPr>
      </w:pPr>
      <w:r>
        <w:rPr>
          <w:lang w:val="en-US"/>
        </w:rPr>
      </w:r>
    </w:p>
    <w:p>
      <w:pPr>
        <w:pStyle w:val="Normal"/>
        <w:tabs>
          <w:tab w:val="clear" w:pos="708"/>
          <w:tab w:val="left" w:pos="492" w:leader="none"/>
          <w:tab w:val="left" w:pos="2760" w:leader="none"/>
        </w:tabs>
        <w:jc w:val="both"/>
        <w:rPr>
          <w:lang w:val="en-US"/>
        </w:rPr>
      </w:pPr>
      <w:r>
        <w:rPr>
          <w:lang w:val="en-US"/>
        </w:rPr>
      </w:r>
    </w:p>
    <w:p>
      <w:pPr>
        <w:pStyle w:val="Normal"/>
        <w:tabs>
          <w:tab w:val="clear" w:pos="708"/>
          <w:tab w:val="left" w:pos="492" w:leader="none"/>
          <w:tab w:val="left" w:pos="2760" w:leader="none"/>
        </w:tabs>
        <w:jc w:val="both"/>
        <w:rPr>
          <w:lang w:val="en-US"/>
        </w:rPr>
      </w:pPr>
      <w:r>
        <w:rPr>
          <w:b/>
          <w:lang w:val="en-GB"/>
        </w:rPr>
        <w:t>Acknowledgements</w:t>
      </w:r>
    </w:p>
    <w:p>
      <w:pPr>
        <w:pStyle w:val="Normal"/>
        <w:tabs>
          <w:tab w:val="clear" w:pos="708"/>
          <w:tab w:val="left" w:pos="492" w:leader="none"/>
          <w:tab w:val="left" w:pos="2760" w:leader="none"/>
        </w:tabs>
        <w:jc w:val="both"/>
        <w:rPr>
          <w:lang w:val="en-US"/>
        </w:rPr>
      </w:pPr>
      <w:r>
        <w:rPr>
          <w:sz w:val="16"/>
          <w:lang w:val="en-GB"/>
        </w:rPr>
        <w:t>The authors acknowledge Christina Wapp from the ARTORG Center for Biomedical Engineering Research for her contribution to the building and interpretation of linear mixed-effect model and Mereo BioPharma for sharing the tibia XCTII scans of OI individuals. This work was internally funded by the ARTORG Center for Biomedical Engineering Research and Mereo BioPharma.</w:t>
      </w:r>
    </w:p>
    <w:p>
      <w:pPr>
        <w:pStyle w:val="Normal"/>
        <w:jc w:val="both"/>
        <w:rPr/>
      </w:pPr>
      <w:r>
        <w:rPr>
          <w:lang w:val="en-GB"/>
        </w:rPr>
        <w:t>References</w:t>
      </w:r>
    </w:p>
    <w:p>
      <w:pPr>
        <w:pStyle w:val="Normal"/>
        <w:jc w:val="both"/>
        <w:rPr/>
      </w:pPr>
      <w:r>
        <w:rPr/>
      </w:r>
    </w:p>
    <w:p>
      <w:pPr>
        <w:pStyle w:val="Normal"/>
        <w:numPr>
          <w:ilvl w:val="0"/>
          <w:numId w:val="1"/>
        </w:numPr>
        <w:ind w:left="360" w:hanging="360"/>
        <w:jc w:val="both"/>
        <w:rPr>
          <w:lang w:val="en-US"/>
        </w:rPr>
      </w:pPr>
      <w:r>
        <w:rPr/>
        <w:tab/>
      </w:r>
      <w:r>
        <w:rPr>
          <w:sz w:val="16"/>
        </w:rPr>
        <w:t xml:space="preserve">Agarwal, S., Rosete, F., Zhang, C., McMahon, D.J., Guo, X.E., Shane, E., Nishiyama, K.K., 2016. </w:t>
      </w:r>
      <w:r>
        <w:rPr>
          <w:sz w:val="16"/>
          <w:lang w:val="en-GB"/>
        </w:rPr>
        <w:t>In vivo assessment of bone structure and estimated bone strength by first- and second-generation HR-pQCT. Osteoporosis International 27, 2955–2966. URL: http://dx.doi.org/10.1007/s00198-016-3621-8, doi:10.1007/s00198-016-3621-8.</w:t>
      </w:r>
    </w:p>
    <w:p>
      <w:pPr>
        <w:pStyle w:val="Normal"/>
        <w:numPr>
          <w:ilvl w:val="0"/>
          <w:numId w:val="1"/>
        </w:numPr>
        <w:ind w:left="360" w:hanging="360"/>
        <w:jc w:val="both"/>
        <w:rPr/>
      </w:pPr>
      <w:r>
        <w:rPr>
          <w:sz w:val="16"/>
          <w:lang w:val="en-GB"/>
        </w:rPr>
        <w:tab/>
        <w:t>Arias-Moreno, A.J., Hosseini, H.S., Bevers, M., Ito, K., Zysset, P., van Rietbergen, B., 2019. Validation of distal radius failure load predictions by homogenized- and micro-finite element analyses based on second-generation high-resolution peripheral quantitative CT images. Osteoporosis International 30, 1433–1443. doi:10.1007/s00198-019-04935-6.</w:t>
      </w:r>
    </w:p>
    <w:p>
      <w:pPr>
        <w:pStyle w:val="Normal"/>
        <w:numPr>
          <w:ilvl w:val="0"/>
          <w:numId w:val="1"/>
        </w:numPr>
        <w:ind w:left="360" w:hanging="360"/>
        <w:jc w:val="both"/>
        <w:rPr/>
      </w:pPr>
      <w:r>
        <w:rPr>
          <w:sz w:val="16"/>
          <w:lang w:val="en-GB"/>
        </w:rPr>
        <w:tab/>
        <w:t>Boutroy, S., Bouxsein, M.L., Munoz, F., Delmas, P.D., 2005. In vivo assessment of trabecular bone microarchitecture by high-resolution peripheral quantitative computed tomography. Journal of Clinical Endocrinology and Metabolism 90, 6508–6515. doi:10.1210/jc. 2005-1258.</w:t>
      </w:r>
    </w:p>
    <w:p>
      <w:pPr>
        <w:pStyle w:val="Normal"/>
        <w:numPr>
          <w:ilvl w:val="0"/>
          <w:numId w:val="1"/>
        </w:numPr>
        <w:ind w:left="360" w:hanging="360"/>
        <w:jc w:val="both"/>
        <w:rPr/>
      </w:pPr>
      <w:r>
        <w:rPr>
          <w:sz w:val="16"/>
          <w:lang w:val="en-GB"/>
        </w:rPr>
        <w:tab/>
        <w:t>Boutroy, S., Van Rietbergen, B., Sornay-Rendu, E., Munoz, F., Bouxsein, M.L., Delmas, P.D., 2008. Finite element analysis based on in vivo HR-pQCT images of the distal radius is associated with wrist fracture in postmenopausal women. Journal of Bone and Mineral Research 23, 392–399. doi:10.1359/jbmr.071108.</w:t>
      </w:r>
    </w:p>
    <w:p>
      <w:pPr>
        <w:pStyle w:val="Normal"/>
        <w:numPr>
          <w:ilvl w:val="0"/>
          <w:numId w:val="1"/>
        </w:numPr>
        <w:ind w:left="360" w:hanging="360"/>
        <w:jc w:val="both"/>
        <w:rPr/>
      </w:pPr>
      <w:r>
        <w:rPr>
          <w:sz w:val="16"/>
          <w:lang w:val="en-GB"/>
        </w:rPr>
        <w:tab/>
        <w:t>Cowin, S.C., 1985. The relationship between the elasticity tensor and the fabric tensor. Mechanics of Materials 4, 137–147. doi:https://doi.org/10.1016/0167-6636(85)90012-2.</w:t>
      </w:r>
    </w:p>
    <w:p>
      <w:pPr>
        <w:pStyle w:val="Normal"/>
        <w:numPr>
          <w:ilvl w:val="0"/>
          <w:numId w:val="1"/>
        </w:numPr>
        <w:ind w:left="360" w:hanging="360"/>
        <w:jc w:val="both"/>
        <w:rPr/>
      </w:pPr>
      <w:r>
        <w:rPr>
          <w:sz w:val="16"/>
        </w:rPr>
        <w:tab/>
        <w:t xml:space="preserve">Daszkiewicz, K., Maquer, G., Zysset, P.K., 2017. </w:t>
      </w:r>
      <w:r>
        <w:rPr>
          <w:sz w:val="16"/>
          <w:lang w:val="en-GB"/>
        </w:rPr>
        <w:t>The effective elastic properties of human trabecular bone may be approximated using micro-finite element analyses of embedded volume elements. Biomechanics and Modeling in Mechanobiology 16, 731–742. doi:10.1007/s10237-016-0849-3.</w:t>
      </w:r>
    </w:p>
    <w:p>
      <w:pPr>
        <w:pStyle w:val="Normal"/>
        <w:numPr>
          <w:ilvl w:val="0"/>
          <w:numId w:val="1"/>
        </w:numPr>
        <w:ind w:left="360" w:hanging="360"/>
        <w:jc w:val="both"/>
        <w:rPr/>
      </w:pPr>
      <w:r>
        <w:rPr>
          <w:sz w:val="16"/>
        </w:rPr>
        <w:tab/>
        <w:t xml:space="preserve">Folkestad, L., Hald, J.D., Hansen, S., Gram, J., Langdahl, B., Abrahamsen, B., Brixen, K., 2012. </w:t>
      </w:r>
      <w:r>
        <w:rPr>
          <w:sz w:val="16"/>
          <w:lang w:val="en-GB"/>
        </w:rPr>
        <w:t>Bone geometry, density, and microarchitecture in the distal radius and tibia in adults with osteogenesis imperfecta type i assessed by high-resolution pQCT. Journal of Bone and Mineral Research 27, 1405–1412. doi:10.1002/jbmr.1592.</w:t>
      </w:r>
    </w:p>
    <w:p>
      <w:pPr>
        <w:pStyle w:val="Normal"/>
        <w:numPr>
          <w:ilvl w:val="0"/>
          <w:numId w:val="1"/>
        </w:numPr>
        <w:ind w:left="360" w:hanging="360"/>
        <w:jc w:val="both"/>
        <w:rPr>
          <w:lang w:val="en-US"/>
        </w:rPr>
      </w:pPr>
      <w:r>
        <w:rPr>
          <w:sz w:val="16"/>
          <w:lang w:val="en-GB"/>
        </w:rPr>
        <w:tab/>
        <w:t>Fox, J., 2016. Fox, Applied Regressions Analysis and Linear Models. URL: https://us.sagepub.com/en-us/nam/applied-regression-analysis-and-generalized-linear-models/book237254.</w:t>
      </w:r>
    </w:p>
    <w:p>
      <w:pPr>
        <w:pStyle w:val="Normal"/>
        <w:numPr>
          <w:ilvl w:val="0"/>
          <w:numId w:val="1"/>
        </w:numPr>
        <w:ind w:left="360" w:hanging="360"/>
        <w:jc w:val="both"/>
        <w:rPr>
          <w:lang w:val="en-US"/>
        </w:rPr>
      </w:pPr>
      <w:r>
        <w:rPr>
          <w:sz w:val="16"/>
          <w:lang w:val="en-GB"/>
        </w:rPr>
        <w:tab/>
        <w:t>Gross, T., Pahr, D.H., Zysset, P.K., 2013. Morphology elasticity relationships using decreasing fabric information of human trabecular bone from three major anatomical locations , 793–800doi:10.1007/s10237-012-0443-2.</w:t>
      </w:r>
    </w:p>
    <w:p>
      <w:pPr>
        <w:pStyle w:val="Normal"/>
        <w:numPr>
          <w:ilvl w:val="0"/>
          <w:numId w:val="1"/>
        </w:numPr>
        <w:ind w:left="360" w:hanging="360"/>
        <w:jc w:val="both"/>
        <w:rPr/>
      </w:pPr>
      <w:r>
        <w:rPr>
          <w:sz w:val="16"/>
          <w:lang w:val="en-GB"/>
        </w:rPr>
        <w:tab/>
        <w:t>Harrigan, T.P., Mann, R.W., 1985. Characterization of microstructural anisotropy in cancellous bone using a second rank tensor. Journal of Materials Science 19, 761–767.</w:t>
      </w:r>
    </w:p>
    <w:p>
      <w:pPr>
        <w:pStyle w:val="Normal"/>
        <w:numPr>
          <w:ilvl w:val="0"/>
          <w:numId w:val="1"/>
        </w:numPr>
        <w:ind w:left="360" w:hanging="360"/>
        <w:jc w:val="both"/>
        <w:rPr/>
      </w:pPr>
      <w:r>
        <w:rPr>
          <w:sz w:val="16"/>
        </w:rPr>
        <w:tab/>
        <w:t xml:space="preserve">Indermaur, M., Casari, D., Kochetkova, T., Peruzzi, C., Zimmermann, E., Rauch, F., Willie, B., Michler, J., Schwiedrzik, J., Zysset, P., 2021. </w:t>
      </w:r>
      <w:r>
        <w:rPr>
          <w:sz w:val="16"/>
          <w:lang w:val="en-GB"/>
        </w:rPr>
        <w:t>Compressive Strength of Iliac Bone ECM Is Not Reduced in Osteogenesis Imperfecta and Increases With Mineralization. Journal of Bone and Mineral Research doi:10.1002/jbmr.4286.</w:t>
      </w:r>
    </w:p>
    <w:p>
      <w:pPr>
        <w:pStyle w:val="Normal"/>
        <w:numPr>
          <w:ilvl w:val="0"/>
          <w:numId w:val="1"/>
        </w:numPr>
        <w:ind w:left="360" w:hanging="360"/>
        <w:jc w:val="both"/>
        <w:rPr/>
      </w:pPr>
      <w:r>
        <w:rPr>
          <w:sz w:val="16"/>
        </w:rPr>
        <w:tab/>
        <w:t xml:space="preserve">Kocijan, R., Muschitz, C., Haschka, J., Hans, D., Nia, A., Geroldinger, A., Ardelt, M., Wakolbinger, R., Resch, H., 2015. </w:t>
      </w:r>
      <w:r>
        <w:rPr>
          <w:sz w:val="16"/>
          <w:lang w:val="en-GB"/>
        </w:rPr>
        <w:t>Bone structure assessed by HR-pQCT, TBS and DXL in adult patients with different types of osteogenesis imperfecta. Osteoporosis International 26, 2431–2440. doi:10.1007/s00198-015-3156-4.</w:t>
      </w:r>
    </w:p>
    <w:p>
      <w:pPr>
        <w:pStyle w:val="Normal"/>
        <w:numPr>
          <w:ilvl w:val="0"/>
          <w:numId w:val="1"/>
        </w:numPr>
        <w:ind w:left="360" w:hanging="360"/>
        <w:jc w:val="both"/>
        <w:rPr/>
      </w:pPr>
      <w:r>
        <w:rPr>
          <w:sz w:val="16"/>
          <w:lang w:val="en-GB"/>
        </w:rPr>
        <w:tab/>
        <w:t>Laird, N.M., Ware, J.H., 1982. Random-Effects Models for Longitudinal Data. Biometrics 38, 963–974.</w:t>
      </w:r>
    </w:p>
    <w:p>
      <w:pPr>
        <w:pStyle w:val="Normal"/>
        <w:numPr>
          <w:ilvl w:val="0"/>
          <w:numId w:val="1"/>
        </w:numPr>
        <w:ind w:left="360" w:hanging="360"/>
        <w:jc w:val="both"/>
        <w:rPr/>
      </w:pPr>
      <w:r>
        <w:rPr>
          <w:sz w:val="16"/>
        </w:rPr>
        <w:tab/>
        <w:t xml:space="preserve">Lim, J., Grafe, I., Alexander, S., Lee, B., 2017. </w:t>
      </w:r>
      <w:r>
        <w:rPr>
          <w:sz w:val="16"/>
          <w:lang w:val="en-GB"/>
        </w:rPr>
        <w:t>Genetic causes and mechanisms of osteogenesis imperfecta. Bone 102, 40–49. doi:https://doi.org/10.1016/j.bone.2017.02.004.</w:t>
      </w:r>
    </w:p>
    <w:p>
      <w:pPr>
        <w:pStyle w:val="Normal"/>
        <w:numPr>
          <w:ilvl w:val="0"/>
          <w:numId w:val="1"/>
        </w:numPr>
        <w:ind w:left="360" w:hanging="360"/>
        <w:jc w:val="both"/>
        <w:rPr/>
      </w:pPr>
      <w:r>
        <w:rPr>
          <w:sz w:val="16"/>
        </w:rPr>
        <w:tab/>
        <w:t xml:space="preserve">Lindahl, K., Åström, E., Rubin, C.J., Grigelioniene, G., Malmgren, B., Ljunggren, Ö., Kindmark, A., 2015. </w:t>
      </w:r>
      <w:r>
        <w:rPr>
          <w:sz w:val="16"/>
          <w:lang w:val="en-GB"/>
        </w:rPr>
        <w:t>Genetic epidemiology, prevalence, and genotype-phenotype correlations in the Swedish population with osteogenesis imperfecta. European Journal of Human Genetics 23, 1042–1050. doi:10.1038/ejhg.2015.81.</w:t>
      </w:r>
    </w:p>
    <w:p>
      <w:pPr>
        <w:pStyle w:val="Normal"/>
        <w:ind w:left="360" w:hanging="0"/>
        <w:jc w:val="both"/>
        <w:rPr/>
      </w:pPr>
      <w:r>
        <w:rPr/>
      </w:r>
    </w:p>
    <w:p>
      <w:pPr>
        <w:pStyle w:val="Normal"/>
        <w:ind w:left="360" w:hanging="0"/>
        <w:jc w:val="both"/>
        <w:rPr/>
      </w:pPr>
      <w:r>
        <w:rPr/>
      </w:r>
    </w:p>
    <w:p>
      <w:pPr>
        <w:pStyle w:val="Normal"/>
        <w:ind w:left="360" w:hanging="0"/>
        <w:jc w:val="both"/>
        <w:rPr/>
      </w:pPr>
      <w:r>
        <w:rPr/>
      </w:r>
    </w:p>
    <w:p>
      <w:pPr>
        <w:pStyle w:val="Normal"/>
        <w:ind w:left="360" w:hanging="0"/>
        <w:jc w:val="both"/>
        <w:rPr/>
      </w:pPr>
      <w:r>
        <w:rPr/>
      </w:r>
    </w:p>
    <w:p>
      <w:pPr>
        <w:pStyle w:val="Normal"/>
        <w:ind w:left="360" w:hanging="0"/>
        <w:jc w:val="both"/>
        <w:rPr/>
      </w:pPr>
      <w:r>
        <w:rPr/>
      </w:r>
    </w:p>
    <w:p>
      <w:pPr>
        <w:pStyle w:val="Normal"/>
        <w:numPr>
          <w:ilvl w:val="0"/>
          <w:numId w:val="1"/>
        </w:numPr>
        <w:ind w:left="360" w:hanging="360"/>
        <w:jc w:val="both"/>
        <w:rPr>
          <w:lang w:val="en-US"/>
        </w:rPr>
      </w:pPr>
      <w:r>
        <w:rPr>
          <w:sz w:val="16"/>
        </w:rPr>
        <w:tab/>
        <w:t xml:space="preserve">Mandel, J., 1965. Generalisation de la theorie de plasticite de w. t. koiter. </w:t>
      </w:r>
      <w:r>
        <w:rPr>
          <w:sz w:val="16"/>
          <w:lang w:val="en-GB"/>
        </w:rPr>
        <w:t>International Journal of Solids and Structures 1,  doi:https://doi.org/10.1016/0020-7683(65)90034-X.</w:t>
      </w:r>
    </w:p>
    <w:p>
      <w:pPr>
        <w:pStyle w:val="Normal"/>
        <w:numPr>
          <w:ilvl w:val="0"/>
          <w:numId w:val="1"/>
        </w:numPr>
        <w:ind w:left="360" w:hanging="360"/>
        <w:jc w:val="both"/>
        <w:rPr/>
      </w:pPr>
      <w:r>
        <w:rPr>
          <w:sz w:val="16"/>
          <w:lang w:val="en-GB"/>
        </w:rPr>
        <w:tab/>
        <w:t>Moreno, R., Borga, M., Smedby, Ö., 2014. Techniques for computing fabric tensors: A review. Mathematics and Visualization , 271–292doi:10.1007/978-3-642-54301-2_12.</w:t>
      </w:r>
    </w:p>
    <w:p>
      <w:pPr>
        <w:pStyle w:val="Normal"/>
        <w:numPr>
          <w:ilvl w:val="0"/>
          <w:numId w:val="1"/>
        </w:numPr>
        <w:ind w:left="360" w:hanging="360"/>
        <w:jc w:val="both"/>
        <w:rPr>
          <w:lang w:val="en-US"/>
        </w:rPr>
      </w:pPr>
      <w:r>
        <w:rPr>
          <w:sz w:val="16"/>
        </w:rPr>
        <w:tab/>
        <w:t xml:space="preserve">Pahr, D.H., Zysset, P.K., 2009. </w:t>
      </w:r>
      <w:r>
        <w:rPr>
          <w:sz w:val="16"/>
          <w:lang w:val="en-GB"/>
        </w:rPr>
        <w:t>A comparison of enhanced continuum FE with micro FE models of human vertebral bodies. Journal of Biomechanics 42, 455–462. URL: http://www.sciencedirect.com/science/article/piiS0021929008006064, doi:10.1016/j.jbiomech. 2008.11.028.</w:t>
      </w:r>
    </w:p>
    <w:p>
      <w:pPr>
        <w:pStyle w:val="Normal"/>
        <w:numPr>
          <w:ilvl w:val="0"/>
          <w:numId w:val="1"/>
        </w:numPr>
        <w:ind w:left="360" w:hanging="360"/>
        <w:jc w:val="both"/>
        <w:rPr/>
      </w:pPr>
      <w:r>
        <w:rPr>
          <w:sz w:val="16"/>
          <w:lang w:val="en-GB"/>
        </w:rPr>
        <w:tab/>
        <w:t>Panyasantisuk, J., Pahr, D.H., Gross, T., Zysset, P.K., 2015. Comparison of Mixed and Kinematic Uniform Boundary Conditions in Homogenized Elasticity of Femoral Trabecular Bone Using Microfinite Element Analyses. Journal of Biomechanical Engineering 137, 1–7. doi:10.1115/1.4028968.</w:t>
      </w:r>
    </w:p>
    <w:p>
      <w:pPr>
        <w:pStyle w:val="Normal"/>
        <w:numPr>
          <w:ilvl w:val="0"/>
          <w:numId w:val="1"/>
        </w:numPr>
        <w:ind w:left="360" w:hanging="360"/>
        <w:jc w:val="both"/>
        <w:rPr>
          <w:lang w:val="en-US"/>
        </w:rPr>
      </w:pPr>
      <w:r>
        <w:rPr>
          <w:sz w:val="16"/>
          <w:lang w:val="en-GB"/>
        </w:rPr>
        <w:tab/>
        <w:t>Pialat, J.B., Burghardt, A.J., Sode, M., Link, T.M., Majumdar, S., 2012. Visual grading of motion induced image degradation in high resolution peripheral computed tomography: Impact of image quality on measures of bone density and micro-architecture. Bone 50, 111–118. URL: http://dx.doi.org/10.1016/j.bone.2011.10.003, doi:10.1016/j.bone.2011.10.003.</w:t>
      </w:r>
    </w:p>
    <w:p>
      <w:pPr>
        <w:pStyle w:val="Normal"/>
        <w:numPr>
          <w:ilvl w:val="0"/>
          <w:numId w:val="1"/>
        </w:numPr>
        <w:ind w:left="360" w:hanging="360"/>
        <w:jc w:val="both"/>
        <w:rPr>
          <w:lang w:val="en-US"/>
        </w:rPr>
      </w:pPr>
      <w:r>
        <w:rPr>
          <w:sz w:val="16"/>
          <w:lang w:val="en-GB"/>
        </w:rPr>
        <w:tab/>
      </w:r>
      <w:r>
        <w:rPr>
          <w:sz w:val="16"/>
        </w:rPr>
        <w:t xml:space="preserve">Rolvien, T., Stürznickel, J., Schmidt, F.N., Butscheidt, S., Schmidt, T., Busse, B., Mundlos, S., Schinke, T., Kornak, U., Amling, M., Oheim, R., 2018. </w:t>
      </w:r>
      <w:r>
        <w:rPr>
          <w:sz w:val="16"/>
          <w:lang w:val="en-GB"/>
        </w:rPr>
        <w:t>Comparison of Bone Microarchitecture Between Adult Osteogenesis Imperfecta and Early-Onset Osteoporosis. Calcified Tissue International 103, 512–521. URL: http://dx.doi.org/10.1007/s00223-018-0447-8, doi:10.1007/s00223-018-0447-8.</w:t>
      </w:r>
    </w:p>
    <w:p>
      <w:pPr>
        <w:pStyle w:val="Normal"/>
        <w:numPr>
          <w:ilvl w:val="0"/>
          <w:numId w:val="1"/>
        </w:numPr>
        <w:ind w:left="360" w:hanging="360"/>
        <w:jc w:val="both"/>
        <w:rPr>
          <w:lang w:val="en-US"/>
        </w:rPr>
      </w:pPr>
      <w:r>
        <w:rPr>
          <w:sz w:val="16"/>
          <w:lang w:val="en-GB"/>
        </w:rPr>
        <w:tab/>
        <w:t>Schenk, D., Mathis, A., Lippuner, K., Zysset, P., 2020. In vivo repeatability of homogenized finite element analysis based on multiple HR-pQCT sections for assessment of distal radius and tibia strength. Bone 141, 115575. URL: https://doi.org/10.1016/j.bone. 2020.115575, doi:10.1016/j.bone.2020.115575.</w:t>
      </w:r>
    </w:p>
    <w:p>
      <w:pPr>
        <w:pStyle w:val="Normal"/>
        <w:numPr>
          <w:ilvl w:val="0"/>
          <w:numId w:val="1"/>
        </w:numPr>
        <w:ind w:left="360" w:hanging="360"/>
        <w:jc w:val="both"/>
        <w:rPr/>
      </w:pPr>
      <w:r>
        <w:rPr>
          <w:sz w:val="16"/>
          <w:lang w:val="en-GB"/>
        </w:rPr>
        <w:tab/>
        <w:t>Scheres, L.J., van Dijk, F.S., Harsevoort, A.J., van Dijk, A.T., Dommisse, A.M., Janus, G.J., Franken, A.A., 2018. Adults with osteogenesis imperfecta: Clinical characteristics of 151 patients with a focus on bisphosphonate use and bone density measurements. Bone Reports 8, 168–172. URL: https://doi.org/10.1016/j.bonr.2018.04.009, doi:10.1016/j.bonr.2018.04.009.</w:t>
      </w:r>
    </w:p>
    <w:p>
      <w:pPr>
        <w:pStyle w:val="Normal"/>
        <w:numPr>
          <w:ilvl w:val="0"/>
          <w:numId w:val="1"/>
        </w:numPr>
        <w:ind w:left="360" w:hanging="360"/>
        <w:jc w:val="both"/>
        <w:rPr/>
      </w:pPr>
      <w:r>
        <w:rPr>
          <w:sz w:val="16"/>
          <w:lang w:val="en-GB"/>
        </w:rPr>
        <w:tab/>
        <w:t>Sillence, D.O., Senn, A., Danks, D.M., 1979. Genetic heterogeneity in osteogenesis imperfecta. Journal of Medical Genetics 16, 101–116. doi:10.1136/jmg.16.2.101.</w:t>
      </w:r>
    </w:p>
    <w:p>
      <w:pPr>
        <w:pStyle w:val="Normal"/>
        <w:numPr>
          <w:ilvl w:val="0"/>
          <w:numId w:val="1"/>
        </w:numPr>
        <w:ind w:left="360" w:hanging="360"/>
        <w:jc w:val="both"/>
        <w:rPr>
          <w:lang w:val="en-US"/>
        </w:rPr>
      </w:pPr>
      <w:r>
        <w:rPr>
          <w:sz w:val="16"/>
          <w:lang w:val="en-GB"/>
        </w:rPr>
        <w:tab/>
        <w:t>Tournis, S., Dede, A.D., 2018. Osteogenesis imperfecta A clinical update. Metabolism: Clinical and Experimental 80, 27–37. URL: https://doi.org/10.1016/j.metabol.2017.06.001, doi:10.1016/j.metabol.2017.06.001.</w:t>
      </w:r>
    </w:p>
    <w:p>
      <w:pPr>
        <w:pStyle w:val="Normal"/>
        <w:numPr>
          <w:ilvl w:val="0"/>
          <w:numId w:val="1"/>
        </w:numPr>
        <w:ind w:left="360" w:hanging="360"/>
        <w:jc w:val="both"/>
        <w:rPr/>
      </w:pPr>
      <w:r>
        <w:rPr>
          <w:sz w:val="16"/>
          <w:lang w:val="en-GB"/>
        </w:rPr>
        <w:tab/>
      </w:r>
      <w:r>
        <w:rPr>
          <w:sz w:val="16"/>
        </w:rPr>
        <w:t xml:space="preserve">Varga, P., Dall’Ara, E., Pahr, D.H., Pretterklieber, M., Zysset, P.K., 2011. </w:t>
      </w:r>
      <w:r>
        <w:rPr>
          <w:sz w:val="16"/>
          <w:lang w:val="en-GB"/>
        </w:rPr>
        <w:t>Validation of an HR-pQCT-based homogenized finite element approach using mechanical testing of ultra-distal radius sections. Biomechanics and Modeling in  Mechanobiology 10, 431–444. doi:10.1007/s10237-010-0245-3.</w:t>
      </w:r>
    </w:p>
    <w:p>
      <w:pPr>
        <w:pStyle w:val="Normal"/>
        <w:numPr>
          <w:ilvl w:val="0"/>
          <w:numId w:val="1"/>
        </w:numPr>
        <w:ind w:left="360" w:hanging="360"/>
        <w:jc w:val="both"/>
        <w:rPr/>
      </w:pPr>
      <w:r>
        <w:rPr>
          <w:sz w:val="16"/>
        </w:rPr>
        <w:tab/>
        <w:t xml:space="preserve">Whittier, D.E., Boyd, S.K., Burghardt, A.J., Paccou, J., Ghasem-Zadeh, A., Chapurlat, R., Engelke, K., Bouxsein, M.L., 2020. </w:t>
      </w:r>
      <w:r>
        <w:rPr>
          <w:sz w:val="16"/>
          <w:lang w:val="en-GB"/>
        </w:rPr>
        <w:t>Guidelines for the assessment of bone density and microarchitecture in vivo using high-resolution peripheral quantitative computed tomography. Osteoporosis International 31, 1607–1627. doi:10.1007/s00198-020-05438-5.</w:t>
      </w:r>
    </w:p>
    <w:p>
      <w:pPr>
        <w:pStyle w:val="Normal"/>
        <w:numPr>
          <w:ilvl w:val="0"/>
          <w:numId w:val="1"/>
        </w:numPr>
        <w:ind w:left="360" w:hanging="360"/>
        <w:jc w:val="both"/>
        <w:rPr/>
      </w:pPr>
      <w:r>
        <w:rPr>
          <w:sz w:val="16"/>
          <w:lang w:val="en-GB"/>
        </w:rPr>
        <w:tab/>
        <w:t>Zysset, P.K., Curnier, A., 1995. An alternative model for anisotropic elasticity based on fabric tensors. Mechanics of Materials 21, 243–250. doi:10.1016/0167-6636(95)00018-6.</w:t>
      </w:r>
    </w:p>
    <w:p>
      <w:pPr>
        <w:pStyle w:val="Normal"/>
        <w:numPr>
          <w:ilvl w:val="0"/>
          <w:numId w:val="1"/>
        </w:numPr>
        <w:ind w:left="360" w:hanging="360"/>
        <w:jc w:val="both"/>
        <w:rPr/>
      </w:pPr>
      <w:r>
        <w:rPr>
          <w:sz w:val="16"/>
          <w:lang w:val="en-GB"/>
        </w:rPr>
        <w:tab/>
        <w:t>Zysset, P.K., Goulet, R.W., Hollister, S.J., 1998. A global relationship between trabecular bone morphology and homogenized elasticproperties. Journal of Biomechanical Engineering 120, 640–646. doi:10.1115/1.2834756.</w:t>
      </w:r>
    </w:p>
    <w:sectPr>
      <w:type w:val="nextPage"/>
      <w:pgSz w:w="11906" w:h="16838"/>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Schenk, Denis Elia (ARTORG)" w:date="2021-05-21T09:42:00Z" w:initials="SDE(">
    <w:p>
      <w:r>
        <w:rPr>
          <w:rFonts w:ascii="Liberation Serif" w:hAnsi="Liberation Serif" w:eastAsia="DejaVu Sans" w:cs="Noto Sans Arabic"/>
          <w:color w:val="auto"/>
          <w:szCs w:val="24"/>
          <w:lang w:eastAsia="en-US" w:bidi="en-US" w:val="en-US"/>
        </w:rPr>
        <w:t>Not clear that these were cubes (later used for FE stiffness analysis)</w:t>
      </w:r>
    </w:p>
  </w:comment>
  <w:comment w:id="1" w:author="Schenk, Denis Elia (ARTORG)" w:date="2021-05-21T09:41:00Z" w:initials="SDE(">
    <w:p>
      <w:r>
        <w:rPr>
          <w:rFonts w:ascii="Liberation Serif" w:hAnsi="Liberation Serif" w:eastAsia="DejaVu Sans" w:cs="Noto Sans Arabic"/>
          <w:color w:val="auto"/>
          <w:szCs w:val="24"/>
          <w:lang w:eastAsia="en-US" w:bidi="en-US" w:val="en-US"/>
        </w:rPr>
        <w:t>What do you mean by age and gender matching?</w:t>
      </w:r>
    </w:p>
  </w:comment>
  <w:comment w:id="2" w:author="Schenk, Denis Elia (ARTORG)" w:date="2021-05-21T09:42:00Z" w:initials="SDE(">
    <w:p>
      <w:r>
        <w:rPr>
          <w:rFonts w:ascii="Liberation Serif" w:hAnsi="Liberation Serif" w:eastAsia="DejaVu Sans" w:cs="Noto Sans Arabic"/>
          <w:color w:val="auto"/>
          <w:szCs w:val="24"/>
          <w:lang w:eastAsia="en-US" w:bidi="en-US" w:val="en-US"/>
        </w:rPr>
        <w:t>What method? Be more specific</w:t>
      </w:r>
    </w:p>
  </w:comment>
  <w:comment w:id="3" w:author="Schenk, Denis Elia (ARTORG)" w:date="2021-05-21T09:43:00Z" w:initials="SDE(">
    <w:p>
      <w:r>
        <w:rPr>
          <w:rFonts w:ascii="Liberation Serif" w:hAnsi="Liberation Serif" w:eastAsia="DejaVu Sans" w:cs="Noto Sans Arabic"/>
          <w:color w:val="auto"/>
          <w:szCs w:val="24"/>
          <w:lang w:eastAsia="en-US" w:bidi="en-US" w:val="en-US"/>
        </w:rPr>
        <w:t>Not clear what this sentence means</w:t>
      </w:r>
    </w:p>
  </w:comment>
  <w:comment w:id="5" w:author="Schenk, Denis Elia (ARTORG)" w:date="2021-05-21T09:44:00Z" w:initials="SDE(">
    <w:p>
      <w:r>
        <w:rPr>
          <w:rFonts w:ascii="Liberation Serif" w:hAnsi="Liberation Serif" w:eastAsia="DejaVu Sans" w:cs="Noto Sans Arabic"/>
          <w:color w:val="auto"/>
          <w:szCs w:val="24"/>
          <w:lang w:eastAsia="en-US" w:bidi="en-US" w:val="en-US"/>
        </w:rPr>
        <w:t>both</w:t>
      </w:r>
    </w:p>
  </w:comment>
  <w:comment w:id="4" w:author="Schenk, Denis Elia (ARTORG)" w:date="2021-05-21T09:45:00Z" w:initials="SDE(">
    <w:p>
      <w:r>
        <w:rPr>
          <w:rFonts w:ascii="Liberation Serif" w:hAnsi="Liberation Serif" w:eastAsia="DejaVu Sans" w:cs="Noto Sans Arabic"/>
          <w:color w:val="auto"/>
          <w:szCs w:val="24"/>
          <w:lang w:eastAsia="en-US" w:bidi="en-US" w:val="en-US"/>
        </w:rPr>
        <w:t>This part is not clear. Please try to reformulate. Be very specific in what happens after what.</w:t>
      </w:r>
    </w:p>
  </w:comment>
  <w:comment w:id="6" w:author="Schenk, Denis Elia (ARTORG)" w:date="2021-05-21T09:49:00Z" w:initials="SDE(">
    <w:p>
      <w:r>
        <w:rPr>
          <w:rFonts w:ascii="Liberation Serif" w:hAnsi="Liberation Serif" w:eastAsia="DejaVu Sans" w:cs="Noto Sans Arabic"/>
          <w:color w:val="auto"/>
          <w:szCs w:val="24"/>
          <w:lang w:eastAsia="en-US" w:bidi="en-US" w:val="en-US"/>
        </w:rPr>
        <w:t xml:space="preserve">Compared to what? It’s obvious, I know, but we have tob e precise in writing. </w:t>
      </w:r>
    </w:p>
  </w:comment>
  <w:comment w:id="7" w:author="Schenk, Denis Elia (ARTORG)" w:date="2021-05-21T09:51:00Z" w:initials="SDE(">
    <w:p>
      <w:r>
        <w:rPr>
          <w:rFonts w:ascii="Liberation Serif" w:hAnsi="Liberation Serif" w:eastAsia="DejaVu Sans" w:cs="Noto Sans Arabic"/>
          <w:color w:val="auto"/>
          <w:szCs w:val="24"/>
          <w:lang w:eastAsia="en-US" w:bidi="en-US" w:val="en-US"/>
        </w:rPr>
        <w:t>This is good, try to do it like this everywhere.</w:t>
      </w:r>
    </w:p>
  </w:comment>
  <w:comment w:id="8" w:author="Schenk, Denis Elia (ARTORG)" w:date="2021-05-21T09:52:00Z" w:initials="SDE(">
    <w:p>
      <w:r>
        <w:rPr>
          <w:rFonts w:ascii="Liberation Serif" w:hAnsi="Liberation Serif" w:eastAsia="DejaVu Sans" w:cs="Noto Sans Arabic"/>
          <w:color w:val="auto"/>
          <w:szCs w:val="24"/>
          <w:lang w:eastAsia="en-US" w:bidi="en-US" w:val="en-US"/>
        </w:rPr>
        <w:t>Not only the study of jarunan?</w:t>
      </w:r>
    </w:p>
  </w:comment>
  <w:comment w:id="9" w:author="Schenk, Denis Elia (ARTORG)" w:date="2021-05-21T09:55:00Z" w:initials="SDE(">
    <w:p>
      <w:r>
        <w:rPr>
          <w:rFonts w:ascii="Liberation Serif" w:hAnsi="Liberation Serif" w:eastAsia="DejaVu Sans" w:cs="Noto Sans Arabic"/>
          <w:color w:val="auto"/>
          <w:szCs w:val="24"/>
          <w:lang w:eastAsia="en-US" w:bidi="en-US" w:val="en-US"/>
        </w:rPr>
        <w:t>I would delete that sentence. This becomes clear with the next sentences.</w:t>
      </w:r>
    </w:p>
  </w:comment>
  <w:comment w:id="10" w:author="Schenk, Denis Elia (ARTORG)" w:date="2021-05-21T09:57:00Z" w:initials="SDE(">
    <w:p>
      <w:r>
        <w:rPr>
          <w:rFonts w:ascii="Liberation Serif" w:hAnsi="Liberation Serif" w:eastAsia="DejaVu Sans" w:cs="Noto Sans Arabic"/>
          <w:color w:val="auto"/>
          <w:szCs w:val="24"/>
          <w:lang w:eastAsia="en-US" w:bidi="en-US" w:val="en-US"/>
        </w:rPr>
        <w:t>I don’t know the abbreviation by heart</w:t>
      </w:r>
    </w:p>
  </w:comment>
  <w:comment w:id="11" w:author="Schenk, Denis Elia (ARTORG)" w:date="2021-05-21T09:59:00Z" w:initials="SDE(">
    <w:p>
      <w:r>
        <w:rPr>
          <w:rFonts w:ascii="Liberation Serif" w:hAnsi="Liberation Serif" w:eastAsia="DejaVu Sans" w:cs="Noto Sans Arabic"/>
          <w:color w:val="auto"/>
          <w:szCs w:val="24"/>
          <w:lang w:eastAsia="en-US" w:bidi="en-US" w:val="en-US"/>
        </w:rPr>
        <w:t>Do you really obtain microstructure from a scanner? =) I would rather say you generate a CT scan.</w:t>
      </w:r>
    </w:p>
  </w:comment>
  <w:comment w:id="12" w:author="Schenk, Denis Elia (ARTORG)" w:date="2021-05-21T10:01:00Z" w:initials="SDE(">
    <w:p>
      <w:r>
        <w:rPr>
          <w:rFonts w:ascii="Liberation Serif" w:hAnsi="Liberation Serif" w:eastAsia="DejaVu Sans" w:cs="Noto Sans Arabic"/>
          <w:color w:val="auto"/>
          <w:szCs w:val="24"/>
          <w:lang w:eastAsia="en-US" w:bidi="en-US" w:val="en-US"/>
        </w:rPr>
        <w:t>Well, we use the cortical compartment to...</w:t>
      </w:r>
    </w:p>
  </w:comment>
  <w:comment w:id="13" w:author="Schenk, Denis Elia (ARTORG)" w:date="2021-05-21T10:01:00Z" w:initials="SDE(">
    <w:p>
      <w:r>
        <w:rPr>
          <w:rFonts w:ascii="Liberation Serif" w:hAnsi="Liberation Serif" w:eastAsia="DejaVu Sans" w:cs="Noto Sans Arabic"/>
          <w:color w:val="auto"/>
          <w:szCs w:val="24"/>
          <w:lang w:eastAsia="en-US" w:bidi="en-US" w:val="en-US"/>
        </w:rPr>
        <w:t xml:space="preserve">I don’t understand this sentence. </w:t>
      </w:r>
    </w:p>
  </w:comment>
  <w:comment w:id="14" w:author="Schenk, Denis Elia (ARTORG)" w:date="2021-05-21T11:05:00Z" w:initials="SDE(">
    <w:p>
      <w:r>
        <w:rPr>
          <w:rFonts w:ascii="Liberation Serif" w:hAnsi="Liberation Serif" w:eastAsia="DejaVu Sans" w:cs="Noto Sans Arabic"/>
          <w:color w:val="auto"/>
          <w:szCs w:val="24"/>
          <w:lang w:eastAsia="en-US" w:bidi="en-US" w:val="en-US"/>
        </w:rPr>
        <w:t>The methods section is quite complex to read in general. You are constantly switching between presend and past tense. Ist easier to read if you just write consistently in e.g. past tense. You did a lot, but it's key to structure the respective parts precicely, that an external reader can understand the methods behind this.</w:t>
      </w:r>
    </w:p>
  </w:comment>
  <w:comment w:id="15" w:author="Schenk, Denis Elia (ARTORG)" w:date="2021-05-21T10:28:00Z" w:initials="SDE(">
    <w:p>
      <w:r>
        <w:rPr>
          <w:rFonts w:ascii="Liberation Serif" w:hAnsi="Liberation Serif" w:eastAsia="DejaVu Sans" w:cs="Noto Sans Arabic"/>
          <w:color w:val="auto"/>
          <w:szCs w:val="24"/>
          <w:lang w:eastAsia="en-US" w:bidi="en-US" w:val="en-US"/>
        </w:rPr>
        <w:t>I would usually gibe mean +- SD</w:t>
      </w:r>
    </w:p>
  </w:comment>
  <w:comment w:id="16" w:author="Schenk, Denis Elia (ARTORG)" w:date="2021-05-21T10:29:00Z" w:initials="SDE(">
    <w:p>
      <w:r>
        <w:rPr>
          <w:rFonts w:ascii="Liberation Serif" w:hAnsi="Liberation Serif" w:eastAsia="DejaVu Sans" w:cs="Noto Sans Arabic"/>
          <w:color w:val="auto"/>
          <w:szCs w:val="24"/>
          <w:lang w:eastAsia="en-US" w:bidi="en-US" w:val="en-US"/>
        </w:rPr>
        <w:t>In what city?</w:t>
      </w:r>
    </w:p>
  </w:comment>
  <w:comment w:id="17" w:author="Schenk, Denis Elia (ARTORG)" w:date="2021-05-21T10:30:00Z" w:initials="SDE(">
    <w:p>
      <w:r>
        <w:rPr>
          <w:rFonts w:ascii="Liberation Serif" w:hAnsi="Liberation Serif" w:eastAsia="DejaVu Sans" w:cs="Noto Sans Arabic"/>
          <w:color w:val="auto"/>
          <w:szCs w:val="24"/>
          <w:lang w:eastAsia="en-US" w:bidi="en-US" w:val="en-US"/>
        </w:rPr>
        <w:t>Rewrite in same structure as above.</w:t>
      </w:r>
    </w:p>
  </w:comment>
  <w:comment w:id="18" w:author="Schenk, Denis Elia (ARTORG)" w:date="2021-05-21T10:38:00Z" w:initials="SDE(">
    <w:p>
      <w:r>
        <w:rPr>
          <w:rFonts w:ascii="Liberation Serif" w:hAnsi="Liberation Serif" w:eastAsia="DejaVu Sans" w:cs="Noto Sans Arabic"/>
          <w:color w:val="auto"/>
          <w:szCs w:val="24"/>
          <w:lang w:eastAsia="en-US" w:bidi="en-US" w:val="en-US"/>
        </w:rPr>
        <w:t>Very long to read and ist not clear, what protocol now uses three stacks and different reference line positioning. Just shortly describe the two protocols one after another. Don’t mix them.</w:t>
      </w:r>
    </w:p>
  </w:comment>
  <w:comment w:id="19" w:author="Schenk, Denis Elia (ARTORG)" w:date="2021-05-21T10:34:00Z" w:initials="SDE(">
    <w:p>
      <w:r>
        <w:rPr>
          <w:rFonts w:ascii="Liberation Serif" w:hAnsi="Liberation Serif" w:eastAsia="DejaVu Sans" w:cs="Noto Sans Arabic"/>
          <w:color w:val="auto"/>
          <w:szCs w:val="24"/>
          <w:lang w:eastAsia="en-US" w:bidi="en-US" w:val="en-US"/>
        </w:rPr>
        <w:t>Maybe write numbers in brackets, that ist clear we are talking about first, middle and last slice of the full scan, not only the stacks.</w:t>
      </w:r>
    </w:p>
  </w:comment>
  <w:comment w:id="20" w:author="Schenk, Denis Elia (ARTORG)" w:date="2021-05-21T10:35:00Z" w:initials="SDE(">
    <w:p>
      <w:r>
        <w:rPr>
          <w:rFonts w:ascii="Liberation Serif" w:hAnsi="Liberation Serif" w:eastAsia="DejaVu Sans" w:cs="Noto Sans Arabic"/>
          <w:color w:val="auto"/>
          <w:szCs w:val="24"/>
          <w:lang w:eastAsia="en-US" w:bidi="en-US" w:val="en-US"/>
        </w:rPr>
        <w:t>Pialat is not the manufacturer!</w:t>
      </w:r>
    </w:p>
  </w:comment>
  <w:comment w:id="21" w:author="Schenk, Denis Elia (ARTORG)" w:date="2021-05-21T10:36:00Z" w:initials="SDE(">
    <w:p>
      <w:r>
        <w:rPr>
          <w:rFonts w:ascii="Liberation Serif" w:hAnsi="Liberation Serif" w:eastAsia="DejaVu Sans" w:cs="Noto Sans Arabic"/>
          <w:color w:val="auto"/>
          <w:szCs w:val="24"/>
          <w:lang w:eastAsia="en-US" w:bidi="en-US" w:val="en-US"/>
        </w:rPr>
        <w:t>Grading densities...?</w:t>
      </w:r>
    </w:p>
  </w:comment>
  <w:comment w:id="22" w:author="Schenk, Denis Elia (ARTORG)" w:date="2021-05-21T10:37:00Z" w:initials="SDE(">
    <w:p>
      <w:r>
        <w:rPr>
          <w:rFonts w:ascii="Liberation Serif" w:hAnsi="Liberation Serif" w:eastAsia="DejaVu Sans" w:cs="Noto Sans Arabic"/>
          <w:color w:val="auto"/>
          <w:szCs w:val="24"/>
          <w:lang w:eastAsia="en-US" w:bidi="en-US" w:val="en-US"/>
        </w:rPr>
        <w:t>Thats to short. Even if ist standard evaluation, very shortly describe the process. You can have a look at similar studies using this protocol and see, how they described the process.</w:t>
      </w:r>
    </w:p>
  </w:comment>
  <w:comment w:id="23" w:author="Schenk, Denis Elia (ARTORG)" w:date="2021-05-21T10:40:00Z" w:initials="SDE(">
    <w:p>
      <w:r>
        <w:rPr>
          <w:rFonts w:ascii="Liberation Serif" w:hAnsi="Liberation Serif" w:eastAsia="DejaVu Sans" w:cs="Noto Sans Arabic"/>
          <w:color w:val="auto"/>
          <w:szCs w:val="24"/>
          <w:lang w:eastAsia="en-US" w:bidi="en-US" w:val="en-US"/>
        </w:rPr>
        <w:t>How did you do the randomization?</w:t>
      </w:r>
    </w:p>
  </w:comment>
  <w:comment w:id="24" w:author="Schenk, Denis Elia (ARTORG)" w:date="2021-05-21T10:43:00Z" w:initials="SDE(">
    <w:p>
      <w:r>
        <w:rPr>
          <w:rFonts w:ascii="Liberation Serif" w:hAnsi="Liberation Serif" w:eastAsia="DejaVu Sans" w:cs="Noto Sans Arabic"/>
          <w:color w:val="auto"/>
          <w:szCs w:val="24"/>
          <w:lang w:eastAsia="en-US" w:bidi="en-US" w:val="en-US"/>
        </w:rPr>
        <w:t>Please be consistent with the naming. If you are talking about healthy controls, healthy people, healthy samples, etc. is much harder to understand!</w:t>
      </w:r>
    </w:p>
  </w:comment>
  <w:comment w:id="25" w:author="Schenk, Denis Elia (ARTORG)" w:date="2021-05-21T10:43:00Z" w:initials="SDE(">
    <w:p>
      <w:r>
        <w:rPr>
          <w:rFonts w:ascii="Liberation Serif" w:hAnsi="Liberation Serif" w:eastAsia="DejaVu Sans" w:cs="Noto Sans Arabic"/>
          <w:color w:val="auto"/>
          <w:szCs w:val="24"/>
          <w:lang w:eastAsia="en-US" w:bidi="en-US" w:val="en-US"/>
        </w:rPr>
        <w:t>Better just write ‘number’</w:t>
      </w:r>
    </w:p>
  </w:comment>
  <w:comment w:id="26" w:author="Schenk, Denis Elia (ARTORG)" w:date="2021-05-21T10:44:00Z" w:initials="SDE(">
    <w:p>
      <w:r>
        <w:rPr>
          <w:rFonts w:ascii="Liberation Serif" w:hAnsi="Liberation Serif" w:eastAsia="DejaVu Sans" w:cs="Noto Sans Arabic"/>
          <w:color w:val="auto"/>
          <w:szCs w:val="24"/>
          <w:lang w:eastAsia="en-US" w:bidi="en-US" w:val="en-US"/>
        </w:rPr>
        <w:t>You were writing past tense in the rest of the section, then continue to use past tense…</w:t>
      </w:r>
    </w:p>
  </w:comment>
  <w:comment w:id="27" w:author="Schenk, Denis Elia (ARTORG)" w:date="2021-05-21T10:45:00Z" w:initials="SDE(">
    <w:p>
      <w:r>
        <w:rPr>
          <w:rFonts w:ascii="Liberation Serif" w:hAnsi="Liberation Serif" w:eastAsia="DejaVu Sans" w:cs="Noto Sans Arabic"/>
          <w:color w:val="auto"/>
          <w:szCs w:val="24"/>
          <w:lang w:eastAsia="en-US" w:bidi="en-US" w:val="en-US"/>
        </w:rPr>
        <w:t>Shortly say why this size leads to accurate results.</w:t>
      </w:r>
    </w:p>
  </w:comment>
  <w:comment w:id="28" w:author="Schenk, Denis Elia (ARTORG)" w:date="2021-05-21T10:46:00Z" w:initials="SDE(">
    <w:p>
      <w:r>
        <w:rPr>
          <w:rFonts w:ascii="Liberation Serif" w:hAnsi="Liberation Serif" w:eastAsia="DejaVu Sans" w:cs="Noto Sans Arabic"/>
          <w:color w:val="auto"/>
          <w:szCs w:val="24"/>
          <w:lang w:eastAsia="en-US" w:bidi="en-US" w:val="en-US"/>
        </w:rPr>
        <w:t>You are again swithing between present and past tense in this section.</w:t>
      </w:r>
    </w:p>
  </w:comment>
  <w:comment w:id="29" w:author="Schenk, Denis Elia (ARTORG)" w:date="2021-05-21T10:47:00Z" w:initials="SDE(">
    <w:p>
      <w:r>
        <w:rPr>
          <w:rFonts w:ascii="Liberation Serif" w:hAnsi="Liberation Serif" w:eastAsia="DejaVu Sans" w:cs="Noto Sans Arabic"/>
          <w:color w:val="auto"/>
          <w:szCs w:val="24"/>
          <w:lang w:eastAsia="en-US" w:bidi="en-US" w:val="en-US"/>
        </w:rPr>
        <w:t>Did you already defined this abbrev.?</w:t>
      </w:r>
    </w:p>
  </w:comment>
  <w:comment w:id="30" w:author="Schenk, Denis Elia (ARTORG)" w:date="2021-05-21T10:47:00Z" w:initials="SDE(">
    <w:p>
      <w:r>
        <w:rPr>
          <w:rFonts w:ascii="Liberation Serif" w:hAnsi="Liberation Serif" w:eastAsia="DejaVu Sans" w:cs="Noto Sans Arabic"/>
          <w:color w:val="auto"/>
          <w:szCs w:val="24"/>
          <w:lang w:eastAsia="en-US" w:bidi="en-US" w:val="en-US"/>
        </w:rPr>
        <w:t>The rest is already defined I guess...</w:t>
      </w:r>
    </w:p>
  </w:comment>
  <w:comment w:id="31" w:author="Schenk, Denis Elia (ARTORG)" w:date="2021-05-21T10:49:00Z" w:initials="SDE(">
    <w:p>
      <w:r>
        <w:rPr>
          <w:rFonts w:ascii="Liberation Serif" w:hAnsi="Liberation Serif" w:eastAsia="DejaVu Sans" w:cs="Noto Sans Arabic"/>
          <w:color w:val="auto"/>
          <w:szCs w:val="24"/>
          <w:lang w:eastAsia="en-US" w:bidi="en-US" w:val="en-US"/>
        </w:rPr>
        <w:t>I usually use DOA, but maybe DA is correct</w:t>
      </w:r>
    </w:p>
  </w:comment>
  <w:comment w:id="32" w:author="Schenk, Denis Elia (ARTORG)" w:date="2021-05-21T10:49:00Z" w:initials="SDE(">
    <w:p>
      <w:r>
        <w:rPr>
          <w:rFonts w:ascii="Liberation Serif" w:hAnsi="Liberation Serif" w:eastAsia="DejaVu Sans" w:cs="Noto Sans Arabic"/>
          <w:color w:val="auto"/>
          <w:szCs w:val="24"/>
          <w:lang w:eastAsia="en-US" w:bidi="en-US" w:val="en-US"/>
        </w:rPr>
        <w:t xml:space="preserve">What is a homogenized mechanical analysis...? </w:t>
      </w:r>
    </w:p>
  </w:comment>
  <w:comment w:id="33" w:author="Schenk, Denis Elia (ARTORG)" w:date="2021-05-21T10:51:00Z" w:initials="SDE(">
    <w:p>
      <w:r>
        <w:rPr>
          <w:rFonts w:ascii="Liberation Serif" w:hAnsi="Liberation Serif" w:eastAsia="DejaVu Sans" w:cs="Noto Sans Arabic"/>
          <w:color w:val="auto"/>
          <w:szCs w:val="24"/>
          <w:lang w:eastAsia="en-US" w:bidi="en-US" w:val="en-US"/>
        </w:rPr>
        <w:t>Abbreviation. Nobody knows what KUBCs are.</w:t>
      </w:r>
    </w:p>
  </w:comment>
  <w:comment w:id="34" w:author="Schenk, Denis Elia (ARTORG)" w:date="2021-05-21T10:52:00Z" w:initials="SDE(">
    <w:p>
      <w:r>
        <w:rPr>
          <w:rFonts w:ascii="Liberation Serif" w:hAnsi="Liberation Serif" w:eastAsia="DejaVu Sans" w:cs="Noto Sans Arabic"/>
          <w:color w:val="auto"/>
          <w:szCs w:val="24"/>
          <w:lang w:eastAsia="en-US" w:bidi="en-US" w:val="en-US"/>
        </w:rPr>
        <w:t>Gramatically, ‘this’ referres to the rotations. Maybe change order of sentences</w:t>
      </w:r>
    </w:p>
  </w:comment>
  <w:comment w:id="35" w:author="Schenk, Denis Elia (ARTORG)" w:date="2021-05-21T10:56:00Z" w:initials="SDE(">
    <w:p>
      <w:r>
        <w:rPr>
          <w:rFonts w:ascii="Liberation Serif" w:hAnsi="Liberation Serif" w:eastAsia="DejaVu Sans" w:cs="Noto Sans Arabic"/>
          <w:color w:val="auto"/>
          <w:szCs w:val="24"/>
          <w:lang w:eastAsia="en-US" w:bidi="en-US" w:val="en-US"/>
        </w:rPr>
        <w:t>What are the initial groups??</w:t>
      </w:r>
    </w:p>
  </w:comment>
  <w:comment w:id="36" w:author="Schenk, Denis Elia (ARTORG)" w:date="2021-05-21T10:56:00Z" w:initials="SDE(">
    <w:p>
      <w:r>
        <w:rPr>
          <w:rFonts w:ascii="Liberation Serif" w:hAnsi="Liberation Serif" w:eastAsia="DejaVu Sans" w:cs="Noto Sans Arabic"/>
          <w:color w:val="auto"/>
          <w:szCs w:val="24"/>
          <w:lang w:eastAsia="en-US" w:bidi="en-US" w:val="en-US"/>
        </w:rPr>
        <w:t>How was that matching performed? Did you delete samples from the healthy group?</w:t>
      </w:r>
    </w:p>
  </w:comment>
  <w:comment w:id="37" w:author="Schenk, Denis Elia (ARTORG)" w:date="2021-05-21T10:57:00Z" w:initials="SDE(">
    <w:p>
      <w:r>
        <w:rPr>
          <w:rFonts w:ascii="Liberation Serif" w:hAnsi="Liberation Serif" w:eastAsia="DejaVu Sans" w:cs="Noto Sans Arabic"/>
          <w:color w:val="auto"/>
          <w:szCs w:val="24"/>
          <w:lang w:eastAsia="en-US" w:bidi="en-US" w:val="en-US"/>
        </w:rPr>
        <w:t>Don’t write how you choose the statistical test, but say what you used and why.</w:t>
      </w:r>
    </w:p>
  </w:comment>
  <w:comment w:id="38" w:author="Schenk, Denis Elia (ARTORG)" w:date="2021-05-21T10:57:00Z" w:initials="SDE(">
    <w:p>
      <w:r>
        <w:rPr>
          <w:rFonts w:ascii="Liberation Serif" w:hAnsi="Liberation Serif" w:eastAsia="DejaVu Sans" w:cs="Noto Sans Arabic"/>
          <w:color w:val="auto"/>
          <w:szCs w:val="24"/>
          <w:lang w:eastAsia="en-US" w:bidi="en-US" w:val="en-US"/>
        </w:rPr>
        <w:t>I don’t understand this sentence.</w:t>
      </w:r>
    </w:p>
  </w:comment>
  <w:comment w:id="39" w:author="Schenk, Denis Elia (ARTORG)" w:date="2021-05-21T10:59:00Z" w:initials="SDE(">
    <w:p>
      <w:r>
        <w:rPr>
          <w:rFonts w:ascii="Liberation Serif" w:hAnsi="Liberation Serif" w:eastAsia="DejaVu Sans" w:cs="Noto Sans Arabic"/>
          <w:color w:val="auto"/>
          <w:szCs w:val="24"/>
          <w:lang w:eastAsia="en-US" w:bidi="en-US" w:val="en-US"/>
        </w:rPr>
        <w:t>Could you state the formula you used?</w:t>
      </w:r>
    </w:p>
  </w:comment>
  <w:comment w:id="40" w:author="Schenk, Denis Elia (ARTORG)" w:date="2021-05-21T11:02:00Z" w:initials="SDE(">
    <w:p>
      <w:r>
        <w:rPr>
          <w:rFonts w:ascii="Liberation Serif" w:hAnsi="Liberation Serif" w:eastAsia="DejaVu Sans" w:cs="Noto Sans Arabic"/>
          <w:color w:val="auto"/>
          <w:szCs w:val="24"/>
          <w:lang w:eastAsia="en-US" w:bidi="en-US" w:val="en-US"/>
        </w:rPr>
        <w:t>DOA... again not sure</w:t>
      </w:r>
    </w:p>
  </w:comment>
  <w:comment w:id="41" w:author="Schenk, Denis Elia (ARTORG)" w:date="2021-05-21T11:03:00Z" w:initials="SDE(">
    <w:p>
      <w:r>
        <w:rPr>
          <w:rFonts w:ascii="Liberation Serif" w:hAnsi="Liberation Serif" w:eastAsia="DejaVu Sans" w:cs="Noto Sans Arabic"/>
          <w:color w:val="auto"/>
          <w:szCs w:val="24"/>
          <w:lang w:eastAsia="en-US" w:bidi="en-US" w:val="en-US"/>
        </w:rPr>
        <w:t>DOA...</w:t>
      </w:r>
    </w:p>
  </w:comment>
  <w:comment w:id="42" w:author="Schenk, Denis Elia (ARTORG)" w:date="2021-05-25T10:42:00Z" w:initials="SDE(">
    <w:p>
      <w:r>
        <w:rPr>
          <w:rFonts w:ascii="Liberation Serif" w:hAnsi="Liberation Serif" w:eastAsia="DejaVu Sans" w:cs="Noto Sans Arabic"/>
          <w:color w:val="auto"/>
          <w:szCs w:val="24"/>
          <w:lang w:eastAsia="en-US" w:bidi="en-US" w:val="en-US"/>
        </w:rPr>
        <w:t>Aain consistency. Use subjects, people or individuals, etc. But always the same.</w:t>
      </w:r>
    </w:p>
  </w:comment>
  <w:comment w:id="43" w:author="Schenk, Denis Elia (ARTORG)" w:date="2021-05-25T10:43:00Z" w:initials="SDE(">
    <w:p>
      <w:r>
        <w:rPr>
          <w:rFonts w:ascii="Liberation Serif" w:hAnsi="Liberation Serif" w:eastAsia="DejaVu Sans" w:cs="Noto Sans Arabic"/>
          <w:color w:val="auto"/>
          <w:szCs w:val="24"/>
          <w:lang w:eastAsia="en-US" w:bidi="en-US" w:val="en-US"/>
        </w:rPr>
        <w:t>CI of differences?</w:t>
      </w:r>
    </w:p>
  </w:comment>
  <w:comment w:id="44" w:author="Schenk, Denis Elia (ARTORG)" w:date="2021-05-25T10:44:00Z" w:initials="SDE(">
    <w:p>
      <w:r>
        <w:rPr>
          <w:rFonts w:ascii="Liberation Serif" w:hAnsi="Liberation Serif" w:eastAsia="DejaVu Sans" w:cs="Noto Sans Arabic"/>
          <w:color w:val="auto"/>
          <w:szCs w:val="24"/>
          <w:lang w:eastAsia="en-US" w:bidi="en-US" w:val="en-US"/>
        </w:rPr>
        <w:t>Again consistency</w:t>
      </w:r>
    </w:p>
  </w:comment>
  <w:comment w:id="45" w:author="Schenk, Denis Elia (ARTORG)" w:date="2021-05-25T10:45:00Z" w:initials="SDE(">
    <w:p>
      <w:r>
        <w:rPr>
          <w:rFonts w:ascii="Liberation Serif" w:hAnsi="Liberation Serif" w:eastAsia="DejaVu Sans" w:cs="Noto Sans Arabic"/>
          <w:color w:val="auto"/>
          <w:szCs w:val="24"/>
          <w:lang w:eastAsia="en-US" w:bidi="en-US" w:val="en-US"/>
        </w:rPr>
        <w:t>Why an exclusion range and not CI anymore?</w:t>
      </w:r>
    </w:p>
  </w:comment>
  <w:comment w:id="46" w:author="Schenk, Denis Elia (ARTORG)" w:date="2021-05-25T10:46:00Z" w:initials="SDE(">
    <w:p>
      <w:r>
        <w:rPr>
          <w:rFonts w:ascii="Liberation Serif" w:hAnsi="Liberation Serif" w:eastAsia="DejaVu Sans" w:cs="Noto Sans Arabic"/>
          <w:color w:val="auto"/>
          <w:szCs w:val="24"/>
          <w:lang w:eastAsia="en-US" w:bidi="en-US" w:val="en-US"/>
        </w:rPr>
        <w:t>consistency</w:t>
      </w:r>
    </w:p>
  </w:comment>
  <w:comment w:id="47" w:author="Schenk, Denis Elia (ARTORG)" w:date="2021-05-25T10:47:00Z" w:initials="SDE(">
    <w:p>
      <w:r>
        <w:rPr>
          <w:rFonts w:ascii="Liberation Serif" w:hAnsi="Liberation Serif" w:eastAsia="DejaVu Sans" w:cs="Noto Sans Arabic"/>
          <w:color w:val="auto"/>
          <w:szCs w:val="24"/>
          <w:lang w:eastAsia="en-US" w:bidi="en-US" w:val="en-US"/>
        </w:rPr>
        <w:t>not clear which group is lower! Was it OI minus Healthy or vice-versa?</w:t>
      </w:r>
    </w:p>
  </w:comment>
  <w:comment w:id="48" w:author="Schenk, Denis Elia (ARTORG)" w:date="2021-05-25T10:48:00Z" w:initials="SDE(">
    <w:p>
      <w:r>
        <w:rPr>
          <w:rFonts w:ascii="Liberation Serif" w:hAnsi="Liberation Serif" w:eastAsia="DejaVu Sans" w:cs="Noto Sans Arabic"/>
          <w:color w:val="auto"/>
          <w:szCs w:val="24"/>
          <w:lang w:eastAsia="en-US" w:bidi="en-US" w:val="en-US"/>
        </w:rPr>
        <w:t>What table? Better: Table XY compares absolute values and p-value sto literature.</w:t>
      </w:r>
    </w:p>
  </w:comment>
  <w:comment w:id="49" w:author="Schenk, Denis Elia (ARTORG)" w:date="2021-05-25T10:49:00Z" w:initials="SDE(">
    <w:p>
      <w:r>
        <w:rPr>
          <w:rFonts w:ascii="Liberation Serif" w:hAnsi="Liberation Serif" w:eastAsia="DejaVu Sans" w:cs="Noto Sans Arabic"/>
          <w:color w:val="auto"/>
          <w:szCs w:val="24"/>
          <w:lang w:eastAsia="en-US" w:bidi="en-US" w:val="en-US"/>
        </w:rPr>
        <w:t>Then just state that it’s fairly consistent or in agreement or so.</w:t>
      </w:r>
    </w:p>
  </w:comment>
  <w:comment w:id="50" w:author="Schenk, Denis Elia (ARTORG)" w:date="2021-05-25T10:51:00Z" w:initials="SDE(">
    <w:p>
      <w:r>
        <w:rPr>
          <w:rFonts w:ascii="Liberation Serif" w:hAnsi="Liberation Serif" w:eastAsia="DejaVu Sans" w:cs="Noto Sans Arabic"/>
          <w:color w:val="auto"/>
          <w:szCs w:val="24"/>
          <w:lang w:eastAsia="en-US" w:bidi="en-US" w:val="en-US"/>
        </w:rPr>
        <w:t>Ifyou have no statistical tests, better write seem tob e higher</w:t>
      </w:r>
    </w:p>
  </w:comment>
  <w:comment w:id="51" w:author="Schenk, Denis Elia (ARTORG)" w:date="2021-05-25T10:57:00Z" w:initials="SDE(">
    <w:p>
      <w:r>
        <w:rPr>
          <w:rFonts w:ascii="Liberation Serif" w:hAnsi="Liberation Serif" w:eastAsia="DejaVu Sans" w:cs="Noto Sans Arabic"/>
          <w:color w:val="auto"/>
          <w:szCs w:val="24"/>
          <w:lang w:eastAsia="en-US" w:bidi="en-US" w:val="en-US"/>
        </w:rPr>
        <w:t>Stiffness tensors? If yes, then better write it.</w:t>
      </w:r>
    </w:p>
  </w:comment>
  <w:comment w:id="52" w:author="Schenk, Denis Elia (ARTORG)" w:date="2021-05-25T10:55:00Z" w:initials="SDE(">
    <w:p>
      <w:r>
        <w:rPr>
          <w:rFonts w:ascii="Liberation Serif" w:hAnsi="Liberation Serif" w:eastAsia="DejaVu Sans" w:cs="Noto Sans Arabic"/>
          <w:color w:val="auto"/>
          <w:szCs w:val="24"/>
          <w:lang w:eastAsia="en-US" w:bidi="en-US" w:val="en-US"/>
        </w:rPr>
        <w:t>Thats probably already introduced in the methods section, no?</w:t>
      </w:r>
    </w:p>
  </w:comment>
  <w:comment w:id="53" w:author="Schenk, Denis Elia (ARTORG)" w:date="2021-05-25T10:58:00Z" w:initials="SDE(">
    <w:p>
      <w:r>
        <w:rPr>
          <w:rFonts w:ascii="Liberation Serif" w:hAnsi="Liberation Serif" w:eastAsia="DejaVu Sans" w:cs="Noto Sans Arabic"/>
          <w:color w:val="auto"/>
          <w:szCs w:val="24"/>
          <w:lang w:eastAsia="en-US" w:bidi="en-US" w:val="en-US"/>
        </w:rPr>
        <w:t>Stiffness...?</w:t>
      </w:r>
    </w:p>
  </w:comment>
  <w:comment w:id="54" w:author="Schenk, Denis Elia (ARTORG)" w:date="2021-05-25T11:01:00Z" w:initials="SDE(">
    <w:p>
      <w:r>
        <w:rPr>
          <w:rFonts w:ascii="Liberation Serif" w:hAnsi="Liberation Serif" w:eastAsia="DejaVu Sans" w:cs="Noto Sans Arabic"/>
          <w:color w:val="auto"/>
          <w:szCs w:val="24"/>
          <w:lang w:eastAsia="en-US" w:bidi="en-US" w:val="en-US"/>
        </w:rPr>
        <w:t xml:space="preserve">What examples? 3D representations? Segmentation? </w:t>
      </w:r>
      <w:r>
        <w:rPr>
          <w:rFonts w:ascii="Liberation Serif" w:hAnsi="Liberation Serif" w:eastAsia="DejaVu Sans" w:cs="Noto Sans Arabic"/>
          <w:color w:val="auto"/>
          <w:szCs w:val="24"/>
          <w:lang w:val="en-US" w:eastAsia="en-US" w:bidi="en-US"/>
        </w:rPr>
        <w:t>BMD?</w:t>
      </w:r>
    </w:p>
  </w:comment>
  <w:comment w:id="55" w:author="Schenk, Denis Elia (ARTORG)" w:date="2021-05-25T11:06:00Z" w:initials="SDE(">
    <w:p>
      <w:r>
        <w:rPr>
          <w:rFonts w:ascii="Liberation Serif" w:hAnsi="Liberation Serif" w:eastAsia="DejaVu Sans" w:cs="Noto Sans Arabic"/>
          <w:color w:val="auto"/>
          <w:szCs w:val="24"/>
          <w:lang w:val="en-US" w:eastAsia="en-US" w:bidi="en-US"/>
        </w:rPr>
        <w:t>?</w:t>
      </w:r>
    </w:p>
  </w:comment>
  <w:comment w:id="56" w:author="Schenk, Denis Elia (ARTORG)" w:date="2021-05-25T11:06:00Z" w:initials="SDE(">
    <w:p>
      <w:r>
        <w:rPr>
          <w:rFonts w:ascii="Liberation Serif" w:hAnsi="Liberation Serif" w:eastAsia="DejaVu Sans" w:cs="Noto Sans Arabic"/>
          <w:color w:val="auto"/>
          <w:szCs w:val="24"/>
          <w:lang w:eastAsia="en-US" w:bidi="en-US" w:val="en-US"/>
        </w:rPr>
        <w:t>What values? The Zysset Curnier ones? Ort he quality oft he fit? Better rewrite: Values of lambda, (…= in OI dataset increased by 15%, (…).</w:t>
      </w:r>
    </w:p>
  </w:comment>
  <w:comment w:id="57" w:author="Schenk, Denis Elia (ARTORG)" w:date="2021-05-26T15:08:00Z" w:initials="SDE(">
    <w:p>
      <w:r>
        <w:rPr>
          <w:rFonts w:ascii="Liberation Serif" w:hAnsi="Liberation Serif" w:eastAsia="DejaVu Sans" w:cs="Noto Sans Arabic"/>
          <w:color w:val="auto"/>
          <w:szCs w:val="24"/>
          <w:lang w:eastAsia="en-US" w:bidi="en-US" w:val="en-US"/>
        </w:rPr>
        <w:t>First, very shortly describe, what you have done (compare to previous studies of us, e.g. my reproducibility study)</w:t>
      </w:r>
    </w:p>
  </w:comment>
  <w:comment w:id="58" w:author="Schenk, Denis Elia (ARTORG)" w:date="2021-05-26T15:13:00Z" w:initials="SDE(">
    <w:p>
      <w:r>
        <w:rPr>
          <w:rFonts w:ascii="Liberation Serif" w:hAnsi="Liberation Serif" w:eastAsia="DejaVu Sans" w:cs="Noto Sans Arabic"/>
          <w:color w:val="auto"/>
          <w:szCs w:val="24"/>
          <w:lang w:eastAsia="en-US" w:bidi="en-US" w:val="en-US"/>
        </w:rPr>
        <w:t>Have you never used the abbrev. XCT?</w:t>
      </w:r>
    </w:p>
  </w:comment>
  <w:comment w:id="59" w:author="Schenk, Denis Elia (ARTORG)" w:date="2021-05-31T15:55:00Z" w:initials="SDE(">
    <w:p>
      <w:r>
        <w:rPr>
          <w:rFonts w:ascii="Liberation Serif" w:hAnsi="Liberation Serif" w:eastAsia="DejaVu Sans" w:cs="Noto Sans Arabic"/>
          <w:color w:val="auto"/>
          <w:szCs w:val="24"/>
          <w:lang w:val="en-US" w:eastAsia="en-US" w:bidi="en-US"/>
        </w:rPr>
        <w:t xml:space="preserve">Would rewrite this sentence. </w:t>
      </w:r>
    </w:p>
  </w:comment>
  <w:comment w:id="60" w:author="Schenk, Denis Elia (ARTORG)" w:date="2021-05-31T15:58:00Z" w:initials="SDE(">
    <w:p>
      <w:r>
        <w:rPr>
          <w:rFonts w:ascii="Liberation Serif" w:hAnsi="Liberation Serif" w:eastAsia="DejaVu Sans" w:cs="Noto Sans Arabic"/>
          <w:color w:val="auto"/>
          <w:szCs w:val="24"/>
          <w:lang w:eastAsia="en-US" w:bidi="en-US" w:val="en-US"/>
        </w:rPr>
        <w:t>I don’t see why this justifies a variable matching. Maybe you could add a sentence about this. “, because (…)”</w:t>
      </w:r>
    </w:p>
  </w:comment>
  <w:comment w:id="61" w:author="Schenk, Denis Elia (ARTORG)" w:date="2021-05-31T16:01:00Z" w:initials="SDE(">
    <w:p>
      <w:r>
        <w:rPr>
          <w:rFonts w:ascii="Liberation Serif" w:hAnsi="Liberation Serif" w:eastAsia="DejaVu Sans" w:cs="Noto Sans Arabic"/>
          <w:color w:val="auto"/>
          <w:szCs w:val="24"/>
          <w:lang w:eastAsia="en-US" w:bidi="en-US" w:val="en-US"/>
        </w:rPr>
        <w:t>Regression on what variables? If you mean all regressions prerformed in the present study, I would write this.</w:t>
      </w:r>
    </w:p>
  </w:comment>
  <w:comment w:id="62" w:author="Schenk, Denis Elia (ARTORG)" w:date="2021-05-31T15:59:00Z" w:initials="SDE(">
    <w:p>
      <w:r>
        <w:rPr>
          <w:rFonts w:ascii="Liberation Serif" w:hAnsi="Liberation Serif" w:eastAsia="DejaVu Sans" w:cs="Noto Sans Arabic"/>
          <w:color w:val="auto"/>
          <w:szCs w:val="24"/>
          <w:lang w:eastAsia="en-US" w:bidi="en-US" w:val="en-US"/>
        </w:rPr>
        <w:t xml:space="preserve">What was this expected range based on? Or would you better say in the range of </w:t>
      </w:r>
      <w:r>
        <w:rPr>
          <w:rFonts w:ascii="Liberation Serif" w:hAnsi="Liberation Serif" w:eastAsia="DejaVu Sans" w:cs="Noto Sans Arabic"/>
          <w:color w:val="auto"/>
          <w:sz w:val="22"/>
          <w:szCs w:val="22"/>
          <w:lang w:eastAsia="en-US" w:bidi="en-US" w:val="en-GB"/>
        </w:rPr>
        <w:t>Panyasantisuk</w:t>
      </w:r>
      <w:r>
        <w:rPr>
          <w:rFonts w:ascii="Liberation Serif" w:hAnsi="Liberation Serif" w:eastAsia="DejaVu Sans" w:cs="Noto Sans Arabic"/>
          <w:color w:val="auto"/>
          <w:szCs w:val="24"/>
          <w:lang w:eastAsia="en-US" w:bidi="en-US" w:val="en-US"/>
        </w:rPr>
        <w:t>?</w:t>
      </w:r>
    </w:p>
  </w:comment>
  <w:comment w:id="63" w:author="Schenk, Denis Elia (ARTORG)" w:date="2021-05-31T16:02:00Z" w:initials="SDE(">
    <w:p>
      <w:r>
        <w:rPr>
          <w:rFonts w:ascii="Liberation Serif" w:hAnsi="Liberation Serif" w:eastAsia="DejaVu Sans" w:cs="Noto Sans Arabic"/>
          <w:color w:val="auto"/>
          <w:szCs w:val="24"/>
          <w:lang w:val="en-US" w:eastAsia="en-US" w:bidi="en-US"/>
        </w:rPr>
        <w:t>Same here</w:t>
      </w:r>
    </w:p>
  </w:comment>
  <w:comment w:id="64" w:author="Schenk, Denis Elia (ARTORG)" w:date="2021-05-31T16:02:00Z" w:initials="SDE(">
    <w:p>
      <w:r>
        <w:rPr>
          <w:rFonts w:ascii="Liberation Serif" w:hAnsi="Liberation Serif" w:eastAsia="DejaVu Sans" w:cs="Noto Sans Arabic"/>
          <w:color w:val="auto"/>
          <w:szCs w:val="24"/>
          <w:lang w:eastAsia="en-US" w:bidi="en-US" w:val="en-US"/>
        </w:rPr>
        <w:t>Reach usually? Again, if this range is based on jarunans paper, please write this.</w:t>
      </w:r>
    </w:p>
  </w:comment>
  <w:comment w:id="65" w:author="Schenk, Denis Elia (ARTORG)" w:date="2021-05-31T16:06:00Z" w:initials="SDE(">
    <w:p>
      <w:r>
        <w:rPr>
          <w:rFonts w:ascii="Liberation Serif" w:hAnsi="Liberation Serif" w:eastAsia="DejaVu Sans" w:cs="Noto Sans Arabic"/>
          <w:color w:val="auto"/>
          <w:szCs w:val="24"/>
          <w:lang w:val="en-US" w:eastAsia="en-US" w:bidi="en-US"/>
        </w:rPr>
        <w:t>What plot =)</w:t>
      </w:r>
    </w:p>
  </w:comment>
  <w:comment w:id="66" w:author="Schenk, Denis Elia (ARTORG)" w:date="2021-05-31T16:10:00Z" w:initials="SDE(">
    <w:p>
      <w:r>
        <w:rPr>
          <w:rFonts w:ascii="Liberation Serif" w:hAnsi="Liberation Serif" w:eastAsia="DejaVu Sans" w:cs="Noto Sans Arabic"/>
          <w:color w:val="auto"/>
          <w:szCs w:val="24"/>
          <w:lang w:eastAsia="en-US" w:bidi="en-US" w:val="en-US"/>
        </w:rPr>
        <w:t xml:space="preserve">Just something I noticed now: Sometimes you write about regression and sometimes about fits. </w:t>
      </w:r>
      <w:r>
        <w:rPr>
          <w:rFonts w:ascii="Liberation Serif" w:hAnsi="Liberation Serif" w:eastAsia="DejaVu Sans" w:cs="Noto Sans Arabic"/>
          <w:color w:val="auto"/>
          <w:szCs w:val="24"/>
          <w:lang w:val="en-US" w:eastAsia="en-US" w:bidi="en-US"/>
        </w:rPr>
        <w:t>I would just use regression analysis consistently.</w:t>
      </w:r>
    </w:p>
  </w:comment>
  <w:comment w:id="67" w:author="Schenk, Denis Elia (ARTORG)" w:date="2021-05-31T16:12:00Z" w:initials="SDE(">
    <w:p>
      <w:r>
        <w:rPr>
          <w:rFonts w:ascii="Liberation Serif" w:hAnsi="Liberation Serif" w:eastAsia="DejaVu Sans" w:cs="Noto Sans Arabic"/>
          <w:color w:val="auto"/>
          <w:szCs w:val="24"/>
          <w:lang w:eastAsia="en-US" w:bidi="en-US" w:val="en-US"/>
        </w:rPr>
        <w:t>This makes no sense for me. What do you want to say here?</w:t>
      </w:r>
    </w:p>
  </w:comment>
  <w:comment w:id="68" w:author="Schenk, Denis Elia (ARTORG)" w:date="2021-05-31T16:12:00Z" w:initials="SDE(">
    <w:p>
      <w:r>
        <w:rPr>
          <w:rFonts w:ascii="Liberation Serif" w:hAnsi="Liberation Serif" w:eastAsia="DejaVu Sans" w:cs="Noto Sans Arabic"/>
          <w:color w:val="auto"/>
          <w:szCs w:val="24"/>
          <w:lang w:eastAsia="en-US" w:bidi="en-US" w:val="en-US"/>
        </w:rPr>
        <w:t>Compared to unfiltered? Ort o OI?</w:t>
      </w:r>
    </w:p>
  </w:comment>
  <w:comment w:id="69" w:author="Schenk, Denis Elia (ARTORG)" w:date="2021-05-31T16:14:00Z" w:initials="SDE(">
    <w:p>
      <w:r>
        <w:rPr>
          <w:rFonts w:ascii="Liberation Serif" w:hAnsi="Liberation Serif" w:eastAsia="DejaVu Sans" w:cs="Noto Sans Arabic"/>
          <w:color w:val="auto"/>
          <w:szCs w:val="24"/>
          <w:lang w:eastAsia="en-US" w:bidi="en-US" w:val="en-US"/>
        </w:rPr>
        <w:t>So both...? Better write: «The filtering eliminates data points further away and very close to the diagonal, leading to a smaller dataset.</w:t>
      </w:r>
    </w:p>
  </w:comment>
  <w:comment w:id="70" w:author="Schenk, Denis Elia (ARTORG)" w:date="2021-05-31T16:15:00Z" w:initials="SDE(">
    <w:p>
      <w:r>
        <w:rPr>
          <w:rFonts w:ascii="Liberation Serif" w:hAnsi="Liberation Serif" w:eastAsia="DejaVu Sans" w:cs="Noto Sans Arabic"/>
          <w:color w:val="auto"/>
          <w:szCs w:val="24"/>
          <w:lang w:eastAsia="en-US" w:bidi="en-US" w:val="en-US"/>
        </w:rPr>
        <w:t>Why is R^2 stated here?</w:t>
      </w:r>
    </w:p>
  </w:comment>
  <w:comment w:id="71" w:author="Schenk, Denis Elia (ARTORG)" w:date="2021-05-31T16:16:00Z" w:initials="SDE(">
    <w:p>
      <w:r>
        <w:rPr>
          <w:rFonts w:ascii="Liberation Serif" w:hAnsi="Liberation Serif" w:eastAsia="DejaVu Sans" w:cs="Noto Sans Arabic"/>
          <w:color w:val="auto"/>
          <w:szCs w:val="24"/>
          <w:lang w:eastAsia="en-US" w:bidi="en-US" w:val="en-US"/>
        </w:rPr>
        <w:t>Improvement in fit? Better say increasing coefficient of regression.</w:t>
      </w:r>
    </w:p>
  </w:comment>
  <w:comment w:id="72" w:author="Schenk, Denis Elia (ARTORG)" w:date="2021-05-31T16:21:00Z" w:initials="SDE(">
    <w:p>
      <w:r>
        <w:rPr>
          <w:rFonts w:ascii="Liberation Serif" w:hAnsi="Liberation Serif" w:eastAsia="DejaVu Sans" w:cs="Noto Sans Arabic"/>
          <w:color w:val="auto"/>
          <w:szCs w:val="24"/>
          <w:lang w:val="en-US" w:eastAsia="en-US" w:bidi="en-US"/>
        </w:rPr>
        <w:t>Or regression analysis...</w:t>
      </w:r>
    </w:p>
  </w:comment>
  <w:comment w:id="73" w:author="Schenk, Denis Elia (ARTORG)" w:date="2021-05-31T16:21:00Z" w:initials="SDE(">
    <w:p>
      <w:r>
        <w:rPr>
          <w:rFonts w:ascii="Liberation Serif" w:hAnsi="Liberation Serif" w:eastAsia="DejaVu Sans" w:cs="Noto Sans Arabic"/>
          <w:color w:val="auto"/>
          <w:szCs w:val="24"/>
          <w:lang w:eastAsia="en-US" w:bidi="en-US" w:val="en-US"/>
        </w:rPr>
        <w:t>A general comment: You have quite a complicated procedure with many different data sets. There are healthy and OI, individual and combined, matched and unmatched. Please be very specific in the naming everytimand use the terms consistently. I don't remember, but when you describe the procedures would write "This data set is later called unmatched(..)"</w:t>
      </w:r>
    </w:p>
  </w:comment>
  <w:comment w:id="74" w:author="Schenk, Denis Elia (ARTORG)" w:date="2021-05-31T16:24:00Z" w:initials="SDE(">
    <w:p>
      <w:r>
        <w:rPr>
          <w:rFonts w:ascii="Liberation Serif" w:hAnsi="Liberation Serif" w:eastAsia="DejaVu Sans" w:cs="Noto Sans Arabic"/>
          <w:color w:val="auto"/>
          <w:szCs w:val="24"/>
          <w:lang w:eastAsia="en-US" w:bidi="en-US" w:val="en-US"/>
        </w:rPr>
        <w:t>Once again, you have quite some groups. Here I would state OI and healthy.</w:t>
      </w:r>
    </w:p>
  </w:comment>
  <w:comment w:id="75" w:author="Schenk, Denis Elia (ARTORG)" w:date="2021-05-31T16:25:00Z" w:initials="SDE(">
    <w:p>
      <w:r>
        <w:rPr>
          <w:rFonts w:ascii="Liberation Serif" w:hAnsi="Liberation Serif" w:eastAsia="DejaVu Sans" w:cs="Noto Sans Arabic"/>
          <w:color w:val="auto"/>
          <w:szCs w:val="24"/>
          <w:lang w:eastAsia="en-US" w:bidi="en-US" w:val="en-US"/>
        </w:rPr>
        <w:t>Is this common range large compared tot he range of values?</w:t>
      </w:r>
    </w:p>
  </w:comment>
  <w:comment w:id="76" w:author="Schenk, Denis Elia (ARTORG)" w:date="2021-05-31T16:27:00Z" w:initials="SDE(">
    <w:p>
      <w:r>
        <w:rPr>
          <w:rFonts w:ascii="Liberation Serif" w:hAnsi="Liberation Serif" w:eastAsia="DejaVu Sans" w:cs="Noto Sans Arabic"/>
          <w:color w:val="auto"/>
          <w:szCs w:val="24"/>
          <w:lang w:eastAsia="en-US" w:bidi="en-US" w:val="en-US"/>
        </w:rPr>
        <w:t xml:space="preserve">I like this argumentation a lot! </w:t>
      </w:r>
      <w:r>
        <w:rPr>
          <w:rFonts w:ascii="Liberation Serif" w:hAnsi="Liberation Serif" w:eastAsia="DejaVu Sans" w:cs="Noto Sans Arabic"/>
          <w:color w:val="auto"/>
          <w:szCs w:val="24"/>
          <w:lang w:val="en-US" w:eastAsia="en-US" w:bidi="en-US"/>
        </w:rPr>
        <w:t>Well done!</w:t>
      </w:r>
    </w:p>
  </w:comment>
  <w:comment w:id="77" w:author="Schenk, Denis Elia (ARTORG)" w:date="2021-05-31T16:30:00Z" w:initials="SDE(">
    <w:p>
      <w:r>
        <w:rPr>
          <w:rFonts w:ascii="Liberation Serif" w:hAnsi="Liberation Serif" w:eastAsia="DejaVu Sans" w:cs="Noto Sans Arabic"/>
          <w:color w:val="auto"/>
          <w:szCs w:val="24"/>
          <w:lang w:val="en-US" w:eastAsia="en-US" w:bidi="en-US"/>
        </w:rPr>
        <w:t>Like that!</w:t>
      </w:r>
    </w:p>
  </w:comment>
  <w:comment w:id="78" w:author="Schenk, Denis Elia (ARTORG)" w:date="2021-05-31T16:31:00Z" w:initials="SDE(">
    <w:p>
      <w:r>
        <w:rPr>
          <w:rFonts w:ascii="Liberation Serif" w:hAnsi="Liberation Serif" w:eastAsia="DejaVu Sans" w:cs="Noto Sans Arabic"/>
          <w:color w:val="auto"/>
          <w:szCs w:val="24"/>
          <w:lang w:val="en-US" w:eastAsia="en-US" w:bidi="en-US"/>
        </w:rPr>
        <w:t>Like that too!</w:t>
      </w:r>
    </w:p>
  </w:comment>
  <w:comment w:id="79" w:author="Schenk, Denis Elia (ARTORG)" w:date="2021-05-31T16:31:00Z" w:initials="SDE(">
    <w:p>
      <w:r>
        <w:rPr>
          <w:rFonts w:ascii="Liberation Serif" w:hAnsi="Liberation Serif" w:eastAsia="DejaVu Sans" w:cs="Noto Sans Arabic"/>
          <w:color w:val="auto"/>
          <w:szCs w:val="24"/>
          <w:lang w:val="en-US" w:eastAsia="en-US" w:bidi="en-US"/>
        </w:rPr>
        <w:t>Or regression...</w:t>
      </w:r>
    </w:p>
  </w:comment>
  <w:comment w:id="80" w:author="Schenk, Denis Elia (ARTORG)" w:date="2021-05-31T16:33:00Z" w:initials="SDE(">
    <w:p>
      <w:r>
        <w:rPr>
          <w:rFonts w:ascii="Liberation Serif" w:hAnsi="Liberation Serif" w:eastAsia="DejaVu Sans" w:cs="Noto Sans Arabic"/>
          <w:color w:val="auto"/>
          <w:szCs w:val="24"/>
          <w:lang w:eastAsia="en-US" w:bidi="en-US" w:val="en-US"/>
        </w:rPr>
        <w:t>Can be, or is? I suppose that this impact can very well be significant, as soon as the proportion of such low stiffness elements grows… So actually, one should make sure, that this proportion is low enough to state that their impact is non-significant. You understand what I mean?</w:t>
      </w:r>
    </w:p>
  </w:comment>
  <w:comment w:id="81" w:author="Schenk, Denis Elia (ARTORG)" w:date="2021-05-31T16:36:00Z" w:initials="SDE(">
    <w:p>
      <w:r>
        <w:rPr>
          <w:rFonts w:ascii="Liberation Serif" w:hAnsi="Liberation Serif" w:eastAsia="DejaVu Sans" w:cs="Noto Sans Arabic"/>
          <w:color w:val="auto"/>
          <w:szCs w:val="24"/>
          <w:lang w:eastAsia="en-US" w:bidi="en-US" w:val="en-US"/>
        </w:rPr>
        <w:t>But as you stated above, what is «homogeneous enough»…</w:t>
      </w:r>
    </w:p>
  </w:comment>
  <w:comment w:id="82" w:author="Schenk, Denis Elia (ARTORG)" w:date="2021-05-31T16:40:00Z" w:initials="SDE(">
    <w:p>
      <w:r>
        <w:rPr>
          <w:rFonts w:ascii="Liberation Serif" w:hAnsi="Liberation Serif" w:eastAsia="DejaVu Sans" w:cs="Noto Sans Arabic"/>
          <w:color w:val="auto"/>
          <w:szCs w:val="24"/>
          <w:lang w:eastAsia="en-US" w:bidi="en-US" w:val="en-US"/>
        </w:rPr>
        <w:t>But didn’t he showed this on micro-level? I’m not sure anymore. But if yes, I would state that.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mo">
    <w:altName w:val="arial"/>
    <w:charset w:val="01"/>
    <w:family w:val="roman"/>
    <w:pitch w:val="variable"/>
  </w:font>
  <w:font w:name="Liberation Sans">
    <w:altName w:val="Arial"/>
    <w:charset w:val="01"/>
    <w:family w:val="swiss"/>
    <w:pitch w:val="variable"/>
  </w:font>
  <w:font w:name="Courier New">
    <w:charset w:val="01"/>
    <w:family w:val="roman"/>
    <w:pitch w:val="variable"/>
  </w:font>
  <w:font w:name="Latin Modern Math">
    <w:charset w:val="01"/>
    <w:family w:val="roman"/>
    <w:pitch w:val="variable"/>
  </w:font>
  <w:font w:name="Go Smallcaps">
    <w:charset w:val="01"/>
    <w:family w:val="roman"/>
    <w:pitch w:val="variable"/>
  </w:font>
  <w:font w:name="Cambria Math">
    <w:charset w:val="01"/>
    <w:family w:val="roman"/>
    <w:pitch w:val="variable"/>
  </w:font>
  <w:font w:name="Latin Modern Mono">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0" w:hanging="0"/>
      </w:pPr>
      <w:rPr>
        <w:rFonts w:cs="Times New Roman"/>
      </w:rPr>
    </w:lvl>
    <w:lvl w:ilvl="1">
      <w:start w:val="1"/>
      <w:numFmt w:val="lowerRoman"/>
      <w:lvlText w:val="[%2]"/>
      <w:lvlJc w:val="left"/>
      <w:pPr>
        <w:tabs>
          <w:tab w:val="num" w:pos="0"/>
        </w:tabs>
        <w:ind w:left="0" w:hanging="0"/>
      </w:pPr>
      <w:rPr>
        <w:rFonts w:cs="Times New Roman"/>
      </w:rPr>
    </w:lvl>
    <w:lvl w:ilvl="2">
      <w:start w:val="1"/>
      <w:numFmt w:val="lowerLetter"/>
      <w:lvlText w:val="[%3]"/>
      <w:lvlJc w:val="left"/>
      <w:pPr>
        <w:tabs>
          <w:tab w:val="num" w:pos="0"/>
        </w:tabs>
        <w:ind w:left="0" w:hanging="0"/>
      </w:pPr>
      <w:rPr>
        <w:rFonts w:cs="Times New Roman"/>
      </w:rPr>
    </w:lvl>
    <w:lvl w:ilvl="3">
      <w:start w:val="1"/>
      <w:numFmt w:val="decimal"/>
      <w:lvlText w:val="[%4]"/>
      <w:lvlJc w:val="left"/>
      <w:pPr>
        <w:tabs>
          <w:tab w:val="num" w:pos="0"/>
        </w:tabs>
        <w:ind w:left="0" w:hanging="0"/>
      </w:pPr>
      <w:rPr>
        <w:rFonts w:cs="Times New Roman"/>
      </w:rPr>
    </w:lvl>
    <w:lvl w:ilvl="4">
      <w:start w:val="1"/>
      <w:numFmt w:val="lowerRoman"/>
      <w:lvlText w:val="[%5]"/>
      <w:lvlJc w:val="left"/>
      <w:pPr>
        <w:tabs>
          <w:tab w:val="num" w:pos="0"/>
        </w:tabs>
        <w:ind w:left="0" w:hanging="0"/>
      </w:pPr>
      <w:rPr>
        <w:rFonts w:cs="Times New Roman"/>
      </w:rPr>
    </w:lvl>
    <w:lvl w:ilvl="5">
      <w:start w:val="1"/>
      <w:numFmt w:val="lowerLetter"/>
      <w:lvlText w:val="[%6]"/>
      <w:lvlJc w:val="left"/>
      <w:pPr>
        <w:tabs>
          <w:tab w:val="num" w:pos="0"/>
        </w:tabs>
        <w:ind w:left="0" w:hanging="0"/>
      </w:pPr>
      <w:rPr>
        <w:rFonts w:cs="Times New Roman"/>
      </w:rPr>
    </w:lvl>
    <w:lvl w:ilvl="6">
      <w:start w:val="1"/>
      <w:numFmt w:val="decimal"/>
      <w:lvlText w:val="[%7]"/>
      <w:lvlJc w:val="left"/>
      <w:pPr>
        <w:tabs>
          <w:tab w:val="num" w:pos="0"/>
        </w:tabs>
        <w:ind w:left="0" w:hanging="0"/>
      </w:pPr>
      <w:rPr>
        <w:rFonts w:cs="Times New Roman"/>
      </w:rPr>
    </w:lvl>
    <w:lvl w:ilvl="7">
      <w:start w:val="1"/>
      <w:numFmt w:val="lowerRoman"/>
      <w:lvlText w:val="[%8]"/>
      <w:lvlJc w:val="left"/>
      <w:pPr>
        <w:tabs>
          <w:tab w:val="num" w:pos="0"/>
        </w:tabs>
        <w:ind w:left="0" w:hanging="0"/>
      </w:pPr>
      <w:rPr>
        <w:rFonts w:cs="Times New Roman"/>
      </w:rPr>
    </w:lvl>
    <w:lvl w:ilvl="8">
      <w:start w:val="1"/>
      <w:numFmt w:val="lowerLetter"/>
      <w:lvlText w:val="[%9]"/>
      <w:lvlJc w:val="left"/>
      <w:pPr>
        <w:tabs>
          <w:tab w:val="num" w:pos="0"/>
        </w:tabs>
        <w:ind w:left="0" w:hanging="0"/>
      </w:pPr>
      <w:rPr>
        <w:rFonts w:cs="Times New Roman"/>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1426" w:hanging="360"/>
      </w:pPr>
    </w:lvl>
    <w:lvl w:ilvl="1">
      <w:start w:val="1"/>
      <w:numFmt w:val="lowerLetter"/>
      <w:lvlText w:val="%2."/>
      <w:lvlJc w:val="left"/>
      <w:pPr>
        <w:tabs>
          <w:tab w:val="num" w:pos="0"/>
        </w:tabs>
        <w:ind w:left="2146" w:hanging="360"/>
      </w:pPr>
    </w:lvl>
    <w:lvl w:ilvl="2">
      <w:start w:val="1"/>
      <w:numFmt w:val="lowerRoman"/>
      <w:lvlText w:val="%3."/>
      <w:lvlJc w:val="right"/>
      <w:pPr>
        <w:tabs>
          <w:tab w:val="num" w:pos="0"/>
        </w:tabs>
        <w:ind w:left="2866" w:hanging="180"/>
      </w:pPr>
    </w:lvl>
    <w:lvl w:ilvl="3">
      <w:start w:val="1"/>
      <w:numFmt w:val="decimal"/>
      <w:lvlText w:val="%4."/>
      <w:lvlJc w:val="left"/>
      <w:pPr>
        <w:tabs>
          <w:tab w:val="num" w:pos="0"/>
        </w:tabs>
        <w:ind w:left="3586" w:hanging="360"/>
      </w:pPr>
    </w:lvl>
    <w:lvl w:ilvl="4">
      <w:start w:val="1"/>
      <w:numFmt w:val="lowerLetter"/>
      <w:lvlText w:val="%5."/>
      <w:lvlJc w:val="left"/>
      <w:pPr>
        <w:tabs>
          <w:tab w:val="num" w:pos="0"/>
        </w:tabs>
        <w:ind w:left="4306" w:hanging="360"/>
      </w:pPr>
    </w:lvl>
    <w:lvl w:ilvl="5">
      <w:start w:val="1"/>
      <w:numFmt w:val="lowerRoman"/>
      <w:lvlText w:val="%6."/>
      <w:lvlJc w:val="right"/>
      <w:pPr>
        <w:tabs>
          <w:tab w:val="num" w:pos="0"/>
        </w:tabs>
        <w:ind w:left="5026" w:hanging="180"/>
      </w:pPr>
    </w:lvl>
    <w:lvl w:ilvl="6">
      <w:start w:val="1"/>
      <w:numFmt w:val="decimal"/>
      <w:lvlText w:val="%7."/>
      <w:lvlJc w:val="left"/>
      <w:pPr>
        <w:tabs>
          <w:tab w:val="num" w:pos="0"/>
        </w:tabs>
        <w:ind w:left="5746" w:hanging="360"/>
      </w:pPr>
    </w:lvl>
    <w:lvl w:ilvl="7">
      <w:start w:val="1"/>
      <w:numFmt w:val="lowerLetter"/>
      <w:lvlText w:val="%8."/>
      <w:lvlJc w:val="left"/>
      <w:pPr>
        <w:tabs>
          <w:tab w:val="num" w:pos="0"/>
        </w:tabs>
        <w:ind w:left="6466" w:hanging="360"/>
      </w:pPr>
    </w:lvl>
    <w:lvl w:ilvl="8">
      <w:start w:val="1"/>
      <w:numFmt w:val="lowerRoman"/>
      <w:lvlText w:val="%9."/>
      <w:lvlJc w:val="right"/>
      <w:pPr>
        <w:tabs>
          <w:tab w:val="num" w:pos="0"/>
        </w:tabs>
        <w:ind w:left="7186" w:hanging="180"/>
      </w:pPr>
    </w:lvl>
  </w:abstractNum>
  <w:abstractNum w:abstractNumId="4">
    <w:lvl w:ilvl="0">
      <w:start w:val="1"/>
      <w:numFmt w:val="decimal"/>
      <w:lvlText w:val="%1."/>
      <w:lvlJc w:val="left"/>
      <w:pPr>
        <w:tabs>
          <w:tab w:val="num" w:pos="0"/>
        </w:tabs>
        <w:ind w:left="1426" w:hanging="360"/>
      </w:pPr>
    </w:lvl>
    <w:lvl w:ilvl="1">
      <w:start w:val="1"/>
      <w:numFmt w:val="lowerLetter"/>
      <w:lvlText w:val="%2."/>
      <w:lvlJc w:val="left"/>
      <w:pPr>
        <w:tabs>
          <w:tab w:val="num" w:pos="0"/>
        </w:tabs>
        <w:ind w:left="2146" w:hanging="360"/>
      </w:pPr>
    </w:lvl>
    <w:lvl w:ilvl="2">
      <w:start w:val="1"/>
      <w:numFmt w:val="lowerRoman"/>
      <w:lvlText w:val="%3."/>
      <w:lvlJc w:val="right"/>
      <w:pPr>
        <w:tabs>
          <w:tab w:val="num" w:pos="0"/>
        </w:tabs>
        <w:ind w:left="2866" w:hanging="180"/>
      </w:pPr>
    </w:lvl>
    <w:lvl w:ilvl="3">
      <w:start w:val="1"/>
      <w:numFmt w:val="decimal"/>
      <w:lvlText w:val="%4."/>
      <w:lvlJc w:val="left"/>
      <w:pPr>
        <w:tabs>
          <w:tab w:val="num" w:pos="0"/>
        </w:tabs>
        <w:ind w:left="3586" w:hanging="360"/>
      </w:pPr>
    </w:lvl>
    <w:lvl w:ilvl="4">
      <w:start w:val="1"/>
      <w:numFmt w:val="lowerLetter"/>
      <w:lvlText w:val="%5."/>
      <w:lvlJc w:val="left"/>
      <w:pPr>
        <w:tabs>
          <w:tab w:val="num" w:pos="0"/>
        </w:tabs>
        <w:ind w:left="4306" w:hanging="360"/>
      </w:pPr>
    </w:lvl>
    <w:lvl w:ilvl="5">
      <w:start w:val="1"/>
      <w:numFmt w:val="lowerRoman"/>
      <w:lvlText w:val="%6."/>
      <w:lvlJc w:val="right"/>
      <w:pPr>
        <w:tabs>
          <w:tab w:val="num" w:pos="0"/>
        </w:tabs>
        <w:ind w:left="5026" w:hanging="180"/>
      </w:pPr>
    </w:lvl>
    <w:lvl w:ilvl="6">
      <w:start w:val="1"/>
      <w:numFmt w:val="decimal"/>
      <w:lvlText w:val="%7."/>
      <w:lvlJc w:val="left"/>
      <w:pPr>
        <w:tabs>
          <w:tab w:val="num" w:pos="0"/>
        </w:tabs>
        <w:ind w:left="5746" w:hanging="360"/>
      </w:pPr>
    </w:lvl>
    <w:lvl w:ilvl="7">
      <w:start w:val="1"/>
      <w:numFmt w:val="lowerLetter"/>
      <w:lvlText w:val="%8."/>
      <w:lvlJc w:val="left"/>
      <w:pPr>
        <w:tabs>
          <w:tab w:val="num" w:pos="0"/>
        </w:tabs>
        <w:ind w:left="6466" w:hanging="360"/>
      </w:pPr>
    </w:lvl>
    <w:lvl w:ilvl="8">
      <w:start w:val="1"/>
      <w:numFmt w:val="lowerRoman"/>
      <w:lvlText w:val="%9."/>
      <w:lvlJc w:val="right"/>
      <w:pPr>
        <w:tabs>
          <w:tab w:val="num" w:pos="0"/>
        </w:tabs>
        <w:ind w:left="7186" w:hanging="18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80"/>
  <w:trackRevision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de-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color w:val="000000"/>
        <w:sz w:val="24"/>
        <w:highlight w:val="white"/>
        <w:lang w:val="de-CH" w:eastAsia="de-DE"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Times New Roman" w:hAnsi="Times New Roman" w:eastAsia="Times New Roman" w:cs="Times New Roman"/>
      <w:color w:val="000000"/>
      <w:kern w:val="0"/>
      <w:sz w:val="24"/>
      <w:szCs w:val="20"/>
      <w:highlight w:val="white"/>
      <w:lang w:val="de-CH" w:eastAsia="de-DE" w:bidi="ar-SA"/>
    </w:rPr>
  </w:style>
  <w:style w:type="paragraph" w:styleId="Titre1">
    <w:name w:val="Heading 1"/>
    <w:uiPriority w:val="9"/>
    <w:qFormat/>
    <w:pPr>
      <w:widowControl/>
      <w:bidi w:val="0"/>
      <w:spacing w:before="440" w:after="60"/>
      <w:jc w:val="left"/>
      <w:outlineLvl w:val="0"/>
    </w:pPr>
    <w:rPr>
      <w:rFonts w:ascii="Arimo" w:hAnsi="Arimo" w:cs="Arimo" w:eastAsia="Times New Roman"/>
      <w:b/>
      <w:color w:val="000000"/>
      <w:kern w:val="0"/>
      <w:sz w:val="34"/>
      <w:szCs w:val="20"/>
      <w:highlight w:val="white"/>
      <w:lang w:val="de-CH" w:eastAsia="de-DE" w:bidi="ar-SA"/>
    </w:rPr>
  </w:style>
  <w:style w:type="paragraph" w:styleId="Titre2">
    <w:name w:val="Heading 2"/>
    <w:uiPriority w:val="9"/>
    <w:semiHidden/>
    <w:unhideWhenUsed/>
    <w:qFormat/>
    <w:pPr>
      <w:widowControl/>
      <w:bidi w:val="0"/>
      <w:spacing w:before="440" w:after="60"/>
      <w:jc w:val="left"/>
      <w:outlineLvl w:val="1"/>
    </w:pPr>
    <w:rPr>
      <w:rFonts w:ascii="Arimo" w:hAnsi="Arimo" w:cs="Arimo" w:eastAsia="Times New Roman"/>
      <w:b/>
      <w:color w:val="000000"/>
      <w:kern w:val="0"/>
      <w:sz w:val="28"/>
      <w:szCs w:val="20"/>
      <w:highlight w:val="white"/>
      <w:lang w:val="de-CH" w:eastAsia="de-DE" w:bidi="ar-SA"/>
    </w:rPr>
  </w:style>
  <w:style w:type="paragraph" w:styleId="Titre3">
    <w:name w:val="Heading 3"/>
    <w:uiPriority w:val="9"/>
    <w:semiHidden/>
    <w:unhideWhenUsed/>
    <w:qFormat/>
    <w:pPr>
      <w:widowControl/>
      <w:bidi w:val="0"/>
      <w:spacing w:before="440" w:after="60"/>
      <w:jc w:val="left"/>
      <w:outlineLvl w:val="2"/>
    </w:pPr>
    <w:rPr>
      <w:rFonts w:ascii="Arimo" w:hAnsi="Arimo" w:cs="Arimo" w:eastAsia="Times New Roman"/>
      <w:b/>
      <w:color w:val="000000"/>
      <w:kern w:val="0"/>
      <w:sz w:val="24"/>
      <w:szCs w:val="20"/>
      <w:highlight w:val="white"/>
      <w:lang w:val="de-CH" w:eastAsia="de-DE" w:bidi="ar-SA"/>
    </w:rPr>
  </w:style>
  <w:style w:type="paragraph" w:styleId="Titre4">
    <w:name w:val="Heading 4"/>
    <w:uiPriority w:val="9"/>
    <w:semiHidden/>
    <w:unhideWhenUsed/>
    <w:qFormat/>
    <w:pPr>
      <w:widowControl/>
      <w:bidi w:val="0"/>
      <w:spacing w:before="440" w:after="60"/>
      <w:jc w:val="left"/>
      <w:outlineLvl w:val="3"/>
    </w:pPr>
    <w:rPr>
      <w:rFonts w:ascii="Arimo" w:hAnsi="Arimo" w:cs="Arimo" w:eastAsia="Times New Roman"/>
      <w:b/>
      <w:color w:val="000000"/>
      <w:kern w:val="0"/>
      <w:sz w:val="24"/>
      <w:szCs w:val="20"/>
      <w:highlight w:val="white"/>
      <w:lang w:val="de-CH" w:eastAsia="de-DE" w:bidi="ar-SA"/>
    </w:rPr>
  </w:style>
  <w:style w:type="character" w:styleId="DefaultParagraphFont" w:default="1">
    <w:name w:val="Default Paragraph Font"/>
    <w:uiPriority w:val="1"/>
    <w:semiHidden/>
    <w:unhideWhenUsed/>
    <w:qFormat/>
    <w:rPr/>
  </w:style>
  <w:style w:type="character" w:styleId="Ancredenotedefin">
    <w:name w:val="Ancre de note de fin"/>
    <w:rPr>
      <w:sz w:val="20"/>
      <w:vertAlign w:val="superscript"/>
    </w:rPr>
  </w:style>
  <w:style w:type="character" w:styleId="EndnoteCharacters">
    <w:name w:val="Endnote Characters"/>
    <w:qFormat/>
    <w:rPr>
      <w:sz w:val="20"/>
      <w:vertAlign w:val="superscript"/>
    </w:rPr>
  </w:style>
  <w:style w:type="character" w:styleId="Ancredenotedebasdepage">
    <w:name w:val="Ancre de note de bas de page"/>
    <w:rPr>
      <w:sz w:val="20"/>
      <w:vertAlign w:val="superscript"/>
    </w:rPr>
  </w:style>
  <w:style w:type="character" w:styleId="FootnoteCharacters">
    <w:name w:val="Footnote Characters"/>
    <w:qFormat/>
    <w:rPr>
      <w:sz w:val="20"/>
      <w:vertAlign w:val="superscript"/>
    </w:rPr>
  </w:style>
  <w:style w:type="character" w:styleId="Annotationreference">
    <w:name w:val="annotation reference"/>
    <w:basedOn w:val="DefaultParagraphFont"/>
    <w:uiPriority w:val="99"/>
    <w:semiHidden/>
    <w:unhideWhenUsed/>
    <w:qFormat/>
    <w:rsid w:val="000b6750"/>
    <w:rPr>
      <w:sz w:val="16"/>
      <w:szCs w:val="16"/>
    </w:rPr>
  </w:style>
  <w:style w:type="character" w:styleId="KommentartextZchn" w:customStyle="1">
    <w:name w:val="Kommentartext Zchn"/>
    <w:basedOn w:val="DefaultParagraphFont"/>
    <w:link w:val="Kommentartext"/>
    <w:uiPriority w:val="99"/>
    <w:semiHidden/>
    <w:qFormat/>
    <w:rsid w:val="000b6750"/>
    <w:rPr>
      <w:sz w:val="20"/>
      <w:shd w:fill="auto" w:val="clear"/>
    </w:rPr>
  </w:style>
  <w:style w:type="character" w:styleId="KommentarthemaZchn" w:customStyle="1">
    <w:name w:val="Kommentarthema Zchn"/>
    <w:basedOn w:val="KommentartextZchn"/>
    <w:link w:val="Kommentarthema"/>
    <w:uiPriority w:val="99"/>
    <w:semiHidden/>
    <w:qFormat/>
    <w:rsid w:val="000b6750"/>
    <w:rPr>
      <w:b/>
      <w:bCs/>
      <w:sz w:val="20"/>
      <w:shd w:fill="auto" w:val="clear"/>
    </w:rPr>
  </w:style>
  <w:style w:type="paragraph" w:styleId="Titre">
    <w:name w:val="Titre"/>
    <w:basedOn w:val="Normal"/>
    <w:next w:val="Corpsdetexte"/>
    <w:qFormat/>
    <w:pPr>
      <w:keepNext w:val="true"/>
      <w:spacing w:before="240" w:after="120"/>
    </w:pPr>
    <w:rPr>
      <w:rFonts w:ascii="Liberation Sans" w:hAnsi="Liberation Sans" w:eastAsia="Noto Sans CJK SC" w:cs="Noto Sans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Noto Sans Devanagari"/>
    </w:rPr>
  </w:style>
  <w:style w:type="paragraph" w:styleId="Lgende">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ArrowheadList" w:customStyle="1">
    <w:name w:val="Arrowhead List"/>
    <w:qFormat/>
    <w:pPr>
      <w:widowControl/>
      <w:bidi w:val="0"/>
      <w:spacing w:before="0" w:after="0"/>
      <w:ind w:left="72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BlockText">
    <w:name w:val="Block Text"/>
    <w:qFormat/>
    <w:pPr>
      <w:widowControl/>
      <w:bidi w:val="0"/>
      <w:spacing w:before="0" w:after="117"/>
      <w:ind w:left="1440" w:right="1440" w:hanging="0"/>
      <w:jc w:val="left"/>
    </w:pPr>
    <w:rPr>
      <w:rFonts w:ascii="Times New Roman" w:hAnsi="Times New Roman" w:eastAsia="Times New Roman" w:cs="Times New Roman"/>
      <w:color w:val="000000"/>
      <w:kern w:val="0"/>
      <w:sz w:val="24"/>
      <w:szCs w:val="20"/>
      <w:highlight w:val="white"/>
      <w:lang w:val="de-CH" w:eastAsia="de-DE" w:bidi="ar-SA"/>
    </w:rPr>
  </w:style>
  <w:style w:type="paragraph" w:styleId="BoxList" w:customStyle="1">
    <w:name w:val="Box List"/>
    <w:qFormat/>
    <w:pPr>
      <w:widowControl/>
      <w:bidi w:val="0"/>
      <w:spacing w:before="0" w:after="0"/>
      <w:ind w:left="72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BulletList" w:customStyle="1">
    <w:name w:val="Bullet List"/>
    <w:qFormat/>
    <w:pPr>
      <w:widowControl/>
      <w:bidi w:val="0"/>
      <w:spacing w:before="0" w:after="0"/>
      <w:ind w:left="72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ChapterHeading" w:customStyle="1">
    <w:name w:val="Chapter Heading"/>
    <w:basedOn w:val="NumberedHeading1"/>
    <w:qFormat/>
    <w:pPr/>
    <w:rPr/>
  </w:style>
  <w:style w:type="paragraph" w:styleId="Contents1" w:customStyle="1">
    <w:name w:val="Contents 1"/>
    <w:qFormat/>
    <w:pPr>
      <w:widowControl/>
      <w:bidi w:val="0"/>
      <w:spacing w:before="0" w:after="0"/>
      <w:ind w:left="72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Contents2" w:customStyle="1">
    <w:name w:val="Contents 2"/>
    <w:qFormat/>
    <w:pPr>
      <w:widowControl/>
      <w:bidi w:val="0"/>
      <w:spacing w:before="0" w:after="0"/>
      <w:ind w:left="144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Contents3" w:customStyle="1">
    <w:name w:val="Contents 3"/>
    <w:qFormat/>
    <w:pPr>
      <w:widowControl/>
      <w:bidi w:val="0"/>
      <w:spacing w:before="0" w:after="0"/>
      <w:ind w:left="216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Contents4" w:customStyle="1">
    <w:name w:val="Contents 4"/>
    <w:qFormat/>
    <w:pPr>
      <w:widowControl/>
      <w:bidi w:val="0"/>
      <w:spacing w:before="0" w:after="0"/>
      <w:ind w:left="288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ContentsHeader" w:customStyle="1">
    <w:name w:val="Contents Header"/>
    <w:qFormat/>
    <w:pPr>
      <w:widowControl/>
      <w:bidi w:val="0"/>
      <w:spacing w:before="240" w:after="117"/>
      <w:jc w:val="center"/>
    </w:pPr>
    <w:rPr>
      <w:rFonts w:ascii="Arimo" w:hAnsi="Arimo" w:cs="Arimo" w:eastAsia="Times New Roman"/>
      <w:b/>
      <w:color w:val="000000"/>
      <w:kern w:val="0"/>
      <w:sz w:val="32"/>
      <w:szCs w:val="20"/>
      <w:highlight w:val="white"/>
      <w:lang w:val="de-CH" w:eastAsia="de-DE" w:bidi="ar-SA"/>
    </w:rPr>
  </w:style>
  <w:style w:type="paragraph" w:styleId="DashedList" w:customStyle="1">
    <w:name w:val="Dashed List"/>
    <w:qFormat/>
    <w:pPr>
      <w:widowControl/>
      <w:bidi w:val="0"/>
      <w:spacing w:before="0" w:after="0"/>
      <w:ind w:left="72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DiamondList" w:customStyle="1">
    <w:name w:val="Diamond List"/>
    <w:qFormat/>
    <w:pPr>
      <w:widowControl/>
      <w:bidi w:val="0"/>
      <w:spacing w:before="0" w:after="0"/>
      <w:ind w:left="72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Endnote" w:customStyle="1">
    <w:name w:val="Endnote"/>
    <w:qFormat/>
    <w:pPr>
      <w:widowControl/>
      <w:bidi w:val="0"/>
      <w:spacing w:before="0" w:after="0"/>
      <w:ind w:left="288" w:hanging="288"/>
      <w:jc w:val="left"/>
    </w:pPr>
    <w:rPr>
      <w:rFonts w:ascii="Times New Roman" w:hAnsi="Times New Roman" w:eastAsia="Times New Roman" w:cs="Times New Roman"/>
      <w:color w:val="000000"/>
      <w:kern w:val="0"/>
      <w:sz w:val="24"/>
      <w:szCs w:val="20"/>
      <w:highlight w:val="white"/>
      <w:lang w:val="de-CH" w:eastAsia="de-DE" w:bidi="ar-SA"/>
    </w:rPr>
  </w:style>
  <w:style w:type="paragraph" w:styleId="Notedefin">
    <w:name w:val="Endnote Text"/>
    <w:pPr>
      <w:widowControl/>
      <w:bidi w:val="0"/>
      <w:spacing w:before="0" w:after="0"/>
      <w:jc w:val="left"/>
    </w:pPr>
    <w:rPr>
      <w:rFonts w:ascii="Times New Roman" w:hAnsi="Times New Roman" w:eastAsia="Times New Roman" w:cs="Times New Roman"/>
      <w:color w:val="000000"/>
      <w:kern w:val="0"/>
      <w:sz w:val="24"/>
      <w:szCs w:val="20"/>
      <w:highlight w:val="white"/>
      <w:lang w:val="de-CH" w:eastAsia="de-DE" w:bidi="ar-SA"/>
    </w:rPr>
  </w:style>
  <w:style w:type="paragraph" w:styleId="Footnote" w:customStyle="1">
    <w:name w:val="Footnote"/>
    <w:qFormat/>
    <w:pPr>
      <w:widowControl/>
      <w:bidi w:val="0"/>
      <w:spacing w:before="0" w:after="0"/>
      <w:ind w:left="288" w:hanging="288"/>
      <w:jc w:val="left"/>
    </w:pPr>
    <w:rPr>
      <w:rFonts w:ascii="Times New Roman" w:hAnsi="Times New Roman" w:eastAsia="Times New Roman" w:cs="Times New Roman"/>
      <w:color w:val="000000"/>
      <w:kern w:val="0"/>
      <w:sz w:val="20"/>
      <w:szCs w:val="20"/>
      <w:highlight w:val="white"/>
      <w:lang w:val="de-CH" w:eastAsia="de-DE" w:bidi="ar-SA"/>
    </w:rPr>
  </w:style>
  <w:style w:type="paragraph" w:styleId="Notedebasdepage">
    <w:name w:val="Footnote Text"/>
    <w:pPr>
      <w:widowControl/>
      <w:bidi w:val="0"/>
      <w:spacing w:before="0" w:after="0"/>
      <w:jc w:val="left"/>
    </w:pPr>
    <w:rPr>
      <w:rFonts w:ascii="Times New Roman" w:hAnsi="Times New Roman" w:eastAsia="Times New Roman" w:cs="Times New Roman"/>
      <w:color w:val="000000"/>
      <w:kern w:val="0"/>
      <w:sz w:val="20"/>
      <w:szCs w:val="20"/>
      <w:highlight w:val="white"/>
      <w:lang w:val="de-CH" w:eastAsia="de-DE" w:bidi="ar-SA"/>
    </w:rPr>
  </w:style>
  <w:style w:type="paragraph" w:styleId="HandList" w:customStyle="1">
    <w:name w:val="Hand List"/>
    <w:qFormat/>
    <w:pPr>
      <w:widowControl/>
      <w:bidi w:val="0"/>
      <w:spacing w:before="0" w:after="0"/>
      <w:ind w:left="72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HeartList" w:customStyle="1">
    <w:name w:val="Heart List"/>
    <w:qFormat/>
    <w:pPr>
      <w:widowControl/>
      <w:bidi w:val="0"/>
      <w:spacing w:before="0" w:after="0"/>
      <w:ind w:left="72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ImpliesList" w:customStyle="1">
    <w:name w:val="Implies List"/>
    <w:qFormat/>
    <w:pPr>
      <w:widowControl/>
      <w:bidi w:val="0"/>
      <w:spacing w:before="0" w:after="0"/>
      <w:ind w:left="72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LowerCaseList" w:customStyle="1">
    <w:name w:val="Lower Case List"/>
    <w:basedOn w:val="NumberedList"/>
    <w:qFormat/>
    <w:pPr/>
    <w:rPr/>
  </w:style>
  <w:style w:type="paragraph" w:styleId="LowerRomanList" w:customStyle="1">
    <w:name w:val="Lower Roman List"/>
    <w:qFormat/>
    <w:pPr>
      <w:widowControl/>
      <w:bidi w:val="0"/>
      <w:spacing w:before="0" w:after="0"/>
      <w:ind w:left="72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NumberedHeading1" w:customStyle="1">
    <w:name w:val="Numbered Heading 1"/>
    <w:basedOn w:val="Titre1"/>
    <w:qFormat/>
    <w:pPr/>
    <w:rPr/>
  </w:style>
  <w:style w:type="paragraph" w:styleId="NumberedHeading2" w:customStyle="1">
    <w:name w:val="Numbered Heading 2"/>
    <w:basedOn w:val="Titre2"/>
    <w:qFormat/>
    <w:pPr/>
    <w:rPr/>
  </w:style>
  <w:style w:type="paragraph" w:styleId="NumberedHeading3" w:customStyle="1">
    <w:name w:val="Numbered Heading 3"/>
    <w:basedOn w:val="Titre3"/>
    <w:qFormat/>
    <w:pPr/>
    <w:rPr/>
  </w:style>
  <w:style w:type="paragraph" w:styleId="NumberedList" w:customStyle="1">
    <w:name w:val="Numbered List"/>
    <w:qFormat/>
    <w:pPr>
      <w:widowControl/>
      <w:bidi w:val="0"/>
      <w:spacing w:before="0" w:after="0"/>
      <w:ind w:left="72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PlainText">
    <w:name w:val="Plain Text"/>
    <w:qFormat/>
    <w:pPr>
      <w:widowControl/>
      <w:bidi w:val="0"/>
      <w:spacing w:before="0" w:after="0"/>
      <w:jc w:val="left"/>
    </w:pPr>
    <w:rPr>
      <w:rFonts w:ascii="Courier New" w:hAnsi="Courier New" w:cs="Courier New" w:eastAsia="Times New Roman"/>
      <w:color w:val="000000"/>
      <w:kern w:val="0"/>
      <w:sz w:val="24"/>
      <w:szCs w:val="20"/>
      <w:highlight w:val="white"/>
      <w:lang w:val="de-CH" w:eastAsia="de-DE" w:bidi="ar-SA"/>
    </w:rPr>
  </w:style>
  <w:style w:type="paragraph" w:styleId="SectionHeading" w:customStyle="1">
    <w:name w:val="Section Heading"/>
    <w:basedOn w:val="NumberedHeading1"/>
    <w:qFormat/>
    <w:pPr/>
    <w:rPr/>
  </w:style>
  <w:style w:type="paragraph" w:styleId="SquareList" w:customStyle="1">
    <w:name w:val="Square List"/>
    <w:qFormat/>
    <w:pPr>
      <w:widowControl/>
      <w:bidi w:val="0"/>
      <w:spacing w:before="0" w:after="0"/>
      <w:ind w:left="72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StarList" w:customStyle="1">
    <w:name w:val="Star List"/>
    <w:qFormat/>
    <w:pPr>
      <w:widowControl/>
      <w:bidi w:val="0"/>
      <w:spacing w:before="0" w:after="0"/>
      <w:ind w:left="72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TickList" w:customStyle="1">
    <w:name w:val="Tick List"/>
    <w:qFormat/>
    <w:pPr>
      <w:widowControl/>
      <w:bidi w:val="0"/>
      <w:spacing w:before="0" w:after="0"/>
      <w:ind w:left="72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TriangleList" w:customStyle="1">
    <w:name w:val="Triangle List"/>
    <w:qFormat/>
    <w:pPr>
      <w:widowControl/>
      <w:bidi w:val="0"/>
      <w:spacing w:before="0" w:after="0"/>
      <w:ind w:left="720" w:hanging="424"/>
      <w:jc w:val="left"/>
    </w:pPr>
    <w:rPr>
      <w:rFonts w:ascii="Times New Roman" w:hAnsi="Times New Roman" w:eastAsia="Times New Roman" w:cs="Times New Roman"/>
      <w:color w:val="000000"/>
      <w:kern w:val="0"/>
      <w:sz w:val="24"/>
      <w:szCs w:val="20"/>
      <w:highlight w:val="white"/>
      <w:lang w:val="de-CH" w:eastAsia="de-DE" w:bidi="ar-SA"/>
    </w:rPr>
  </w:style>
  <w:style w:type="paragraph" w:styleId="UpperCaseList" w:customStyle="1">
    <w:name w:val="Upper Case List"/>
    <w:basedOn w:val="NumberedList"/>
    <w:qFormat/>
    <w:pPr/>
    <w:rPr/>
  </w:style>
  <w:style w:type="paragraph" w:styleId="UpperRomanList" w:customStyle="1">
    <w:name w:val="Upper Roman List"/>
    <w:basedOn w:val="NumberedList"/>
    <w:qFormat/>
    <w:pPr/>
    <w:rPr/>
  </w:style>
  <w:style w:type="paragraph" w:styleId="ListParagraph">
    <w:name w:val="List Paragraph"/>
    <w:basedOn w:val="Normal"/>
    <w:uiPriority w:val="34"/>
    <w:qFormat/>
    <w:rsid w:val="000b6750"/>
    <w:pPr>
      <w:spacing w:before="0" w:after="0"/>
      <w:ind w:left="720" w:hanging="0"/>
      <w:contextualSpacing/>
    </w:pPr>
    <w:rPr/>
  </w:style>
  <w:style w:type="paragraph" w:styleId="Annotationtext">
    <w:name w:val="annotation text"/>
    <w:basedOn w:val="Normal"/>
    <w:link w:val="KommentartextZchn"/>
    <w:uiPriority w:val="99"/>
    <w:semiHidden/>
    <w:unhideWhenUsed/>
    <w:qFormat/>
    <w:rsid w:val="000b6750"/>
    <w:pPr/>
    <w:rPr>
      <w:sz w:val="20"/>
    </w:rPr>
  </w:style>
  <w:style w:type="paragraph" w:styleId="Annotationsubject">
    <w:name w:val="annotation subject"/>
    <w:basedOn w:val="Annotationtext"/>
    <w:next w:val="Annotationtext"/>
    <w:link w:val="KommentarthemaZchn"/>
    <w:uiPriority w:val="99"/>
    <w:semiHidden/>
    <w:unhideWhenUsed/>
    <w:qFormat/>
    <w:rsid w:val="000b6750"/>
    <w:pPr/>
    <w:rPr>
      <w:b/>
      <w:bCs/>
    </w:rPr>
  </w:style>
  <w:style w:type="paragraph" w:styleId="Revision">
    <w:name w:val="Revision"/>
    <w:uiPriority w:val="99"/>
    <w:semiHidden/>
    <w:qFormat/>
    <w:rsid w:val="0012090d"/>
    <w:pPr>
      <w:widowControl/>
      <w:bidi w:val="0"/>
      <w:spacing w:before="0" w:after="0"/>
      <w:jc w:val="left"/>
    </w:pPr>
    <w:rPr>
      <w:rFonts w:ascii="Times New Roman" w:hAnsi="Times New Roman" w:eastAsia="Times New Roman" w:cs="Times New Roman"/>
      <w:color w:val="000000"/>
      <w:kern w:val="0"/>
      <w:sz w:val="24"/>
      <w:szCs w:val="20"/>
      <w:highlight w:val="white"/>
      <w:lang w:val="de-CH" w:eastAsia="de-DE" w:bidi="ar-SA"/>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comments" Target="comment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LibreOffice/6.4.7.2$Linux_X86_64 LibreOffice_project/40$Build-2</Application>
  <Pages>13</Pages>
  <Words>6343</Words>
  <Characters>34738</Characters>
  <CharactersWithSpaces>40881</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2021-05-21T09:09:00Z</dcterms:created>
  <dc:creator/>
  <dc:description/>
  <dc:language>fr-CH</dc:language>
  <cp:lastModifiedBy>Schenk, Denis Elia (ARTORG)</cp:lastModifiedBy>
  <dcterms:modified xsi:type="dcterms:W3CDTF">2021-05-31T14:40:00Z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