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Highlights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Osteogenesis Imperfecta (OI) trabecular bone is more mineralized compared to healthy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OI trabecular bone presents lower bone volume fraction and higher heterogeneity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OI trabecular architecture is not degraded for BV/TV and fabric similar to healthy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HR-pQCT-based homogenized FE can be used for OI trabecular bone stiffness analysis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/>
      </w:pPr>
      <w:r>
        <w:rPr/>
        <w:t xml:space="preserve">Coarser scan resolution (HR-pQCT vs </w:t>
      </w:r>
      <w:r>
        <w:rPr>
          <w:rFonts w:ascii="Liberation Serif" w:hAnsi="Liberation Serif"/>
        </w:rPr>
        <w:t>µCT</w:t>
      </w:r>
      <w:r>
        <w:rPr/>
        <w:t>) leads to lower stiffness constants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CH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CH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64</Words>
  <Characters>364</Characters>
  <CharactersWithSpaces>417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2021-10-13T17:17:45Z</dcterms:created>
  <dc:creator>Mathieu Simon</dc:creator>
  <dc:description/>
  <dc:language>fr-CH</dc:language>
  <cp:lastModifiedBy>Mathieu Simon</cp:lastModifiedBy>
  <dcterms:modified xsi:type="dcterms:W3CDTF">2021-10-13T17:38:16Z</dcterms:modified>
  <cp:revision>1</cp:revision>
  <dc:subject/>
  <dc:title/>
</cp:coreProperties>
</file>