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E293B"/>
          <w:sz w:val="40"/>
          <w:szCs w:val="40"/>
        </w:rPr>
        <w:t xml:space="preserve">Investigación de datasets reales</w:t>
      </w:r>
    </w:p>
    <w:p>
      <w:pPr>
        <w:spacing w:after="40"/>
      </w:pPr>
      <w:r>
        <w:rPr>
          <w:b/>
          <w:bCs/>
          <w:color w:val="2563EB"/>
          <w:sz w:val="26"/>
          <w:szCs w:val="26"/>
        </w:rPr>
        <w:t xml:space="preserve">Modelo de riesgo médico-legal — Sinapsistencia</w:t>
      </w:r>
    </w:p>
    <w:p>
      <w:pPr>
        <w:spacing w:after="280"/>
      </w:pPr>
      <w:r>
        <w:rPr>
          <w:i/>
          <w:iCs/>
          <w:color w:val="64748B"/>
          <w:sz w:val="20"/>
          <w:szCs w:val="20"/>
        </w:rPr>
        <w:t xml:space="preserve">Brief de investigación · Julio 2026</w:t>
      </w:r>
    </w:p>
    <w:p>
      <w:pPr>
        <w:spacing w:after="160"/>
      </w:pPr>
      <w:r>
        <w:rPr>
          <w:sz w:val="22"/>
          <w:szCs w:val="22"/>
        </w:rPr>
        <w:t xml:space="preserve">Brief de investigación para complementar el dataset sintético del clasificador de riesgo (documento </w:t>
      </w:r>
      <w:r>
        <w:rPr>
          <w:i/>
          <w:iCs/>
          <w:sz w:val="22"/>
          <w:szCs w:val="22"/>
        </w:rPr>
        <w:t xml:space="preserve">modelo-ml.md</w:t>
      </w:r>
      <w:r>
        <w:rPr>
          <w:sz w:val="22"/>
          <w:szCs w:val="22"/>
        </w:rPr>
        <w:t xml:space="preserve">). Objetivo: calibrar los pesos de SPECIALTY_BASELINE y los efectos de los factores de riesgo con evidencia epidemiológica real — no reemplazar el dataset sintético fila por fila.</w:t>
      </w:r>
    </w:p>
    <w:p>
      <w:pPr>
        <w:pStyle w:val="Heading1"/>
        <w:spacing w:after="160" w:before="320"/>
      </w:pPr>
      <w:r>
        <w:rPr>
          <w:b/>
          <w:bCs/>
          <w:color w:val="2563EB"/>
          <w:sz w:val="28"/>
          <w:szCs w:val="28"/>
        </w:rPr>
        <w:t xml:space="preserve">1. La distinción clave (leer antes de buscar)</w:t>
      </w:r>
    </w:p>
    <w:p>
      <w:pPr>
        <w:spacing w:after="160"/>
      </w:pPr>
      <w:r>
        <w:rPr>
          <w:sz w:val="22"/>
          <w:szCs w:val="22"/>
        </w:rPr>
        <w:t xml:space="preserve">No existe un dataset real de mala praxis por caso individual, para Perú, con las mismas columnas que usamos (documentation_complete, informed_consent, etc.). Antes de asignar esta tarea, hay que separar dos cosas: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3350"/>
      </w:tblGrid>
      <w:tr>
        <w:trPr>
          <w:tblHeader/>
        </w:trPr>
        <w:tc>
          <w:tcPr>
            <w:tcW w:type="dxa" w:w="2600"/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400"/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¿Es transferible entre países?</w:t>
            </w:r>
          </w:p>
        </w:tc>
        <w:tc>
          <w:tcPr>
            <w:tcW w:type="dxa" w:w="3350"/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¿Para qué sirve?</w:t>
            </w:r>
          </w:p>
        </w:tc>
      </w:tr>
      <w:tr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Factores de riesgo
(especialidad, complejidad, consentimiento, documentación, quejas previas)</w:t>
            </w:r>
          </w:p>
        </w:tc>
        <w:tc>
          <w:tcPr>
            <w:tcW w:type="dxa" w:w="3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Sí — son relaciones clínicas/organizacionales, no legales</w:t>
            </w:r>
          </w:p>
        </w:tc>
        <w:tc>
          <w:tcPr>
            <w:tcW w:type="dxa" w:w="33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Calibrar los pesos relativos en SPECIALTY_BASELINE</w:t>
            </w:r>
          </w:p>
        </w:tc>
      </w:tr>
      <w:tr>
        <w:tc>
          <w:tcPr>
            <w:tcW w:type="dxa" w:w="26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Resultado / etiqueta
(monto pagado, litigio, severidad del fallo)</w:t>
            </w:r>
          </w:p>
        </w:tc>
        <w:tc>
          <w:tcPr>
            <w:tcW w:type="dxa" w:w="34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 — refleja el sistema legal y la litigiosidad de cada país</w:t>
            </w:r>
          </w:p>
        </w:tc>
        <w:tc>
          <w:tcPr>
            <w:tcW w:type="dxa" w:w="335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 importar directo como “riesgo legal en Perú”</w:t>
            </w:r>
          </w:p>
        </w:tc>
      </w:tr>
    </w:tbl>
    <w:p>
      <w:pPr>
        <w:spacing w:after="160" w:before="200"/>
      </w:pPr>
    </w:p>
    <w:p>
      <w:pPr>
        <w:spacing w:after="160"/>
      </w:pPr>
      <w:r>
        <w:rPr>
          <w:sz w:val="22"/>
          <w:szCs w:val="22"/>
        </w:rPr>
        <w:t xml:space="preserve">EE. UU. es el sistema más litigioso del mundo, con montos de indemnización mucho más altos que Perú; China tiene su propio sistema judicial. Usar esos datasets para las proporciones entre especialidades es razonable (“cirugía tiene ~3x más riesgo que medicina general” probablemente se sostiene entre países); usar sus montos/tasas de litigio tal cual como “riesgo legal peruano” no lo es.</w:t>
      </w:r>
    </w:p>
    <w:tbl>
      <w:tblPr>
        <w:tblW w:type="dxa" w:w="9350"/>
        <w:tblBorders>
          <w:top w:val="single" w:color="2563EB" w:sz="4"/>
          <w:left w:val="single" w:color="2563EB" w:sz="4"/>
          <w:bottom w:val="single" w:color="2563EB" w:sz="4"/>
          <w:right w:val="single" w:color="2563EB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EFF6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Expectativa realista de accuracy: </w:t>
            </w:r>
            <w:r>
              <w:rPr>
                <w:sz w:val="22"/>
                <w:szCs w:val="22"/>
              </w:rPr>
              <w:t xml:space="preserve">la literatura publicada sobre predicción de mala praxis con datos reales ronda 60–70 % (ver estudio en la tabla abajo: XGBoost sobre 963 casos reales de sentencias → 66 %). El 85 % es más realista sobre un dataset sintético bien diseñado (donde controlamos la señal) que sobre datos reales — no asumir que cambiar de dataset sube la métrica.</w:t>
            </w:r>
          </w:p>
        </w:tc>
      </w:tr>
    </w:tbl>
    <w:p>
      <w:pPr>
        <w:pStyle w:val="Heading1"/>
        <w:spacing w:after="160" w:before="320"/>
      </w:pPr>
      <w:r>
        <w:rPr>
          <w:b/>
          <w:bCs/>
          <w:color w:val="2563EB"/>
          <w:sz w:val="28"/>
          <w:szCs w:val="28"/>
        </w:rPr>
        <w:t xml:space="preserve">2. Fuentes de mala praxis (para calibrar factores)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200"/>
        <w:gridCol w:w="2550"/>
      </w:tblGrid>
      <w:tr>
        <w:trPr>
          <w:tblHeader/>
        </w:trPr>
        <w:tc>
          <w:tcPr>
            <w:tcW w:type="dxa" w:w="2600"/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Fuente</w:t>
            </w:r>
          </w:p>
        </w:tc>
        <w:tc>
          <w:tcPr>
            <w:tcW w:type="dxa" w:w="4200"/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Qué tiene</w:t>
            </w:r>
          </w:p>
        </w:tc>
        <w:tc>
          <w:tcPr>
            <w:tcW w:type="dxa" w:w="2550"/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Link</w:t>
            </w:r>
          </w:p>
        </w:tc>
      </w:tr>
      <w:tr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NPDB Public Use File
(EE. UU., HRSA, gratis)</w:t>
            </w:r>
          </w:p>
        </w:tc>
        <w:tc>
          <w:tcPr>
            <w:tcW w:type="dxa" w:w="4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Monto pagado, especialidad (Field of License), grupo de alegación, edad de paciente/practicante. Actualizado trimestralmente desde 1990.</w:t>
            </w:r>
          </w:p>
        </w:tc>
        <w:tc>
          <w:tcPr>
            <w:tcW w:type="dxa" w:w="25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60"/>
            </w:pPr>
            <w:hyperlink w:history="1" r:id="rIdh5bfsgxgihxpowkt-nhiz">
              <w:r>
                <w:rPr>
                  <w:rStyle w:val="Hyperlink"/>
                  <w:color w:val="2563EB"/>
                  <w:sz w:val="22"/>
                  <w:szCs w:val="22"/>
                  <w:u w:val="single"/>
                </w:rPr>
                <w:t xml:space="preserve">npdb.hrsa.gov/resources/publicData.jsp</w:t>
              </w:r>
            </w:hyperlink>
          </w:p>
        </w:tc>
      </w:tr>
      <w:tr>
        <w:tc>
          <w:tcPr>
            <w:tcW w:type="dxa" w:w="26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Diccionario de campos del NPDB</w:t>
            </w:r>
          </w:p>
        </w:tc>
        <w:tc>
          <w:tcPr>
            <w:tcW w:type="dxa" w:w="42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Especificación de todas las columnas del PUF</w:t>
            </w:r>
          </w:p>
        </w:tc>
        <w:tc>
          <w:tcPr>
            <w:tcW w:type="dxa" w:w="255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60"/>
            </w:pPr>
            <w:hyperlink w:history="1" r:id="rIdjgxlsuqsuapflwbcboxip">
              <w:r>
                <w:rPr>
                  <w:rStyle w:val="Hyperlink"/>
                  <w:color w:val="2563EB"/>
                  <w:sz w:val="22"/>
                  <w:szCs w:val="22"/>
                  <w:u w:val="single"/>
                </w:rPr>
                <w:t xml:space="preserve">pufFormatSpecifications.jsp</w:t>
              </w:r>
            </w:hyperlink>
          </w:p>
        </w:tc>
      </w:tr>
      <w:tr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Kaggle — Medical Malpractice Insurance Dataset</w:t>
            </w:r>
          </w:p>
        </w:tc>
        <w:tc>
          <w:tcPr>
            <w:tcW w:type="dxa" w:w="4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Severidad, especialidad, monto de reclamo, abogado privado (sí/no), demografía. Más chico y manejable que el NPDB.</w:t>
            </w:r>
          </w:p>
        </w:tc>
        <w:tc>
          <w:tcPr>
            <w:tcW w:type="dxa" w:w="25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60"/>
            </w:pPr>
            <w:hyperlink w:history="1" r:id="rIde2fv33kyj2jycfah7emwv">
              <w:r>
                <w:rPr>
                  <w:rStyle w:val="Hyperlink"/>
                  <w:color w:val="2563EB"/>
                  <w:sz w:val="22"/>
                  <w:szCs w:val="22"/>
                  <w:u w:val="single"/>
                </w:rPr>
                <w:t xml:space="preserve">kaggle.com/.../medical-malpractice-insurance-dataset</w:t>
              </w:r>
            </w:hyperlink>
          </w:p>
        </w:tc>
      </w:tr>
      <w:tr>
        <w:tc>
          <w:tcPr>
            <w:tcW w:type="dxa" w:w="26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Estudio académico
(China, ortopedia, 2024)</w:t>
            </w:r>
          </w:p>
        </w:tc>
        <w:tc>
          <w:tcPr>
            <w:tcW w:type="dxa" w:w="42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963 casos reales de sentencias judiciales, 21 variables médicas + 10 del paciente, RF/XGBoost/LightGBM. Referencia de accuracy realista (66 %) en datos reales.</w:t>
            </w:r>
          </w:p>
        </w:tc>
        <w:tc>
          <w:tcPr>
            <w:tcW w:type="dxa" w:w="255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60"/>
            </w:pPr>
            <w:hyperlink w:history="1" r:id="rIdakaxgqmjvrw-e9eg4y52r">
              <w:r>
                <w:rPr>
                  <w:rStyle w:val="Hyperlink"/>
                  <w:color w:val="2563EB"/>
                  <w:sz w:val="22"/>
                  <w:szCs w:val="22"/>
                  <w:u w:val="single"/>
                </w:rPr>
                <w:t xml:space="preserve">pmc.ncbi.nlm.nih.gov/articles/PMC11023448</w:t>
              </w:r>
            </w:hyperlink>
          </w:p>
        </w:tc>
      </w:tr>
    </w:tbl>
    <w:p>
      <w:pPr>
        <w:pStyle w:val="Heading1"/>
        <w:spacing w:after="160" w:before="320"/>
      </w:pPr>
      <w:r>
        <w:rPr>
          <w:b/>
          <w:bCs/>
          <w:color w:val="2563EB"/>
          <w:sz w:val="28"/>
          <w:szCs w:val="28"/>
        </w:rPr>
        <w:t xml:space="preserve">3. Contexto peruano (solo agregado — no hay datos por caso)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200"/>
        <w:gridCol w:w="2550"/>
      </w:tblGrid>
      <w:tr>
        <w:trPr>
          <w:tblHeader/>
        </w:trPr>
        <w:tc>
          <w:tcPr>
            <w:tcW w:type="dxa" w:w="2600"/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Fuente</w:t>
            </w:r>
          </w:p>
        </w:tc>
        <w:tc>
          <w:tcPr>
            <w:tcW w:type="dxa" w:w="4200"/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Qué tiene</w:t>
            </w:r>
          </w:p>
        </w:tc>
        <w:tc>
          <w:tcPr>
            <w:tcW w:type="dxa" w:w="2550"/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Link</w:t>
            </w:r>
          </w:p>
        </w:tc>
      </w:tr>
      <w:tr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SUSALUD — Datos Abiertos</w:t>
            </w:r>
          </w:p>
        </w:tc>
        <w:tc>
          <w:tcPr>
            <w:tcW w:type="dxa" w:w="4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Estadísticas agregadas de reclamos por tipo de servicio de salud</w:t>
            </w:r>
          </w:p>
        </w:tc>
        <w:tc>
          <w:tcPr>
            <w:tcW w:type="dxa" w:w="25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60"/>
            </w:pPr>
            <w:hyperlink w:history="1" r:id="rId0ddiifo6rwdxnwoo-p6en">
              <w:r>
                <w:rPr>
                  <w:rStyle w:val="Hyperlink"/>
                  <w:color w:val="2563EB"/>
                  <w:sz w:val="22"/>
                  <w:szCs w:val="22"/>
                  <w:u w:val="single"/>
                </w:rPr>
                <w:t xml:space="preserve">datos.susalud.gob.pe</w:t>
              </w:r>
            </w:hyperlink>
          </w:p>
        </w:tc>
      </w:tr>
      <w:tr>
        <w:tc>
          <w:tcPr>
            <w:tcW w:type="dxa" w:w="26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SUSALUD — Reclamos y Quejas</w:t>
            </w:r>
          </w:p>
        </w:tc>
        <w:tc>
          <w:tcPr>
            <w:tcW w:type="dxa" w:w="42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Info del canal de reclamos (no es un dataset descargable)</w:t>
            </w:r>
          </w:p>
        </w:tc>
        <w:tc>
          <w:tcPr>
            <w:tcW w:type="dxa" w:w="255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60"/>
            </w:pPr>
            <w:hyperlink w:history="1" r:id="rId8ky4m7hw0f6uu2zezelsi">
              <w:r>
                <w:rPr>
                  <w:rStyle w:val="Hyperlink"/>
                  <w:color w:val="2563EB"/>
                  <w:sz w:val="22"/>
                  <w:szCs w:val="22"/>
                  <w:u w:val="single"/>
                </w:rPr>
                <w:t xml:space="preserve">portal.susalud.gob.pe/.../reclamos-quejas</w:t>
              </w:r>
            </w:hyperlink>
          </w:p>
        </w:tc>
      </w:tr>
    </w:tbl>
    <w:p>
      <w:pPr>
        <w:spacing w:after="160" w:before="200"/>
      </w:pPr>
    </w:p>
    <w:tbl>
      <w:tblPr>
        <w:tblW w:type="dxa" w:w="9350"/>
        <w:tblBorders>
          <w:top w:val="single" w:color="F59E0B" w:sz="4"/>
          <w:left w:val="single" w:color="F59E0B" w:sz="4"/>
          <w:bottom w:val="single" w:color="F59E0B" w:sz="4"/>
          <w:right w:val="single" w:color="F59E0B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EF3C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⚠ No perder tiempo buscando </w:t>
            </w:r>
            <w:r>
              <w:rPr>
                <w:sz w:val="22"/>
                <w:szCs w:val="22"/>
              </w:rPr>
              <w:t xml:space="preserve">“dataset de mala praxis Perú fila por fila” — no existe públicamente. Lo de SUSALUD es solo agregado/porcentajes (útil como referencia de magnitud, no como filas de entrenamiento).</w:t>
            </w:r>
          </w:p>
        </w:tc>
      </w:tr>
    </w:tbl>
    <w:p>
      <w:pPr>
        <w:pStyle w:val="Heading1"/>
        <w:spacing w:after="160" w:before="320"/>
      </w:pPr>
      <w:r>
        <w:rPr>
          <w:b/>
          <w:bCs/>
          <w:color w:val="2563EB"/>
          <w:sz w:val="28"/>
          <w:szCs w:val="28"/>
        </w:rPr>
        <w:t xml:space="preserve">4. Registros de médicos y abogados (Perú)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200"/>
        <w:gridCol w:w="2550"/>
      </w:tblGrid>
      <w:tr>
        <w:trPr>
          <w:tblHeader/>
        </w:trPr>
        <w:tc>
          <w:tcPr>
            <w:tcW w:type="dxa" w:w="2600"/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Fuente</w:t>
            </w:r>
          </w:p>
        </w:tc>
        <w:tc>
          <w:tcPr>
            <w:tcW w:type="dxa" w:w="4200"/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Qué tiene</w:t>
            </w:r>
          </w:p>
        </w:tc>
        <w:tc>
          <w:tcPr>
            <w:tcW w:type="dxa" w:w="2550"/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Link</w:t>
            </w:r>
          </w:p>
        </w:tc>
      </w:tr>
      <w:tr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CMP — Conoce a tu médico</w:t>
            </w:r>
          </w:p>
        </w:tc>
        <w:tc>
          <w:tcPr>
            <w:tcW w:type="dxa" w:w="4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+100k médicos colegiados, especialidad, estado de habilitación</w:t>
            </w:r>
          </w:p>
        </w:tc>
        <w:tc>
          <w:tcPr>
            <w:tcW w:type="dxa" w:w="25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60"/>
            </w:pPr>
            <w:hyperlink w:history="1" r:id="rId0lgzlzst6hcj0gc5cckqw">
              <w:r>
                <w:rPr>
                  <w:rStyle w:val="Hyperlink"/>
                  <w:color w:val="2563EB"/>
                  <w:sz w:val="22"/>
                  <w:szCs w:val="22"/>
                  <w:u w:val="single"/>
                </w:rPr>
                <w:t xml:space="preserve">conoceatumedico.cmp.org.pe</w:t>
              </w:r>
            </w:hyperlink>
          </w:p>
        </w:tc>
      </w:tr>
      <w:tr>
        <w:tc>
          <w:tcPr>
            <w:tcW w:type="dxa" w:w="26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CAL — Buscador de abogados</w:t>
            </w:r>
          </w:p>
        </w:tc>
        <w:tc>
          <w:tcPr>
            <w:tcW w:type="dxa" w:w="42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Colegiatura y estado de habilitación (Lima)</w:t>
            </w:r>
          </w:p>
        </w:tc>
        <w:tc>
          <w:tcPr>
            <w:tcW w:type="dxa" w:w="255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60"/>
            </w:pPr>
            <w:hyperlink w:history="1" r:id="rId-ulppciwvywzjtdohzrv_">
              <w:r>
                <w:rPr>
                  <w:rStyle w:val="Hyperlink"/>
                  <w:color w:val="2563EB"/>
                  <w:sz w:val="22"/>
                  <w:szCs w:val="22"/>
                  <w:u w:val="single"/>
                </w:rPr>
                <w:t xml:space="preserve">abogados.cal.org.pe/buscador</w:t>
              </w:r>
            </w:hyperlink>
          </w:p>
        </w:tc>
      </w:tr>
    </w:tbl>
    <w:p>
      <w:pPr>
        <w:spacing w:after="160" w:before="200"/>
      </w:pPr>
    </w:p>
    <w:tbl>
      <w:tblPr>
        <w:tblW w:type="dxa" w:w="9350"/>
        <w:tblBorders>
          <w:top w:val="single" w:color="F59E0B" w:sz="4"/>
          <w:left w:val="single" w:color="F59E0B" w:sz="4"/>
          <w:bottom w:val="single" w:color="F59E0B" w:sz="4"/>
          <w:right w:val="single" w:color="F59E0B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EF3C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⚠ </w:t>
            </w:r>
            <w:r>
              <w:rPr>
                <w:sz w:val="22"/>
                <w:szCs w:val="22"/>
              </w:rPr>
              <w:t xml:space="preserve">Son buscadores uno por uno (verificación de colegiatura), no tienen descarga masiva. Sirven para muestrear manualmente perfiles de referencia (especialidades reales, distribución realista), no como dataset de entrenamiento.</w:t>
            </w:r>
          </w:p>
        </w:tc>
      </w:tr>
    </w:tbl>
    <w:p>
      <w:pPr>
        <w:pStyle w:val="Heading1"/>
        <w:spacing w:after="160" w:before="320"/>
      </w:pPr>
      <w:r>
        <w:rPr>
          <w:b/>
          <w:bCs/>
          <w:color w:val="2563EB"/>
          <w:sz w:val="28"/>
          <w:szCs w:val="28"/>
        </w:rPr>
        <w:t xml:space="preserve">5. Checklist al evaluar cualquier fuente candidata</w:t>
      </w:r>
    </w:p>
    <w:p>
      <w:pPr>
        <w:spacing w:after="160"/>
      </w:pPr>
      <w:r>
        <w:rPr>
          <w:sz w:val="22"/>
          <w:szCs w:val="22"/>
        </w:rPr>
        <w:t xml:space="preserve">Antes de traer un dataset a revisión, confirmar: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¿Tiene un campo de especialidad/área claro y mapeable a las 20 de MEDICAL_SPECIALTIES (frontend) / SPECIALTY_BASELINE (ML)?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¿Tiene un resultado/severidad que se pueda convertir a una escala ordinal (bajo/moderado/alto/crítico)?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¿Cuántas filas hay en las categorías graves? (los datasets reales suelen quedar muy cortos en la clase minoritaria)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¿Hay algún proxy de complejidad del procedimiento o tipo de evento?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Bajar el CSV + su documentación de campos y traerlo a revisión — no intentar entrenar nada todavía.</w:t>
      </w:r>
    </w:p>
    <w:p>
      <w:pPr>
        <w:spacing w:after="160" w:before="120"/>
      </w:pPr>
      <w:r>
        <w:rPr>
          <w:sz w:val="22"/>
          <w:szCs w:val="22"/>
        </w:rPr>
        <w:t xml:space="preserve">No vas a encontrar informed_consent o documentation_complete como columnas booleanas listas en ninguna fuente pública real — eso normalmente está enterrado en texto narrativo del caso, no como campo estructurado.</w:t>
      </w:r>
    </w:p>
    <w:p>
      <w:pPr>
        <w:pStyle w:val="Heading1"/>
        <w:spacing w:after="160" w:before="320"/>
      </w:pPr>
      <w:r>
        <w:rPr>
          <w:b/>
          <w:bCs/>
          <w:color w:val="2563EB"/>
          <w:sz w:val="28"/>
          <w:szCs w:val="28"/>
        </w:rPr>
        <w:t xml:space="preserve">6. Cómo se usa esto después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Comparar los campos encontrados contra ml-service/app/risk/baselines.py (SPECIALTY_BASELINE) y contra las columnas de generate_risk_dataset.py.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Ajustar las proporciones relativas entre especialidades si los datos reales sugieren un orden distinto al asumido hoy.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Documentar la fuente y la calibración en modelo-ml.md §3, para que en la sustentación se pueda decir: “el generador sintético fue calibrado con datos epidemiológicos reales de [fuente]” — más defendible que “basado en literatura general”.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59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504" w:hanging="259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6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h5bfsgxgihxpowkt-nhiz" Type="http://schemas.openxmlformats.org/officeDocument/2006/relationships/hyperlink" Target="https://www.npdb.hrsa.gov/resources/publicData.jsp" TargetMode="External"/><Relationship Id="rIdjgxlsuqsuapflwbcboxip" Type="http://schemas.openxmlformats.org/officeDocument/2006/relationships/hyperlink" Target="https://www.npdb.hrsa.gov/resources/puf/pufFormatSpecifications.jsp" TargetMode="External"/><Relationship Id="rIde2fv33kyj2jycfah7emwv" Type="http://schemas.openxmlformats.org/officeDocument/2006/relationships/hyperlink" Target="https://www.kaggle.com/datasets/gabrielsantello/medical-malpractice-insurance-dataset" TargetMode="External"/><Relationship Id="rIdakaxgqmjvrw-e9eg4y52r" Type="http://schemas.openxmlformats.org/officeDocument/2006/relationships/hyperlink" Target="https://pmc.ncbi.nlm.nih.gov/articles/PMC11023448/" TargetMode="External"/><Relationship Id="rId0ddiifo6rwdxnwoo-p6en" Type="http://schemas.openxmlformats.org/officeDocument/2006/relationships/hyperlink" Target="http://datos.susalud.gob.pe/" TargetMode="External"/><Relationship Id="rId8ky4m7hw0f6uu2zezelsi" Type="http://schemas.openxmlformats.org/officeDocument/2006/relationships/hyperlink" Target="http://portal.susalud.gob.pe/blog/reclamos-quejas/" TargetMode="External"/><Relationship Id="rId0lgzlzst6hcj0gc5cckqw" Type="http://schemas.openxmlformats.org/officeDocument/2006/relationships/hyperlink" Target="https://conoceatumedico.cmp.org.pe/" TargetMode="External"/><Relationship Id="rId-ulppciwvywzjtdohzrv_" Type="http://schemas.openxmlformats.org/officeDocument/2006/relationships/hyperlink" Target="https://abogados.cal.org.pe/buscador" TargetMode="External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2026-07-16T16:32:54.537Z</dcterms:created>
  <dcterms:modified xsi:type="dcterms:W3CDTF">2026-07-16T16:32:54.539Z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